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Arrays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Associative Arrays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Associative Arrays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EDA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Processor Memory: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// Dated: Sep 02, 2024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typedef bit[23:0] word; // Create a 24-bit word type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typedef bit[19:0] address; // Create a 20-bit address-space type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module tb;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address PC;</w:t>
        <w:tab/>
        <w:t xml:space="preserve">// Declare PC that holds address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word mem[address];</w:t>
        <w:tab/>
        <w:t xml:space="preserve">// Declare memory for program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word ISR[address]; // Declare ISR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bit rst;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if (rst) begin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// reset condition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PC = 0; // PC starts at 0x0  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else begin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</w:t>
        <w:tab/>
        <w:t xml:space="preserve">PC = 20'h400; // Set PC for main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mem[PC] = 24'h123456; // Fill memory at 0x400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PC = PC + 1; // Increment PC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mem[PC] = 24'h789ABC; // Fill memory at 0x401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PC = 20'hFFFFF; // Set PC for ISR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mem[PC] = 24'h0F1E2D; // ISR = return from Interrupt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Diplay Elements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foreach (mem[i]) $display("Array Elements: mem[%0x] = %0x", i, mem[i]);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Diplay Number of Elements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$display("Number of Elements: %0d", mem.size());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rst = 1; 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#30 rst = 0;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93691" cy="17733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691" cy="177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B78u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