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UVM-2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Abstraction Layer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Write( ) method: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regmodel.temp_reg_inst.write(status, 4’h4)</w:t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call, the purpose of each argument is given as following: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Retrieves the outcome of the write operation.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4'h4</w:t>
      </w:r>
      <w:r w:rsidDel="00000000" w:rsidR="00000000" w:rsidRPr="00000000">
        <w:rPr>
          <w:sz w:val="24"/>
          <w:szCs w:val="24"/>
          <w:rtl w:val="0"/>
        </w:rPr>
        <w:t xml:space="preserve">: The 4-bit value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) written to the register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temp_reg_inst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other arguments use their defaults: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Path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UVM_DEFAULT_PATH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Uses the default path.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Relies on the register’s default map.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 Sequence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No parent sequence is specified.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-1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Default priority is used.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Extension, Filename, and Line Number</w:t>
      </w:r>
      <w:r w:rsidDel="00000000" w:rsidR="00000000" w:rsidRPr="00000000">
        <w:rPr>
          <w:sz w:val="24"/>
          <w:szCs w:val="24"/>
          <w:rtl w:val="0"/>
        </w:rPr>
        <w:t xml:space="preserve">: Not provided.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call writes the value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to the register and captures the write operation's status.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Dec 7,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UVM-2</w:t>
      <w:tab/>
      <w:tab/>
      <w:tab/>
      <w:tab/>
      <w:tab/>
      <w:tab/>
      <w:tab/>
      <w:tab/>
      <w:tab/>
      <w:tab/>
      <w:t xml:space="preserve">`</w:t>
      <w:tab/>
    </w:r>
    <w:hyperlink r:id="rId1"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