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UVM-2</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Register Abstraction Layer</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RAL</w:t>
      </w:r>
    </w:p>
    <w:p w:rsidR="00000000" w:rsidDel="00000000" w:rsidP="00000000" w:rsidRDefault="00000000" w:rsidRPr="00000000" w14:paraId="00000004">
      <w:pPr>
        <w:rPr/>
      </w:pPr>
      <w:r w:rsidDel="00000000" w:rsidR="00000000" w:rsidRPr="00000000">
        <w:rPr>
          <w:rtl w:val="0"/>
        </w:rPr>
        <w:t xml:space="preserve">Assignment 07</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u w:val="none"/>
        </w:rPr>
      </w:pPr>
      <w:r w:rsidDel="00000000" w:rsidR="00000000" w:rsidRPr="00000000">
        <w:rPr>
          <w:b w:val="1"/>
          <w:sz w:val="24"/>
          <w:szCs w:val="24"/>
          <w:rtl w:val="0"/>
        </w:rPr>
        <w:t xml:space="preserve">Purpose:</w:t>
      </w:r>
    </w:p>
    <w:p w:rsidR="00000000" w:rsidDel="00000000" w:rsidP="00000000" w:rsidRDefault="00000000" w:rsidRPr="00000000" w14:paraId="00000007">
      <w:pPr>
        <w:ind w:left="0" w:firstLine="0"/>
        <w:rPr>
          <w:b w:val="1"/>
          <w:sz w:val="24"/>
          <w:szCs w:val="24"/>
        </w:rPr>
      </w:pPr>
      <w:r w:rsidDel="00000000" w:rsidR="00000000" w:rsidRPr="00000000">
        <w:rPr>
          <w:b w:val="1"/>
          <w:sz w:val="24"/>
          <w:szCs w:val="24"/>
          <w:rtl w:val="0"/>
        </w:rPr>
        <w:tab/>
        <w:tab/>
      </w:r>
    </w:p>
    <w:tbl>
      <w:tblPr>
        <w:tblStyle w:val="Table1"/>
        <w:tblW w:w="86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3"/>
                <w:szCs w:val="23"/>
                <w:shd w:fill="f8f9fa" w:val="clear"/>
                <w:rtl w:val="0"/>
              </w:rPr>
              <w:t xml:space="preserve">predictor_inst.adapter = adapter_inst;</w:t>
            </w:r>
            <w:r w:rsidDel="00000000" w:rsidR="00000000" w:rsidRPr="00000000">
              <w:rPr>
                <w:rtl w:val="0"/>
              </w:rPr>
            </w:r>
          </w:p>
        </w:tc>
      </w:tr>
    </w:tbl>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 xml:space="preserve">The above statement assigns an adapter instance (</w:t>
      </w:r>
      <w:r w:rsidDel="00000000" w:rsidR="00000000" w:rsidRPr="00000000">
        <w:rPr>
          <w:rFonts w:ascii="Roboto Mono" w:cs="Roboto Mono" w:eastAsia="Roboto Mono" w:hAnsi="Roboto Mono"/>
          <w:sz w:val="24"/>
          <w:szCs w:val="24"/>
          <w:rtl w:val="0"/>
        </w:rPr>
        <w:t xml:space="preserve">adapter_inst</w:t>
      </w:r>
      <w:r w:rsidDel="00000000" w:rsidR="00000000" w:rsidRPr="00000000">
        <w:rPr>
          <w:sz w:val="24"/>
          <w:szCs w:val="24"/>
          <w:rtl w:val="0"/>
        </w:rPr>
        <w:t xml:space="preserve">) to a predictor instance (</w:t>
      </w:r>
      <w:r w:rsidDel="00000000" w:rsidR="00000000" w:rsidRPr="00000000">
        <w:rPr>
          <w:rFonts w:ascii="Roboto Mono" w:cs="Roboto Mono" w:eastAsia="Roboto Mono" w:hAnsi="Roboto Mono"/>
          <w:sz w:val="24"/>
          <w:szCs w:val="24"/>
          <w:rtl w:val="0"/>
        </w:rPr>
        <w:t xml:space="preserve">predictor_inst</w:t>
      </w:r>
      <w:r w:rsidDel="00000000" w:rsidR="00000000" w:rsidRPr="00000000">
        <w:rPr>
          <w:sz w:val="24"/>
          <w:szCs w:val="24"/>
          <w:rtl w:val="0"/>
        </w:rPr>
        <w:t xml:space="preserve">). Here's its purpose in detail:</w:t>
      </w:r>
    </w:p>
    <w:p w:rsidR="00000000" w:rsidDel="00000000" w:rsidP="00000000" w:rsidRDefault="00000000" w:rsidRPr="00000000" w14:paraId="0000000B">
      <w:pPr>
        <w:pStyle w:val="Heading3"/>
        <w:keepNext w:val="0"/>
        <w:keepLines w:val="0"/>
        <w:spacing w:before="280" w:lineRule="auto"/>
        <w:ind w:left="0" w:firstLine="720"/>
        <w:rPr>
          <w:b w:val="1"/>
          <w:color w:val="000000"/>
          <w:sz w:val="26"/>
          <w:szCs w:val="26"/>
        </w:rPr>
      </w:pPr>
      <w:bookmarkStart w:colFirst="0" w:colLast="0" w:name="_tksf5w5yxjxv" w:id="0"/>
      <w:bookmarkEnd w:id="0"/>
      <w:r w:rsidDel="00000000" w:rsidR="00000000" w:rsidRPr="00000000">
        <w:rPr>
          <w:b w:val="1"/>
          <w:color w:val="000000"/>
          <w:sz w:val="26"/>
          <w:szCs w:val="26"/>
          <w:rtl w:val="0"/>
        </w:rPr>
        <w:t xml:space="preserve">1. Bridging Between DUT Transactions and UVM Registers</w:t>
      </w:r>
    </w:p>
    <w:p w:rsidR="00000000" w:rsidDel="00000000" w:rsidP="00000000" w:rsidRDefault="00000000" w:rsidRPr="00000000" w14:paraId="0000000C">
      <w:pPr>
        <w:numPr>
          <w:ilvl w:val="0"/>
          <w:numId w:val="3"/>
        </w:numPr>
        <w:spacing w:after="0" w:afterAutospacing="0" w:before="24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adapter</w:t>
      </w:r>
      <w:r w:rsidDel="00000000" w:rsidR="00000000" w:rsidRPr="00000000">
        <w:rPr>
          <w:sz w:val="24"/>
          <w:szCs w:val="24"/>
          <w:rtl w:val="0"/>
        </w:rPr>
        <w:t xml:space="preserve"> serves as a bridge between the transactions observed on the DUT’s interface (e.g., read or write operations) and the UVM register model.</w:t>
      </w:r>
    </w:p>
    <w:p w:rsidR="00000000" w:rsidDel="00000000" w:rsidP="00000000" w:rsidRDefault="00000000" w:rsidRPr="00000000" w14:paraId="0000000D">
      <w:pPr>
        <w:numPr>
          <w:ilvl w:val="0"/>
          <w:numId w:val="3"/>
        </w:numPr>
        <w:spacing w:after="240" w:before="0" w:beforeAutospacing="0" w:lineRule="auto"/>
        <w:ind w:left="1440" w:hanging="360"/>
        <w:rPr>
          <w:sz w:val="24"/>
          <w:szCs w:val="24"/>
        </w:rPr>
      </w:pPr>
      <w:r w:rsidDel="00000000" w:rsidR="00000000" w:rsidRPr="00000000">
        <w:rPr>
          <w:sz w:val="24"/>
          <w:szCs w:val="24"/>
          <w:rtl w:val="0"/>
        </w:rPr>
        <w:t xml:space="preserve">It translates the protocol-specific transactions (e.g., AHB, APB, AXI) into a format that the UVM register model understands.</w:t>
      </w:r>
    </w:p>
    <w:p w:rsidR="00000000" w:rsidDel="00000000" w:rsidP="00000000" w:rsidRDefault="00000000" w:rsidRPr="00000000" w14:paraId="0000000E">
      <w:pPr>
        <w:pStyle w:val="Heading3"/>
        <w:keepNext w:val="0"/>
        <w:keepLines w:val="0"/>
        <w:spacing w:before="280" w:lineRule="auto"/>
        <w:ind w:left="0" w:firstLine="720"/>
        <w:rPr>
          <w:b w:val="1"/>
          <w:color w:val="000000"/>
          <w:sz w:val="26"/>
          <w:szCs w:val="26"/>
        </w:rPr>
      </w:pPr>
      <w:bookmarkStart w:colFirst="0" w:colLast="0" w:name="_kmrtg4b1x2es" w:id="1"/>
      <w:bookmarkEnd w:id="1"/>
      <w:r w:rsidDel="00000000" w:rsidR="00000000" w:rsidRPr="00000000">
        <w:rPr>
          <w:b w:val="1"/>
          <w:color w:val="000000"/>
          <w:sz w:val="26"/>
          <w:szCs w:val="26"/>
          <w:rtl w:val="0"/>
        </w:rPr>
        <w:t xml:space="preserve">2. Enabling the Predictor</w:t>
      </w:r>
    </w:p>
    <w:p w:rsidR="00000000" w:rsidDel="00000000" w:rsidP="00000000" w:rsidRDefault="00000000" w:rsidRPr="00000000" w14:paraId="0000000F">
      <w:pPr>
        <w:numPr>
          <w:ilvl w:val="0"/>
          <w:numId w:val="1"/>
        </w:numPr>
        <w:spacing w:after="0" w:afterAutospacing="0" w:before="24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predictor</w:t>
      </w:r>
      <w:r w:rsidDel="00000000" w:rsidR="00000000" w:rsidRPr="00000000">
        <w:rPr>
          <w:sz w:val="24"/>
          <w:szCs w:val="24"/>
          <w:rtl w:val="0"/>
        </w:rPr>
        <w:t xml:space="preserve"> uses the adapter to interpret transactions on the DUT bus and predict the resulting changes in the UVM register model.</w:t>
      </w:r>
    </w:p>
    <w:p w:rsidR="00000000" w:rsidDel="00000000" w:rsidP="00000000" w:rsidRDefault="00000000" w:rsidRPr="00000000" w14:paraId="00000010">
      <w:pPr>
        <w:numPr>
          <w:ilvl w:val="0"/>
          <w:numId w:val="1"/>
        </w:numPr>
        <w:spacing w:after="240" w:before="0" w:beforeAutospacing="0" w:lineRule="auto"/>
        <w:ind w:left="1440" w:hanging="360"/>
        <w:rPr>
          <w:sz w:val="24"/>
          <w:szCs w:val="24"/>
        </w:rPr>
      </w:pPr>
      <w:r w:rsidDel="00000000" w:rsidR="00000000" w:rsidRPr="00000000">
        <w:rPr>
          <w:sz w:val="24"/>
          <w:szCs w:val="24"/>
          <w:rtl w:val="0"/>
        </w:rPr>
        <w:t xml:space="preserve">For example, if a write transaction is observed on the bus, the adapter translates the bus transaction into a register write operation, allowing the predictor to update the mirrored value in the UVM model.</w:t>
      </w:r>
    </w:p>
    <w:p w:rsidR="00000000" w:rsidDel="00000000" w:rsidP="00000000" w:rsidRDefault="00000000" w:rsidRPr="00000000" w14:paraId="00000011">
      <w:pPr>
        <w:pStyle w:val="Heading3"/>
        <w:keepNext w:val="0"/>
        <w:keepLines w:val="0"/>
        <w:spacing w:before="280" w:lineRule="auto"/>
        <w:ind w:left="0" w:firstLine="720"/>
        <w:rPr>
          <w:b w:val="1"/>
          <w:color w:val="000000"/>
          <w:sz w:val="26"/>
          <w:szCs w:val="26"/>
        </w:rPr>
      </w:pPr>
      <w:bookmarkStart w:colFirst="0" w:colLast="0" w:name="_d0znaz4vip1c" w:id="2"/>
      <w:bookmarkEnd w:id="2"/>
      <w:r w:rsidDel="00000000" w:rsidR="00000000" w:rsidRPr="00000000">
        <w:rPr>
          <w:b w:val="1"/>
          <w:color w:val="000000"/>
          <w:sz w:val="26"/>
          <w:szCs w:val="26"/>
          <w:rtl w:val="0"/>
        </w:rPr>
        <w:t xml:space="preserve">In Summary</w:t>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sz w:val="24"/>
          <w:szCs w:val="24"/>
          <w:rtl w:val="0"/>
        </w:rPr>
        <w:t xml:space="preserve">The statement </w:t>
      </w:r>
      <w:r w:rsidDel="00000000" w:rsidR="00000000" w:rsidRPr="00000000">
        <w:rPr>
          <w:rFonts w:ascii="Roboto Mono" w:cs="Roboto Mono" w:eastAsia="Roboto Mono" w:hAnsi="Roboto Mono"/>
          <w:sz w:val="24"/>
          <w:szCs w:val="24"/>
          <w:rtl w:val="0"/>
        </w:rPr>
        <w:t xml:space="preserve">predictor_inst.adapter = adapter_inst;</w:t>
      </w:r>
      <w:r w:rsidDel="00000000" w:rsidR="00000000" w:rsidRPr="00000000">
        <w:rPr>
          <w:sz w:val="24"/>
          <w:szCs w:val="24"/>
          <w:rtl w:val="0"/>
        </w:rPr>
        <w:t xml:space="preserve"> ensures that the predictor can translate DUT transactions into UVM register model updates using the adapter. This keeps the predictor's design simple, focusing solely on predicting changes rather than dealing with protocol-specific details. It allows the predictor to synchronize the register model accurately based on observed bus activity.</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Dec 9,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sz w:val="20"/>
        <w:szCs w:val="20"/>
        <w:shd w:fill="efefef" w:val="clear"/>
      </w:rPr>
    </w:pPr>
    <w:r w:rsidDel="00000000" w:rsidR="00000000" w:rsidRPr="00000000">
      <w:rPr>
        <w:sz w:val="20"/>
        <w:szCs w:val="20"/>
        <w:rtl w:val="0"/>
      </w:rPr>
      <w:t xml:space="preserve">UVM-2</w:t>
      <w:tab/>
      <w:tab/>
      <w:tab/>
      <w:tab/>
      <w:tab/>
      <w:tab/>
      <w:tab/>
      <w:tab/>
      <w:tab/>
      <w:tab/>
      <w:t xml:space="preserve">`</w:t>
      <w:tab/>
    </w:r>
    <w:hyperlink r:id="rId1">
      <w:r w:rsidDel="00000000" w:rsidR="00000000" w:rsidRPr="00000000">
        <w:rPr>
          <w:color w:val="0000ee"/>
          <w:sz w:val="20"/>
          <w:szCs w:val="20"/>
          <w:u w:val="single"/>
          <w:shd w:fill="efefef"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