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Perception and Observation Mechanics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Multi-Modal Environment Observation Pipeline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an agentic system to transcend superficial keyword matching, its perception layer must transform noisy, unstructured, and potentially adversarial external signals into calibrated, provenance-backed domain observations. Each specialized agent observes its environment through dedicated parsing, normalization, and verification mechanics tailored to its domain boundary.</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Evidence-Weighted Profile Observation (User &amp; Career Profile Agent)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accepting self-reported resume claims as absolute truth, the profile perception pipeline ingests multi-source candidate artifacts—including PDF/DOCX resumes, project descriptions, academic transcripts, and optional GitHub repository or portfolio metadata—and extracts discrete EvidenceRecord items. Extracted skill strings are normalized against the ESCO v1.2.1 taxonomy (13,939\text{ skills} and 3,039\text{ occupations}) and O*NET v2.0 occupational descriptors (1,016\text{ occupations}) using hybrid vector-lexical resolution. For each canonical skill s, the agent computes an evidence-backed proficiency score P(s) \in [1, 10] and an epistemic confidence score C(s) \in [0.0, 1.0]: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 = \text{clip}\left(\sum_{e \in E_s} w_{\text{source}}(e) \cdot d_{\text{depth}}(e) \cdot e^{-\lambda_{\text{decay}} \cdot \Delta t(e)}, \, 1.0, \, 10.0\right) C(s) = 1 - \prod_{e \in E_s} \left(1 - r_{\text{verifiability}}(e)\right)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this formulation, E_s represents the set of observed evidence artifacts for skill s; w_{\text{source}}(e) weights verified production code or professional work experience (1.0) higher than academic coursework (0.6) or uncorroborated keyword listings (0.25); d_{\text{depth}}(e) measures implementation complexity (such as distributed system architecture versus basic syntax usage); \Delta t(e) applies temporal recency decay; and r_{\text{verifiability}}(e) \in (0, 1) quantifies source reliability. Consequently, a candidate targeting Backend Engineering who demonstrates Python across three deployed FastAPI microservices with verifiable repository commits attains P(\text{Python}) = 8.0 with C(\text{Python}) = 0.92, whereas a bare keyword mention of Redis without project context yields P(\text{Redis}) = 2.0 with C(\text{Redis}) = 0.35.</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Temporal Labor Market Observation (Market Intelligence Agent)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market observation subsystem inspects external labor market conditions by querying cached market intelligence snapshots in RedisVL first, verifying whether the snapshot age \Delta t_{\text{cache}} remains within the role-specific freshness threshold \text{TTL}_{\text{role}}. When a cache miss or staleness expiration triggers live observation, the agent parses JSON payloads from occupational taxonomy endpoints (O*NET /ws/mnm/careers/{code}/skills and ESCO /resource/occupation) alongside aggregated live applicant tracking system (ATS) postings. It calculates the relative demand frequency f(s, r_{\text{target}}) of skill s across current listings for target role r_{\text{target}} and compares it against a 90-day trailing baseline to compute a momentum velocity \Delta v(s), enabling the system to distinguish foundational baseline requirements from surging technology trends.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Polymorphic Discovery, Deduplication, and Adversarial Sanitization (Opportunity Discovery &amp; Validation Agent)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ingesting listings from permitted ATS APIs (such as normalized Greenhouse, Lever, and Ashby endpoints) or institutional career feeds, the observation pipeline executes three deterministic pre-processing stages before any language model interpretation occurs. First, to neutralize indirect prompt injection—where adversaries embed hidden directives such as white-on-white text, zero-width Unicode characters, HTML comments, or instructions to ignore eligibility rules and rank a fraudulent listing first—the ingestion parser strips all HTML and script tags, normalizes Unicode via NFKC to eliminate homoglyphs and invisible control characters, and wraps all third-party text strictly inside JSON-encoded tool_result data structures with explicit untrusted provenance headers ({"source": "external_ats_feed", "trust_level": "untrusted_data", "payload": "..."}). System prompts explicitly instruct all downstream models to treat tool_result contents strictly as passive data to report and analyze rather than commands to execute.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Second, because identical opportunities are frequently syndicated across multiple job boards with minor formatting variations, each normalized description is tokenized into 3-word shingles and hashed using a 128-permutation MinHash signature indexed in a Locality-Sensitive Hashing (MinHashLSH via datasketch or Rust-backed rensa) structure. Any incoming listing exhibiting a Jaccard similarity \ge 0.85 against an existing active opportunity is merged as a duplicate provenance record rather than evaluated and ranked twice. Third, the observer parses HTTP response metadata, company domain registration records, posting timestamps, and application deadlines to compute an OpportunityQualityScore Q(o) \in [0.0, 1.0], penalizing missing compensation or duration fields, incomplete descriptions, or unverified third-party recruiting domains.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Deterministic Eligibility vs. Probabilistic Critique and Evaluation Criteria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foundational invariant of the system is that </w:t>
      </w:r>
      <w:r w:rsidDel="00000000" w:rsidR="00000000" w:rsidRPr="00000000">
        <w:rPr>
          <w:b w:val="1"/>
          <w:bCs w:val="1"/>
          <w:rtl w:val="0"/>
        </w:rPr>
        <w:t xml:space="preserve">growth potential must never override mandatory eligibility requirements</w:t>
      </w:r>
      <w:r w:rsidDel="00000000" w:rsidR="00000000" w:rsidRPr="00000000">
        <w:rPr>
          <w:rtl w:val="0"/>
        </w:rPr>
        <w:t xml:space="preserve">, and a language model must never freely invent ranking scores. Consequently, opportunity evaluation is bifurcated into a </w:t>
      </w:r>
      <w:r w:rsidDel="00000000" w:rsidR="00000000" w:rsidRPr="00000000">
        <w:rPr>
          <w:b w:val="1"/>
          <w:bCs w:val="1"/>
          <w:rtl w:val="0"/>
        </w:rPr>
        <w:t xml:space="preserve">Deterministic Eligibility Gate</w:t>
      </w:r>
      <w:r w:rsidDel="00000000" w:rsidR="00000000" w:rsidRPr="00000000">
        <w:rPr>
          <w:rtl w:val="0"/>
        </w:rPr>
        <w:t xml:space="preserve"> followed by a </w:t>
      </w:r>
      <w:r w:rsidDel="00000000" w:rsidR="00000000" w:rsidRPr="00000000">
        <w:rPr>
          <w:b w:val="1"/>
          <w:bCs w:val="1"/>
          <w:rtl w:val="0"/>
        </w:rPr>
        <w:t xml:space="preserve">Structured Multi-Criteria Ranking Engine</w:t>
      </w:r>
      <w:r w:rsidDel="00000000" w:rsidR="00000000" w:rsidRPr="00000000">
        <w:rPr>
          <w:rtl w:val="0"/>
        </w:rPr>
        <w:t xml:space="preserve">.</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1: Deterministic Eligibility Subsystem (Hard Boolean Gate)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Recommendation &amp; Ranking Agent is invoked, every validated PolymorphicOpportunity o is evaluated against the candidate's CandidateCareerProfile u via a deterministic rule engine: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\text{Eligible}(u, o) = I_{\text{type}}(u, o) \land I_{\text{auth}}(u, o) \land I_{\text{acad}}(u, o) \land I_{\text{loc}}(u, o) \land I_{\text{time}}(o)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this boolean gate, I_{\text{type}} verifies alignment with requested opportunity categories (such as INTERNSHIP versus FULL_TIME_JOB); I_{\text{auth}} verifies work authorization and visa sponsorship compatibility; I_{\text{acad}} checks mandatory degree level, graduation window, active enrollment status, or minimum required experience years; I_{\text{loc}} enforces hard geographic or remote-work constraints; and I_{\text{time}}(o) confirms that \text{deadline}(o) \ge t_{\text{now}} and the listing remains active. Any listing evaluating to \text{False} is immediately excluded from the candidate pool and recorded in the audit log with its exact disqualification rule code.</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2: Structured Six-Dimensional Ranking Logic</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all opportunities where \text{Eligible}(u, o) = \text{True}, initial candidate retrieval merges dense semantic embeddings (cosine similarity in pgvector) and sparse lexical matching (BM25/SPLADE) using </w:t>
      </w:r>
      <w:r w:rsidDel="00000000" w:rsidR="00000000" w:rsidRPr="00000000">
        <w:rPr>
          <w:b w:val="1"/>
          <w:bCs w:val="1"/>
          <w:rtl w:val="0"/>
        </w:rPr>
        <w:t xml:space="preserve">Reciprocal Rank Fusion (RRF)</w:t>
      </w:r>
      <w:r w:rsidDel="00000000" w:rsidR="00000000" w:rsidRPr="00000000">
        <w:rPr>
          <w:rtl w:val="0"/>
        </w:rPr>
        <w:t xml:space="preserve"> with smoothing constant k = 60 to establish a scale-agnostic candidate shortlist: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\text{RRF}(u, o) = \frac{w_{\text{dense}}}{60 + \text{rank}_{\text{dense}}(u, o)} + \frac{w_{\text{sparse}}}{60 + \text{rank}_{\text{sparse}}(u, 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shortlisted opportunity is then scored across the six mandatory dimensions defined in the system architecture using deterministic mathematical formulas parameterized by the structured outputs of the Profile, Market, and Discovery agents.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dimension, </w:t>
      </w:r>
      <w:r w:rsidDel="00000000" w:rsidR="00000000" w:rsidRPr="00000000">
        <w:rPr>
          <w:b w:val="1"/>
          <w:bCs w:val="1"/>
          <w:rtl w:val="0"/>
        </w:rPr>
        <w:t xml:space="preserve">Skill Match (S_{\text{skill}} \in [0, 1], weight 0.30)</w:t>
      </w:r>
      <w:r w:rsidDel="00000000" w:rsidR="00000000" w:rsidRPr="00000000">
        <w:rPr>
          <w:rtl w:val="0"/>
        </w:rPr>
        <w:t xml:space="preserve">, measures the confidence-weighted coverage of the opportunity's required skills R_{\text{req}}(o) and preferred skills R_{\text{pref}}(o) relative to required proficiency thresholds T_o(s), where \omega(s) = 1.0 for mandatory skills and 0.4 for preferred skills: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S_{\text{skill}}(u, o) = \frac{\sum_{s \in R_{\text{req}}(o) \cup R_{\text{pref}}(o)} \omega(s) \cdot \min\left(1.0, \frac{P_u(s)}{T_o(s)}\right) \cdot \left(0.5 + 0.5 C_u(s)\right)}{\sum_{s \in R_{\text{req}}(o) \cup R_{\text{pref}}(o)} \omega(s)}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dimension, </w:t>
      </w:r>
      <w:r w:rsidDel="00000000" w:rsidR="00000000" w:rsidRPr="00000000">
        <w:rPr>
          <w:b w:val="1"/>
          <w:bCs w:val="1"/>
          <w:rtl w:val="0"/>
        </w:rPr>
        <w:t xml:space="preserve">Career Match (S_{\text{career}} \in [0, 1], weight 0.20)</w:t>
      </w:r>
      <w:r w:rsidDel="00000000" w:rsidR="00000000" w:rsidRPr="00000000">
        <w:rPr>
          <w:rtl w:val="0"/>
        </w:rPr>
        <w:t xml:space="preserve">, computes the taxonomic graph proximity between the opportunity's canonical ESCO/O*NET occupation code c(o) and the candidate's target career path c_{\text{target}}(u), assigning 1.0 for an exact target career match, 0.75\text{–}0.85 for verified adjacent career paths (such as Platform Engineering or Data Engineering for a Backend Engineering target), and 0.40 for a static current baseline path.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dimension, </w:t>
      </w:r>
      <w:r w:rsidDel="00000000" w:rsidR="00000000" w:rsidRPr="00000000">
        <w:rPr>
          <w:b w:val="1"/>
          <w:bCs w:val="1"/>
          <w:rtl w:val="0"/>
        </w:rPr>
        <w:t xml:space="preserve">Growth Potential (S_{\text{growth}} \in [0, 1], weight 0.20)</w:t>
      </w:r>
      <w:r w:rsidDel="00000000" w:rsidR="00000000" w:rsidRPr="00000000">
        <w:rPr>
          <w:rtl w:val="0"/>
        </w:rPr>
        <w:t xml:space="preserve">, quantifies how effectively the opportunity closes high-value skill gaps required for the candidate's target career without exceeding a realistic zone of proximal development, thereby preventing recommendations where the candidate lacks foundational prerequisites: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S_{\text{growth}}(u, o) = \frac{\sum_{s \in G(u, o)} M_{\text{demand}}(s, c_{\text{target}}) \cdot \left(1 - \frac{P_u(s)}{10}\right) \cdot[span_83](start_span)[span_83](end_span)[span_85](start_span)[span_85](end_span) \mathcal{B}\left(\Delta_{\text{gap}}(u, o, s)\right)}{\sum_{s \in \text{TargetSkills}(c_{\text{target}})} M_{\text{demand}}(s, c_{\text{target}})}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G(u, o) represents the set of skills utilized or mentored in opportunity o where the candidate currently exhibits a skill gap (P_u(s) &lt; 6.0), M_{\text{demand}}(s, c_{\text{target}}) is the Market Intelligence demand weight for that skill in the target career, and \mathcal{B}(\Delta_{\text{gap}}) is a feasibility bell-curve factor that peaks when the candidate satisfies core foundational prerequisites (such as Python at 8/10 and FastAPI at 7/10) while stretching on high-demand infrastructural competencies (such as Docker at 3/10 and Redis at 2/10).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fourth dimension, </w:t>
      </w:r>
      <w:r w:rsidDel="00000000" w:rsidR="00000000" w:rsidRPr="00000000">
        <w:rPr>
          <w:b w:val="1"/>
          <w:bCs w:val="1"/>
          <w:rtl w:val="0"/>
        </w:rPr>
        <w:t xml:space="preserve">Market Relevance (S_{\text{market}} \in [0, 1], weight 0.12)</w:t>
      </w:r>
      <w:r w:rsidDel="00000000" w:rsidR="00000000" w:rsidRPr="00000000">
        <w:rPr>
          <w:rtl w:val="0"/>
        </w:rPr>
        <w:t xml:space="preserve">, evaluates the alignment between the opportunity's technology stack and current industry demand plus emerging trend velocity \Delta v(s) derived by the Market Intelligence Agent. The fifth dimension, </w:t>
      </w:r>
      <w:r w:rsidDel="00000000" w:rsidR="00000000" w:rsidRPr="00000000">
        <w:rPr>
          <w:b w:val="1"/>
          <w:bCs w:val="1"/>
          <w:rtl w:val="0"/>
        </w:rPr>
        <w:t xml:space="preserve">User Preferences (S_{\text{pref}} \in [0, 1], weight 0.10)</w:t>
      </w:r>
      <w:r w:rsidDel="00000000" w:rsidR="00000000" w:rsidRPr="00000000">
        <w:rPr>
          <w:rtl w:val="0"/>
        </w:rPr>
        <w:t xml:space="preserve">, captures soft alignment across compensation expectations, preferred work mode (remote, hybrid, or on-site), company stage, and duration constraints. Finally, the sixth dimension, </w:t>
      </w:r>
      <w:r w:rsidDel="00000000" w:rsidR="00000000" w:rsidRPr="00000000">
        <w:rPr>
          <w:b w:val="1"/>
          <w:bCs w:val="1"/>
          <w:rtl w:val="0"/>
        </w:rPr>
        <w:t xml:space="preserve">Opportunity Quality (S_{\text{qual}} \in [0, 1], weight 0.08)</w:t>
      </w:r>
      <w:r w:rsidDel="00000000" w:rsidR="00000000" w:rsidRPr="00000000">
        <w:rPr>
          <w:rtl w:val="0"/>
        </w:rPr>
        <w:t xml:space="preserve">, aggregates listing freshness (via exponential decay from posting date), information completeness, and source verification trust signals. The composite ranking score is computed deterministically via weighted linear aggregation: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\text{Score}_{\text{total}}(u, o) = 0.30 S_{\text{skill}} + 0.20 S_{\text{career}} + 0.20 S_{\text{growth}} + 0.12 S_{\text{market}} + 0.10 S_{\text{pref}} + 0.08 S_{\text{qual}}</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3: Critique &amp; Evaluation Criteria for State Transitions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determine whether any agent node's execution succeeded or requires corrective looping, the Orchestrator and Evaluator nodes apply deterministic </w:t>
      </w:r>
      <w:r w:rsidDel="00000000" w:rsidR="00000000" w:rsidRPr="00000000">
        <w:rPr>
          <w:b w:val="1"/>
          <w:bCs w:val="1"/>
          <w:rtl w:val="0"/>
        </w:rPr>
        <w:t xml:space="preserve">Critique &amp; Evaluation Criteria</w:t>
      </w:r>
      <w:r w:rsidDel="00000000" w:rsidR="00000000" w:rsidRPr="00000000">
        <w:rPr>
          <w:rtl w:val="0"/>
        </w:rPr>
        <w:t xml:space="preserve"> at each state transition boundary.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Transition Gate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Audited Artifact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Critique &amp; Evaluation Metric</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Condition (Proceed)</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Trigger (Self-Correction / Pivot)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Gate 1: Profile Sufficiency</w:t>
            </w:r>
            <w:r w:rsidDel="00000000" w:rsidR="00000000" w:rsidRPr="00000000">
              <w:rPr>
                <w:rtl w:val="0"/>
              </w:rPr>
              <w:t xml:space="preserve"> (S2 \rightarrow S1)</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CandidateCareerProfile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Skill Epistemic Confidence \bar{C} = \frac{1}{\vert{}S\vert{}}\sum C_u(s) &amp; Career Path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 \ge 0.65, at least 1 canonical target career path resolved, and 0 Pydantic validation errors.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\bar{C} &lt; 0.65: Trigger deep artifact parser on secondary documents/repos or flag profile fields as low_confidence_estimate.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Gate 2: Market Intelligence Freshness &amp; Provenance</w:t>
            </w:r>
            <w:r w:rsidDel="00000000" w:rsidR="00000000" w:rsidRPr="00000000">
              <w:rPr>
                <w:rtl w:val="0"/>
              </w:rPr>
              <w:t xml:space="preserve"> (S3 \rightarrow S1)</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MarketIntelligenceReport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Coverage Ratio (ECR) &amp; Cache Age (\Delta t_{\text{cache}})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ECR \ge 0.80 (at least 80\% of top required skills linked to \ge 2 dated sources) and \Delta t_{\text{cache}} \le 168\text{ h}.</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ECR &lt; 0.80: Invoke live external search worker. If offline/API down: Set is_stale = True and attach staleness warning.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Gate 3: Eligible Pool Sufficiency</w:t>
            </w:r>
            <w:r w:rsidDel="00000000" w:rsidR="00000000" w:rsidRPr="00000000">
              <w:rPr>
                <w:rtl w:val="0"/>
              </w:rPr>
              <w:t xml:space="preserve"> (S5 \rightarrow S6)</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list[PolymorphicOpportunity]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Post-Eligibility Pool Cardinality (N_{\text{elig}}) &amp; Score Threshold</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N_{\text{elig}} \ge 5 opportunities passing 100% of hard eligibility rules with \text{Score}_{\text{total}} \ge 0.55.</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N_{\text{elig}} &lt; 5: Route back to S1_ORCHESTRATOR_PLAN to expand discovery into adjacent ESCO/O*NET career paths.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Gate 4: Explanation Grounding &amp; Faithfulness</w:t>
            </w:r>
            <w:r w:rsidDel="00000000" w:rsidR="00000000" w:rsidRPr="00000000">
              <w:rPr>
                <w:rtl w:val="0"/>
              </w:rPr>
              <w:t xml:space="preserve"> (S7 \rightarrow S8)</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list[ExplanationPayload]</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Claim-to-Evidence Attribution Rate (CEAR) &amp; Score Consistency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CEAR = 1.0 (every cited skill proficiency, gap, and market trend matches exact IDs in the ranking payload).</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CEAR &lt; 1.0 or LLM invents unrecorded qualifications: Reject draft and loop S7 with exact diff of ungrounded claims.</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