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Error Handling, Retries, and Self-Healing</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Infrastructure and LLM Exception Taxonomy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Production multi-agent systems encounter transient infrastructure faults alongside probabilistic model failures. Rather than relying on generic catch-all exception blocks, the architecture classifies runtime exceptions into four isolated fault domains—provider rate limits, checkpointer concurrency locks, external tool timeouts, and schema validation violations—each governed by deterministic recovery mechanics.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mitigate upstream model rate limits (HTTP 429) and regional API outages (HTTP 500/502/503/504), all agent LLM invocations are routed through a self-hosted </w:t>
      </w:r>
      <w:r w:rsidDel="00000000" w:rsidR="00000000" w:rsidRPr="00000000">
        <w:rPr>
          <w:b w:val="1"/>
          <w:bCs w:val="1"/>
          <w:rtl w:val="0"/>
        </w:rPr>
        <w:t xml:space="preserve">LiteLLM AI Gateway</w:t>
      </w:r>
      <w:r w:rsidDel="00000000" w:rsidR="00000000" w:rsidRPr="00000000">
        <w:rPr>
          <w:rtl w:val="0"/>
        </w:rPr>
        <w:t xml:space="preserve"> configured with Redis-backed circuit breakers. Each model deployment alias defines allowed_fails = 3 within a rolling 60-second window and a cooldown_time =[span_171](start_span)[span_171](end_span)[span_172](start_span)[span_172](end_span)[span_173](start_span)[span_173](end_span) 60[span_32](start_span)[span_32](end_span) seconds. If a primary cloud provider (such as Gemini 2.5 Pro or Claude Sonnet) crosses the allowed_fails threshold due to burst rate limiting or provider degradation, the circuit breaker opens instantaneously and routes subsequent requests across a prioritized fallback cascade: Secondary Cloud Provider \rightarrow Local GPU/CPU </w:t>
      </w:r>
      <w:r w:rsidDel="00000000" w:rsidR="00000000" w:rsidRPr="00000000">
        <w:rPr>
          <w:b w:val="1"/>
          <w:bCs w:val="1"/>
          <w:rtl w:val="0"/>
        </w:rPr>
        <w:t xml:space="preserve">Ollama</w:t>
      </w:r>
      <w:r w:rsidDel="00000000" w:rsidR="00000000" w:rsidRPr="00000000">
        <w:rPr>
          <w:rtl w:val="0"/>
        </w:rPr>
        <w:t xml:space="preserve"> instance running quantized open-weights models (qwen2.5:14b-instruct or llama3.1:8b-instruct), fulfilling the offline and local AI resilience requirement without interrupting graph execution.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persistence tier, empirical load testing of LangGraph's AsyncPostgresSaver under high-concurrency FastAPI workloads (500\text{ concurrent users}) demonstrates that an instance-level asyncio.Lock serializes database multiplexing across psycopg_pool.AsyncConnectionPool, collapsing throughput from 1,295.10\text{ req/s} (88\text{ ms} average latency) to 199.90\text{ req/s} (1,923\text{ ms} average latency). To eliminate this serialization bottleneck, the persistence layer initializes AsyncPostgresSaver using a custom pool wrapper that bypasses the instance-wide asyncio.Lock whenever backed by a thread-safe AsyncConnectionPool(min_size=10, max_size=100) and configures LangGraph durability mode to "async" for intermediate worker supersteps and "sync" at terminal state boundaries.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external tool timeouts and malformed third-party feeds, every external tool invocation (ATS scraping, O*NET, and ESCO REST queries) is wrapped in a RetryPolicy utilizing exponential backoff with full jitter (t_{\text{sleep}} = \text{random}(0, \min(T_{\text{max}}, b \cdot 2^{\text{attempt}}))), capped at 3\text{ attempts} and a strict per-call asyncio.wait_for timeout of 4,000\text{ ms}. Furthermore, HTTP clients fetching ESCO API endpoints inside containerized environments enforce standard httpx chunked transfer decoding to prevent strict content-length body-read crashes observed when upstream servers report uncompressed header lengths on compressed payloads. Finally, when an agent emits a tool call or structured output containing hallucinated function arguments or schema violations—such as passing an arbitrary string instead of a valid OpportunityCategory enum or omitting mandatory provenance URLs—the exception is intercepted at the ToolNode validation boundary before any external network call is dispatched.</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Deterministic Fallback and Self-Correction Loop</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When an observation or critique gate detects a failure, the system executes a deterministic </w:t>
      </w:r>
      <w:r w:rsidDel="00000000" w:rsidR="00000000" w:rsidRPr="00000000">
        <w:rPr>
          <w:b w:val="1"/>
          <w:bCs w:val="1"/>
          <w:rtl w:val="0"/>
        </w:rPr>
        <w:t xml:space="preserve">Self-Correction Loop</w:t>
      </w:r>
      <w:r w:rsidDel="00000000" w:rsidR="00000000" w:rsidRPr="00000000">
        <w:rPr>
          <w:rtl w:val="0"/>
        </w:rPr>
        <w:t xml:space="preserve"> that modifies either the prompt context or the search trajectory while enforcing strict mathematical bounds against infinite execution loops.</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Algorithmic Flow 1: Intra-Node Schema &amp; Faithfulness Self-Correction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When a worker agent produces an invalid tool call or an explanation draft that fails Gate 4 (Explanation Grounding Audit), the node never blindly retries the identical prompt. Instead, the error handler intercepts the Pydantic ValidationError.errors() JSON array (capturing the exact field location loc, failure message msg, and rejected input_value) or the Critique Evaluator's diff of ungrounded claims. It then injects a synthetic diagnostic ToolMessage turn into the node's local message list instructing the model to rewrite the output strictly adhering to the JSON schema using only verified entity IDs present in the state payload, while simultaneously lowering the sampling temperature to 0.0 to enforce greedy, deterministic token selection. If the node exhausts its retry budget (max_retries = 2) without passing validation, the self-correction loop trips to a </w:t>
      </w:r>
      <w:r w:rsidDel="00000000" w:rsidR="00000000" w:rsidRPr="00000000">
        <w:rPr>
          <w:b w:val="1"/>
          <w:bCs w:val="1"/>
          <w:rtl w:val="0"/>
        </w:rPr>
        <w:t xml:space="preserve">Deterministic Template Fallback</w:t>
      </w:r>
      <w:r w:rsidDel="00000000" w:rsidR="00000000" w:rsidRPr="00000000">
        <w:rPr>
          <w:rtl w:val="0"/>
        </w:rPr>
        <w:t xml:space="preserve">. For the explanation subsystem, a pure Python formatter synthesizes a guaranteed-safe explanation directly from the verified mathematical ranking breakdown (for example, stating that the opportunity achieved an 84\% composite match through alignment with verified Python and FastAPI proficiency while offering structured growth in target Backend Engineering gaps such as Docker and Redis).</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Algorithmic Flow 2: Inter-Node Orchestrator Trajectory Modification (Query Expansion)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S5_ELIGIBILITY_FILTER yields fewer than K_{\text{min}} = 5 eligible opportunities (N_{\text{elig}} &lt; 5), repeating the identical discovery query is futile. The Orchestrator executes a progressive three-stage trajectory pivot across bounded iterations (discovery_expansion_level \in \{0, 1, 2\}) while keeping </w:t>
      </w:r>
      <w:r w:rsidDel="00000000" w:rsidR="00000000" w:rsidRPr="00000000">
        <w:rPr>
          <w:b w:val="1"/>
          <w:bCs w:val="1"/>
          <w:rtl w:val="0"/>
        </w:rPr>
        <w:t xml:space="preserve">100% of hard eligibility rules locked</w:t>
      </w:r>
      <w:r w:rsidDel="00000000" w:rsidR="00000000" w:rsidRPr="00000000">
        <w:rPr>
          <w:rtl w:val="0"/>
        </w:rPr>
        <w:t xml:space="preserv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Trajectory Expansion Level</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 Condition</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Orchestrator Query &amp; State Modification Mechanics</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Loop Prevention &amp; Termination Guard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Level 0: Baseline Target Search</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entry into S4_OP[span_33](start_span)[span_33](end_span)PORTUNITY_DISCOVERY (expansion_level == 0).</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Queries primary target occupation codes (target_career_paths) with all candidate soft preferences (preferred company size, hybrid radius, stipend/compensation targets) applied as retrieval filters.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 parameter dictionary is canonicalized and hashed (SHA-256) into executed_query_hashes.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Level 1: Soft Preference Relaxation &amp; Taxonomy Broadening</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Post-eligibility pool N_{\text{elig}} &lt; 5 after Level 0 (expansion_level == 1).</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Rewrites OpportunitySearchToolInput to relax non-mandatory soft preferences and widens specific framework keywords to parent ESCO skill families (e.g., broadening FastAPI to Python Web Frameworks), while preserving all hard eligibility constraints.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Rejects execution if the broadened query hash already exists in executed_query_hashes; increments orchestrator_loop_count.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Level 2: Adjacent Career Path Map-Reduce Fan-Out</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Post-eligibility pool N_{\text{elig}} &lt; 5 after Level 1 (expansion_level == 2).</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Extracts canonical occupation codes from adjacent_career_paths (e.g., expanding from </w:t>
            </w:r>
            <w:r w:rsidDel="00000000" w:rsidR="00000000" w:rsidRPr="00000000">
              <w:rPr>
                <w:i w:val="1"/>
                <w:iCs w:val="1"/>
                <w:rtl w:val="0"/>
              </w:rPr>
              <w:t xml:space="preserve">Backend Engineer</w:t>
            </w:r>
            <w:r w:rsidDel="00000000" w:rsidR="00000000" w:rsidRPr="00000000">
              <w:rPr>
                <w:rtl w:val="0"/>
              </w:rPr>
              <w:t xml:space="preserve"> to </w:t>
            </w:r>
            <w:r w:rsidDel="00000000" w:rsidR="00000000" w:rsidRPr="00000000">
              <w:rPr>
                <w:i w:val="1"/>
                <w:iCs w:val="1"/>
                <w:rtl w:val="0"/>
              </w:rPr>
              <w:t xml:space="preserve">Cloud Platform Engineer</w:t>
            </w:r>
            <w:r w:rsidDel="00000000" w:rsidR="00000000" w:rsidRPr="00000000">
              <w:rPr>
                <w:rtl w:val="0"/>
              </w:rPr>
              <w:t xml:space="preserve"> and </w:t>
            </w:r>
            <w:r w:rsidDel="00000000" w:rsidR="00000000" w:rsidRPr="00000000">
              <w:rPr>
                <w:i w:val="1"/>
                <w:iCs w:val="1"/>
                <w:rtl w:val="0"/>
              </w:rPr>
              <w:t xml:space="preserve">Data Pipeline Engineer</w:t>
            </w:r>
            <w:r w:rsidDel="00000000" w:rsidR="00000000" w:rsidRPr="00000000">
              <w:rPr>
                <w:rtl w:val="0"/>
              </w:rPr>
              <w:t xml:space="preserve">) and dispatches parallel worker instances via LangGraph's Send API.</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 ceiling at expansion_level == 2. If N_{\text{elig}} remains &lt; 5, transitions to S6_RANKING_EVAL with partial pool and sets terminal_status = "DEGRADED_PARTIAL".</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Infinite execution loops across the state graph are prevented by three orthogonal invariants: a monotonically incrementing state counter (orchestrator_loop_count) checked against MAX_ORCHESTRATOR_LOOPS = 4 on every conditional edge; the cryptographic SHA-256 </w:t>
      </w:r>
      <w:r w:rsidDel="00000000" w:rsidR="00000000" w:rsidRPr="00000000">
        <w:rPr>
          <w:b w:val="1"/>
          <w:bCs w:val="1"/>
          <w:rtl w:val="0"/>
        </w:rPr>
        <w:t xml:space="preserve">Action Signature Set</w:t>
      </w:r>
      <w:r w:rsidDel="00000000" w:rsidR="00000000" w:rsidRPr="00000000">
        <w:rPr>
          <w:rtl w:val="0"/>
        </w:rPr>
        <w:t xml:space="preserve"> (executed_query_hashes) in state that blocks duplicate tool invocations within the same thread; and LangGraph's hard runtime recursion_limit = 25 compiled directly into the graph's Run[span_194](start_span)[span_194](end_span)[span_195](start_span)[span_195](end_span)nableConfig.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