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b w:val="1"/>
          <w:bCs w:val="1"/>
          <w:sz w:val="32"/>
          <w:szCs w:val="32"/>
        </w:rPr>
      </w:pPr>
      <w:r w:rsidDel="00000000" w:rsidR="00000000" w:rsidRPr="00000000">
        <w:rPr>
          <w:b w:val="1"/>
          <w:bCs w:val="1"/>
          <w:sz w:val="32"/>
          <w:szCs w:val="32"/>
          <w:rtl w:val="0"/>
        </w:rPr>
        <w:t xml:space="preserve">5. Production Implementation Blueprint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Orchestration Framework Evaluation and Recommended Tech Stack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underlying orchestration framework requires evaluating production state control, deterministic gating support, and concurrency characteristics rather than rapid prototyping convenience.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Paradigm</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Limitations for This System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Verdict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LangGraph</w:t>
            </w:r>
            <w:r w:rsidDel="00000000" w:rsidR="00000000" w:rsidRPr="00000000">
              <w:rPr>
                <w:rtl w:val="0"/>
              </w:rPr>
              <w:t xml:space="preserve"> (Selected)</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Cyclic State Graph (StateGraph) with typed channels, reducers, and subgraphs.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programmatic gates, dynamic Map-Reduce parallelism via Send API, durable AsyncPostgresSaver checkpointing, fine-grained cyclic control.</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disciplined reducer design and connection pool lock tuning under high concurrency.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Selected Core Framework</w:t>
            </w:r>
            <w:r w:rsidDel="00000000" w:rsidR="00000000" w:rsidRPr="00000000">
              <w:rPr>
                <w:rtl w:val="0"/>
              </w:rPr>
              <w:t xml:space="preserve">: Matches the hybrid Supervisor + Deterministic Eligibility Gate topology.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CrewAI</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Role-based organizational crews (Process.sequential or Process.hi[span_240](start_span)[span_240](end_span)[span_241](start_span)[span_241](end_span)[span_242](start_span)[span_242](end_span)erarchical).</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role/backstory prompting, built-in output_pydantic task wrappers, max_rpm[span_243](start_span)[span_243](end_span)[span_244](start_span)[span_244](end_span) throttling.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Process.hierarchical, manager_llm frequently merges tasks into a single coarse tool or delegates to all agents indiscriminately; lacks native Send map-reduce primitives.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Rejected</w:t>
            </w:r>
            <w:r w:rsidDel="00000000" w:rsidR="00000000" w:rsidRPr="00000000">
              <w:rPr>
                <w:rtl w:val="0"/>
              </w:rPr>
              <w:t xml:space="preserve">: Insufficient deterministic state transition control for strict eligibility gating.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AutoGen / Magentic-One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multi-agent group chat and Ledger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open-ended code execution and generalist web browsing via Task/Progress Ledgers.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token overhead from multi-turn agent-to-agent chatter; conversational state makes strict mathematical ranking enforcement difficult.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Rejected</w:t>
            </w:r>
            <w:r w:rsidDel="00000000" w:rsidR="00000000" w:rsidRPr="00000000">
              <w:rPr>
                <w:rtl w:val="0"/>
              </w:rPr>
              <w:t xml:space="preserve">: Excess latency and token cost for structured recommendation pipelines.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Native LLM SDKs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Python asyncio state loops over raw provider APIs.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framework abstraction overhead; total control over prompt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re-inventing superstep checkpointing, subgraph namespaces, state reducers, and time-travel recovery from scratch.</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Used Inside Nodes Only</w:t>
            </w:r>
            <w:r w:rsidDel="00000000" w:rsidR="00000000" w:rsidRPr="00000000">
              <w:rPr>
                <w:rtl w:val="0"/>
              </w:rPr>
              <w:t xml:space="preserve">: Used via LiteLLM inside individual graph nodes, while LangGraph governs macro-state.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operationalize this selection without introducing microservice sprawl, the production deployment consolidates infrastructure into four high-cohesion operational tiers. The </w:t>
      </w:r>
      <w:r w:rsidDel="00000000" w:rsidR="00000000" w:rsidRPr="00000000">
        <w:rPr>
          <w:b w:val="1"/>
          <w:bCs w:val="1"/>
          <w:rtl w:val="0"/>
        </w:rPr>
        <w:t xml:space="preserve">API and Orchestration Tier</w:t>
      </w:r>
      <w:r w:rsidDel="00000000" w:rsidR="00000000" w:rsidRPr="00000000">
        <w:rPr>
          <w:rtl w:val="0"/>
        </w:rPr>
        <w:t xml:space="preserve"> runs stateless Python 3.12 FastAPI workers executing the compiled RecommendationGraphState machine, routing inference calls through LiteLLM to high-reasoning cloud models (Gemini 2.5 Pro/Flash or Claude Sonnet 4.5) for Orchestrator planning and Profile synthesis while leveraging local </w:t>
      </w:r>
      <w:r w:rsidDel="00000000" w:rsidR="00000000" w:rsidRPr="00000000">
        <w:rPr>
          <w:b w:val="1"/>
          <w:bCs w:val="1"/>
          <w:rtl w:val="0"/>
        </w:rPr>
        <w:t xml:space="preserve">Ollama</w:t>
      </w:r>
      <w:r w:rsidDel="00000000" w:rsidR="00000000" w:rsidRPr="00000000">
        <w:rPr>
          <w:rtl w:val="0"/>
        </w:rPr>
        <w:t xml:space="preserve"> containers for offline capability and cost-efficient structured extraction. Beneath the compute tier, the </w:t>
      </w:r>
      <w:r w:rsidDel="00000000" w:rsidR="00000000" w:rsidRPr="00000000">
        <w:rPr>
          <w:b w:val="1"/>
          <w:bCs w:val="1"/>
          <w:rtl w:val="0"/>
        </w:rPr>
        <w:t xml:space="preserve">Unified Data and Vector Tier</w:t>
      </w:r>
      <w:r w:rsidDel="00000000" w:rsidR="00000000" w:rsidRPr="00000000">
        <w:rPr>
          <w:rtl w:val="0"/>
        </w:rPr>
        <w:t xml:space="preserve"> standardizes on a single managed PostgreSQL 16 cluster equipped with pgvector HNSW indexes and the langgraph_checkpoints schema, housing relational tables (profiles, opportunities, market_reports, recommendations, user_feedback), dense vector embeddings, and graph state snapshots within one transactional engine to eliminate cross-database synchronization lag. Complementing PostgreSQL, the </w:t>
      </w:r>
      <w:r w:rsidDel="00000000" w:rsidR="00000000" w:rsidRPr="00000000">
        <w:rPr>
          <w:b w:val="1"/>
          <w:bCs w:val="1"/>
          <w:rtl w:val="0"/>
        </w:rPr>
        <w:t xml:space="preserve">Cache and Task Queue Tier</w:t>
      </w:r>
      <w:r w:rsidDel="00000000" w:rsidR="00000000" w:rsidRPr="00000000">
        <w:rPr>
          <w:rtl w:val="0"/>
        </w:rPr>
        <w:t xml:space="preserve"> deploys Redis Stack with redisvl and arq to provide version-aware semantic caching of market intelligence and recommendation outputs, distributed rate-limit counters for LiteLLM circuit breakers, and lightweight asynchronous background worker scheduling. Finally, the </w:t>
      </w:r>
      <w:r w:rsidDel="00000000" w:rsidR="00000000" w:rsidRPr="00000000">
        <w:rPr>
          <w:b w:val="1"/>
          <w:bCs w:val="1"/>
          <w:rtl w:val="0"/>
        </w:rPr>
        <w:t xml:space="preserve">Local Taxonomy and Artifact Storage Tier</w:t>
      </w:r>
      <w:r w:rsidDel="00000000" w:rsidR="00000000" w:rsidRPr="00000000">
        <w:rPr>
          <w:rtl w:val="0"/>
        </w:rPr>
        <w:t xml:space="preserve"> pairs a self-hosted ESCO v1.2.1 container (running Apache SOLR and Fuseki) for zero-latency, zero-cost occupational taxonomy resolution with S3-compatible MinIO object storage holding raw resume documents and scraped source artifacts.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Phased Implementation Roadmap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adhere to the engineering principle of starting with simple, verifiable components and introducing agentic autonomy incrementally as measured against objective evaluation suites, implementation proceeds across a four-phase roadmap spanning twelve weeks.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Phase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Timeline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Architectural Focus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Engineering Deliverables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&amp; Exit Gate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Localized Deterministic Core &amp; Polymorphic Foundation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Weeks 1–3</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schemas, local taxonomy services, deterministic eligibility gate, and linear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PostgreSQL 16 (pgvector), Redis Stack, MinIO, Ollama, and local ESCO v1.2.1 via Docker Compose. Implement all Pydantic v2 models with @field_validator injection sanitization and MinHash LSH (datasketch/rensa) deduplication. Build the Deterministic Eligibility Subsystem and linear prompt-chaining versions of the Profile and Discovery agents.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precision and recall on hard eligibility disqualifiers across a golden benchmark of 500 synthetic candidate-opportunity pairs covering internships, fellowships, and full-time roles.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 Market Intelligence &amp; Hybrid Six-Dimensional Ranking</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Weeks 4–6</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Live/cached labor market intelligence, hybrid retrieval, mathematical MCDA ranking, and grounded explanations.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Market Intelligence Agent with O*NET v2.0 and ESCO integrations, RedisVL version-aware caching (168\text{-hour} TTL), and explicit is_stale fallback flags. Implement hybrid dense (pgvector) + sparse (BM25) retrieval with Reciprocal Rank Fusion (k = 60) and the six-dimensional scoring engine. Build the Recommendation Explanation Agent with Gate 4 attribution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mathematical discrepancies in SixDimensionalScoreBreakdown validator and 100\% Claim-to-Evidence Attribution Rate (CEAR = 1.0) on top-10 explanations.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3: Dynamic Supervisor Orchestration &amp; Self-Healing</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Weeks 7–9</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Cyclic StateGraph supervisor, parallel Send fan-out, and intra/inter-node self-correction loops.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 RecommendationGraphState with pure reducers, subgraph namespace isolation (checkpoint_ns), and claim-check pointer offloading. Enable dynamic parallel worker dispatch via LangGraph's Send API across target and adjacent career paths. Activate temperature=0.0 schema repair loops, Level 0–2 Orchestrator query expansion, and unlocked AsyncConnectionPool checkpointing.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recovery from simulated empty-pool searches (N_{\text{elig}} &lt; 5) via adjacent career expansion within \le 3 loops, and zero infinite loop excursions.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4: Production Hardening, Guardrails &amp; Feedback Closure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Weeks 10–12</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Adversarial red-teaming, high-concurrency load testing, background workers, and adaptive feedback loops.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secondary classifier guardrails (distinct model family) for external content ingestion. Configure arq background workers for scheduled ATS ingestion, embedding refreshes, and nightly 30-day checkpoint pruning. Close the User Feedback Loop in PostgresStore to recalibrate user preference weights (S_{\text{pref}}) and trigger profile re-assessments.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 &gt;1,000\text{ req/s} checkpointer throughput under 500-user load test and achieve 100\% containment against OWASP indirect prompt injection test payloads.</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w:t>
      </w:r>
      <w:r w:rsidDel="00000000" w:rsidR="00000000" w:rsidRPr="00000000">
        <w:rPr>
          <w:b w:val="1"/>
          <w:bCs w:val="1"/>
          <w:rtl w:val="0"/>
        </w:rPr>
        <w:t xml:space="preserve">Phase 1</w:t>
      </w:r>
      <w:r w:rsidDel="00000000" w:rsidR="00000000" w:rsidRPr="00000000">
        <w:rPr>
          <w:rtl w:val="0"/>
        </w:rPr>
        <w:t xml:space="preserve">, engineering efforts focus exclusively on deterministic correctness and data hygiene before introducing cyclic agentic control flow. Standing up the local ESCO v1.2.1 container alongside PostgreSQL and Ollama ensures that skill normalization and schema validation operate deterministically in both connected and air-gapped environments. By validating the Deterministic Eligibility Subsystem in isolation against a 500-case golden test suite, the team guarantees that mandatory graduation windows, visa constraints, and degree requirements cannot be bypassed when probabilistic agents are layered on top.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b w:val="1"/>
          <w:bCs w:val="1"/>
          <w:rtl w:val="0"/>
        </w:rPr>
        <w:t xml:space="preserve">Phase 2</w:t>
      </w:r>
      <w:r w:rsidDel="00000000" w:rsidR="00000000" w:rsidRPr="00000000">
        <w:rPr>
          <w:rtl w:val="0"/>
        </w:rPr>
        <w:t xml:space="preserve">, the system acquires market awareness and multi-criteria analytical depth. Integrating O*NET Web Services and ESCO taxonomies with RedisVL semantic caching enables the Market Intelligence A[span_81](start_span)[span_81](end_span)gent to quantify skill demand weights and emerging trend velocities without incurring redundant external API latency on every user request. Simultaneously, coupling Reciprocal Rank Fusion (RRF) with the six-dimensional scoring engine establishes the mathematical backbone required by the Recommendati[span_284](start_span)[span_284](end_span)[span_286](start_span)[span_286](end_span)[span_288](start_span)[span_288](end_span)on Explanation Agent, ensuring every natural language rationale is anchored to verifiable proficiency and market provenance IDs.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3</w:t>
      </w:r>
      <w:r w:rsidDel="00000000" w:rsidR="00000000" w:rsidRPr="00000000">
        <w:rPr>
          <w:rtl w:val="0"/>
        </w:rPr>
        <w:t xml:space="preserve"> transitions the linear prototype into a true autonomous state machine governed by the Recommendation Orchest[span_315](start_span)[span_315](end_span)[span_316](start_span)[span_316](end_span)rator Agent. By compiling each specialist agent as a namespaced subgraph and equipping the Orchestrator with LangGraph's Send map-reduce primitive, the platform dynamically scales its research breadth at runtime—spawning parallel market and discovery workers across adjacent career paths whenever primary searches yield insufficient eligible candidates. Configuring the unlocked AsyncConnectionPool checkpointer and superstep token-compaction middleware during this phase prevents concurrency serialization and context window overflow under multi-turn execution.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w:t>
      </w:r>
      <w:r w:rsidDel="00000000" w:rsidR="00000000" w:rsidRPr="00000000">
        <w:rPr>
          <w:b w:val="1"/>
          <w:bCs w:val="1"/>
          <w:rtl w:val="0"/>
        </w:rPr>
        <w:t xml:space="preserve">Phase 4</w:t>
      </w:r>
      <w:r w:rsidDel="00000000" w:rsidR="00000000" w:rsidRPr="00000000">
        <w:rPr>
          <w:rtl w:val="0"/>
        </w:rPr>
        <w:t xml:space="preserve"> hardens the platform for enterprise production traffic and long-term adaptability. Because guardrail models sharing the same architecture as the primary reasoning LLM are vulnerable to identical jailbreak transfers, Phase 4 introduces an independent purpose-trained classifier guardrail alongside structural JSON tool_result isolation to inspect untrusted resumes and scraped job descriptions. Closing the loop with persistent user feedback in PostgresStore allows candidate interactions—such as bookmarking growth-stretch roles, dismissing specific employers, or contesting an inferred skill proficiency—to dynamically update profile confidence scores and preference weights across future recommendation sessions.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Synthesis and Strategic Conclusions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Transforming the AI-Powered Career Opportunity Recommendation System from a conceptual multi-agent design into a resilient enterprise platform requires enforcing a clear division of authority between autonomous planning and deterministic verification. By confining language model autonomy to the </w:t>
      </w:r>
      <w:r w:rsidDel="00000000" w:rsidR="00000000" w:rsidRPr="00000000">
        <w:rPr>
          <w:b w:val="1"/>
          <w:bCs w:val="1"/>
          <w:rtl w:val="0"/>
        </w:rPr>
        <w:t xml:space="preserve">Recommendation Orchestrator Agent</w:t>
      </w:r>
      <w:r w:rsidDel="00000000" w:rsidR="00000000" w:rsidRPr="00000000">
        <w:rPr>
          <w:rtl w:val="0"/>
        </w:rPr>
        <w:t xml:space="preserve">'s runtime task decomposition, evidence-weighted skill extraction, market trend synthesis, and grounded explanation generation—while delegating hard eligibility filtering, MinHash LSH deduplication, Reciprocal Rank Fusion, and six-dimensional score aggregation to deterministic code—the system eliminates scoring hallucinations and compliance violations. Combining LangGraph's hierarchical supervisor state machine and Send map-reduce parallelism with claim-check pointer state management, pooled PostgreSQL checkpointing, and LiteLLM/Ollama hybrid routing yields an extensible, moderate-scale architecture capable of guiding candidates across internships, full-time roles, and adjacent career trajectories with verifiable market provenance.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