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E57670" w:rsidRDefault="00144123">
      <w:pPr>
        <w:pStyle w:val="papertitle"/>
        <w:rPr>
          <w:b/>
          <w:sz w:val="22"/>
          <w:szCs w:val="22"/>
        </w:rPr>
      </w:pPr>
      <w:r w:rsidRPr="00E57670">
        <w:rPr>
          <w:b/>
          <w:sz w:val="22"/>
          <w:szCs w:val="22"/>
        </w:rPr>
        <w:t>An</w:t>
      </w:r>
      <w:r w:rsidR="00BC25B0" w:rsidRPr="00E57670">
        <w:rPr>
          <w:b/>
          <w:sz w:val="22"/>
          <w:szCs w:val="22"/>
        </w:rPr>
        <w:t>d</w:t>
      </w:r>
      <w:r w:rsidRPr="00E57670">
        <w:rPr>
          <w:b/>
          <w:sz w:val="22"/>
          <w:szCs w:val="22"/>
        </w:rPr>
        <w:t>roid Energy Manager</w:t>
      </w:r>
      <w:r w:rsidR="00993F9B" w:rsidRPr="00E57670">
        <w:rPr>
          <w:b/>
          <w:sz w:val="22"/>
          <w:szCs w:val="22"/>
        </w:rPr>
        <w:t xml:space="preserve"> [or better title]</w:t>
      </w:r>
    </w:p>
    <w:p w14:paraId="6F6F31E1" w14:textId="49D0A5B6" w:rsidR="00307440" w:rsidRPr="00E57670" w:rsidRDefault="00E46B81">
      <w:pPr>
        <w:pStyle w:val="papersubtitle"/>
        <w:rPr>
          <w:sz w:val="22"/>
          <w:szCs w:val="22"/>
        </w:rPr>
      </w:pPr>
      <w:r w:rsidRPr="00E57670">
        <w:rPr>
          <w:sz w:val="22"/>
          <w:szCs w:val="22"/>
        </w:rPr>
        <w:t xml:space="preserve">A user friendly </w:t>
      </w:r>
      <w:r w:rsidR="00144123" w:rsidRPr="00E57670">
        <w:rPr>
          <w:sz w:val="22"/>
          <w:szCs w:val="22"/>
        </w:rPr>
        <w:t>energy tool for Android Phones</w:t>
      </w:r>
    </w:p>
    <w:p w14:paraId="17D9718A" w14:textId="77777777" w:rsidR="00307440" w:rsidRPr="00E57670" w:rsidRDefault="00307440">
      <w:pPr>
        <w:rPr>
          <w:sz w:val="22"/>
          <w:szCs w:val="22"/>
        </w:rPr>
      </w:pPr>
    </w:p>
    <w:p w14:paraId="0BE5731C" w14:textId="77777777" w:rsidR="00307440" w:rsidRPr="00E57670" w:rsidRDefault="00307440">
      <w:pPr>
        <w:rPr>
          <w:sz w:val="22"/>
          <w:szCs w:val="22"/>
        </w:rPr>
        <w:sectPr w:rsidR="00307440" w:rsidRPr="00E57670">
          <w:pgSz w:w="11906" w:h="16838"/>
          <w:pgMar w:top="1080" w:right="737" w:bottom="2432" w:left="737" w:header="720" w:footer="720" w:gutter="0"/>
          <w:cols w:space="720"/>
          <w:docGrid w:linePitch="360"/>
        </w:sectPr>
      </w:pPr>
    </w:p>
    <w:p w14:paraId="7C7DA095" w14:textId="77777777" w:rsidR="00307440" w:rsidRPr="00E57670" w:rsidRDefault="00144123" w:rsidP="00144123">
      <w:pPr>
        <w:pStyle w:val="Author"/>
        <w:rPr>
          <w:sz w:val="22"/>
          <w:szCs w:val="22"/>
        </w:rPr>
      </w:pPr>
      <w:r w:rsidRPr="00E57670">
        <w:rPr>
          <w:sz w:val="22"/>
          <w:szCs w:val="22"/>
        </w:rPr>
        <w:lastRenderedPageBreak/>
        <w:t>Vikram Shanker</w:t>
      </w:r>
    </w:p>
    <w:p w14:paraId="7A8662CB" w14:textId="77777777" w:rsidR="00307440" w:rsidRPr="00E57670" w:rsidRDefault="00144123">
      <w:pPr>
        <w:pStyle w:val="Affiliation"/>
        <w:rPr>
          <w:sz w:val="22"/>
          <w:szCs w:val="22"/>
        </w:rPr>
      </w:pPr>
      <w:r w:rsidRPr="00E57670">
        <w:rPr>
          <w:sz w:val="22"/>
          <w:szCs w:val="22"/>
        </w:rPr>
        <w:t>Carnegie Mellon University</w:t>
      </w:r>
    </w:p>
    <w:p w14:paraId="108910E4" w14:textId="77777777" w:rsidR="00307440" w:rsidRPr="00E57670" w:rsidRDefault="00144123">
      <w:pPr>
        <w:pStyle w:val="Affiliation"/>
        <w:rPr>
          <w:sz w:val="22"/>
          <w:szCs w:val="22"/>
        </w:rPr>
      </w:pPr>
      <w:r w:rsidRPr="00E57670">
        <w:rPr>
          <w:sz w:val="22"/>
          <w:szCs w:val="22"/>
        </w:rPr>
        <w:t>Pittsburgh, PA, USA</w:t>
      </w:r>
    </w:p>
    <w:p w14:paraId="7559BA24" w14:textId="77777777" w:rsidR="00307440" w:rsidRPr="00E57670" w:rsidRDefault="00144123">
      <w:pPr>
        <w:pStyle w:val="Affiliation"/>
        <w:rPr>
          <w:sz w:val="22"/>
          <w:szCs w:val="22"/>
        </w:rPr>
      </w:pPr>
      <w:r w:rsidRPr="00E57670">
        <w:rPr>
          <w:sz w:val="22"/>
          <w:szCs w:val="22"/>
        </w:rPr>
        <w:t>vshanker@andrew.cmu.edu</w:t>
      </w:r>
    </w:p>
    <w:p w14:paraId="0E46E394" w14:textId="77777777" w:rsidR="00307440" w:rsidRPr="00E57670" w:rsidRDefault="00144123">
      <w:pPr>
        <w:pStyle w:val="Author"/>
        <w:rPr>
          <w:sz w:val="22"/>
          <w:szCs w:val="22"/>
        </w:rPr>
      </w:pPr>
      <w:r w:rsidRPr="00E57670">
        <w:rPr>
          <w:sz w:val="22"/>
          <w:szCs w:val="22"/>
        </w:rPr>
        <w:lastRenderedPageBreak/>
        <w:t>Shilpa Murthy</w:t>
      </w:r>
    </w:p>
    <w:p w14:paraId="509558D7" w14:textId="77777777" w:rsidR="00307440" w:rsidRPr="00E57670" w:rsidRDefault="00144123">
      <w:pPr>
        <w:pStyle w:val="Affiliation"/>
        <w:ind w:right="-138"/>
        <w:rPr>
          <w:sz w:val="22"/>
          <w:szCs w:val="22"/>
        </w:rPr>
      </w:pPr>
      <w:r w:rsidRPr="00E57670">
        <w:rPr>
          <w:sz w:val="22"/>
          <w:szCs w:val="22"/>
        </w:rPr>
        <w:t>Carnegie Mellon University</w:t>
      </w:r>
    </w:p>
    <w:p w14:paraId="0C7E132A" w14:textId="77777777" w:rsidR="00307440" w:rsidRPr="00E57670" w:rsidRDefault="00144123">
      <w:pPr>
        <w:pStyle w:val="Affiliation"/>
        <w:rPr>
          <w:sz w:val="22"/>
          <w:szCs w:val="22"/>
        </w:rPr>
      </w:pPr>
      <w:r w:rsidRPr="00E57670">
        <w:rPr>
          <w:sz w:val="22"/>
          <w:szCs w:val="22"/>
        </w:rPr>
        <w:t>Pittsburgh, PA</w:t>
      </w:r>
    </w:p>
    <w:p w14:paraId="5BB1EAAD" w14:textId="77777777" w:rsidR="00307440" w:rsidRPr="00E57670" w:rsidRDefault="00144123">
      <w:pPr>
        <w:pStyle w:val="Affiliation"/>
        <w:rPr>
          <w:sz w:val="22"/>
          <w:szCs w:val="22"/>
        </w:rPr>
        <w:sectPr w:rsidR="00307440" w:rsidRPr="00E57670">
          <w:type w:val="continuous"/>
          <w:pgSz w:w="11906" w:h="16838"/>
          <w:pgMar w:top="1080" w:right="737" w:bottom="2432" w:left="737" w:header="720" w:footer="720" w:gutter="0"/>
          <w:cols w:num="2" w:space="566" w:equalWidth="0">
            <w:col w:w="4844" w:space="566"/>
            <w:col w:w="5021"/>
          </w:cols>
          <w:docGrid w:linePitch="360"/>
        </w:sectPr>
      </w:pPr>
      <w:r w:rsidRPr="00E57670">
        <w:rPr>
          <w:sz w:val="22"/>
          <w:szCs w:val="22"/>
        </w:rPr>
        <w:t>shilpam@andrew.cmu.edu</w:t>
      </w:r>
    </w:p>
    <w:p w14:paraId="5384E66F" w14:textId="77777777" w:rsidR="00307440" w:rsidRPr="00E57670" w:rsidRDefault="00307440">
      <w:pPr>
        <w:pStyle w:val="Affiliation"/>
        <w:rPr>
          <w:sz w:val="22"/>
          <w:szCs w:val="22"/>
        </w:rPr>
      </w:pPr>
    </w:p>
    <w:p w14:paraId="2C890645" w14:textId="77777777" w:rsidR="00307440" w:rsidRPr="00E57670" w:rsidRDefault="00307440">
      <w:pPr>
        <w:rPr>
          <w:sz w:val="22"/>
          <w:szCs w:val="22"/>
        </w:rPr>
      </w:pPr>
    </w:p>
    <w:p w14:paraId="1FC245A8" w14:textId="77777777" w:rsidR="00307440" w:rsidRPr="00E57670" w:rsidRDefault="00307440">
      <w:pPr>
        <w:rPr>
          <w:sz w:val="22"/>
          <w:szCs w:val="22"/>
        </w:rPr>
        <w:sectPr w:rsidR="00307440" w:rsidRPr="00E57670">
          <w:type w:val="continuous"/>
          <w:pgSz w:w="11906" w:h="16838"/>
          <w:pgMar w:top="1080" w:right="737" w:bottom="2432" w:left="737" w:header="720" w:footer="720" w:gutter="0"/>
          <w:cols w:space="720"/>
          <w:docGrid w:linePitch="360"/>
        </w:sectPr>
      </w:pPr>
    </w:p>
    <w:p w14:paraId="7AF70788" w14:textId="77777777" w:rsidR="00307440" w:rsidRPr="00E57670" w:rsidRDefault="00307440">
      <w:pPr>
        <w:pStyle w:val="Abstract"/>
        <w:rPr>
          <w:i/>
          <w:sz w:val="22"/>
          <w:szCs w:val="22"/>
        </w:rPr>
      </w:pPr>
      <w:r w:rsidRPr="00E57670">
        <w:rPr>
          <w:i/>
          <w:iCs/>
          <w:sz w:val="22"/>
          <w:szCs w:val="22"/>
        </w:rPr>
        <w:lastRenderedPageBreak/>
        <w:t>Abstract</w:t>
      </w:r>
      <w:r w:rsidRPr="00E57670">
        <w:rPr>
          <w:sz w:val="22"/>
          <w:szCs w:val="22"/>
        </w:rP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sidRPr="00E57670">
        <w:rPr>
          <w:i/>
          <w:iCs/>
          <w:sz w:val="22"/>
          <w:szCs w:val="22"/>
        </w:rPr>
        <w:t>(Abstract)</w:t>
      </w:r>
    </w:p>
    <w:p w14:paraId="71E8F3E0" w14:textId="77777777" w:rsidR="00307440" w:rsidRPr="00E57670" w:rsidRDefault="00307440">
      <w:pPr>
        <w:pStyle w:val="keywords"/>
        <w:ind w:firstLine="180"/>
        <w:rPr>
          <w:sz w:val="22"/>
          <w:szCs w:val="22"/>
        </w:rPr>
      </w:pPr>
      <w:r w:rsidRPr="00E57670">
        <w:rPr>
          <w:i/>
          <w:sz w:val="22"/>
          <w:szCs w:val="22"/>
        </w:rPr>
        <w:t>Index Terms</w:t>
      </w:r>
      <w:r w:rsidRPr="00E57670">
        <w:rPr>
          <w:sz w:val="22"/>
          <w:szCs w:val="22"/>
        </w:rPr>
        <w:t xml:space="preserve">—Component, formatting, style, styling, insert. </w:t>
      </w:r>
      <w:r w:rsidRPr="00E57670">
        <w:rPr>
          <w:i/>
          <w:sz w:val="22"/>
          <w:szCs w:val="22"/>
        </w:rPr>
        <w:t>(key words)</w:t>
      </w:r>
    </w:p>
    <w:p w14:paraId="10E0C1CD" w14:textId="77777777" w:rsidR="00307440" w:rsidRPr="00E57670" w:rsidRDefault="00307440">
      <w:pPr>
        <w:pStyle w:val="Heading1"/>
        <w:rPr>
          <w:sz w:val="22"/>
          <w:szCs w:val="22"/>
        </w:rPr>
      </w:pPr>
      <w:r w:rsidRPr="00E57670">
        <w:rPr>
          <w:sz w:val="22"/>
          <w:szCs w:val="22"/>
        </w:rPr>
        <w:t xml:space="preserve">Introduction </w:t>
      </w:r>
      <w:r w:rsidRPr="00E57670">
        <w:rPr>
          <w:i/>
          <w:iCs/>
          <w:sz w:val="22"/>
          <w:szCs w:val="22"/>
        </w:rPr>
        <w:t>(Heading 1)</w:t>
      </w:r>
    </w:p>
    <w:p w14:paraId="1D14FE30" w14:textId="5A9BD5B9" w:rsidR="00307440" w:rsidRPr="00E57670" w:rsidRDefault="00C6264A">
      <w:pPr>
        <w:pStyle w:val="BodyText"/>
        <w:rPr>
          <w:sz w:val="22"/>
          <w:szCs w:val="22"/>
        </w:rPr>
      </w:pPr>
      <w:r w:rsidRPr="00E57670">
        <w:rPr>
          <w:sz w:val="22"/>
          <w:szCs w:val="22"/>
        </w:rP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Pr="00E57670" w:rsidRDefault="00C6264A">
      <w:pPr>
        <w:pStyle w:val="BodyText"/>
        <w:rPr>
          <w:sz w:val="22"/>
          <w:szCs w:val="22"/>
        </w:rPr>
      </w:pPr>
      <w:r w:rsidRPr="00E57670">
        <w:rPr>
          <w:sz w:val="22"/>
          <w:szCs w:val="22"/>
        </w:rP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rsidRPr="00E57670">
        <w:rPr>
          <w:sz w:val="22"/>
          <w:szCs w:val="22"/>
        </w:rPr>
        <w:t xml:space="preserve">consuming increasingly more of the phone’s energy. </w:t>
      </w:r>
    </w:p>
    <w:p w14:paraId="4BFDD5A2" w14:textId="58AE1DD6" w:rsidR="00CC122F" w:rsidRPr="00E57670" w:rsidRDefault="00307440">
      <w:pPr>
        <w:pStyle w:val="BodyText"/>
        <w:rPr>
          <w:sz w:val="22"/>
          <w:szCs w:val="22"/>
        </w:rPr>
      </w:pPr>
      <w:r w:rsidRPr="00E57670">
        <w:rPr>
          <w:sz w:val="22"/>
          <w:szCs w:val="22"/>
        </w:rPr>
        <w:t>There are two general classes of applications that consume disproportionally large amounts of energy. The nature of some applications is such that they must use large amounts of energy</w:t>
      </w:r>
      <w:r w:rsidR="00482459" w:rsidRPr="00E57670">
        <w:rPr>
          <w:sz w:val="22"/>
          <w:szCs w:val="22"/>
        </w:rPr>
        <w:t>. Applications such as maps that rely heavily on real-time sensor data will naturally</w:t>
      </w:r>
      <w:r w:rsidRPr="00E57670">
        <w:rPr>
          <w:sz w:val="22"/>
          <w:szCs w:val="22"/>
        </w:rPr>
        <w:t xml:space="preserve"> and inevitably</w:t>
      </w:r>
      <w:r w:rsidR="00482459" w:rsidRPr="00E57670">
        <w:rPr>
          <w:sz w:val="22"/>
          <w:szCs w:val="22"/>
        </w:rPr>
        <w:t xml:space="preserve"> use more battery.</w:t>
      </w:r>
      <w:r w:rsidRPr="00E57670">
        <w:rPr>
          <w:sz w:val="22"/>
          <w:szCs w:val="22"/>
        </w:rPr>
        <w:t xml:space="preserve"> O</w:t>
      </w:r>
      <w:r w:rsidR="00482459" w:rsidRPr="00E57670">
        <w:rPr>
          <w:sz w:val="22"/>
          <w:szCs w:val="22"/>
        </w:rPr>
        <w:t>ther applications, such as Facebook, run continuously in the background</w:t>
      </w:r>
      <w:r w:rsidRPr="00E57670">
        <w:rPr>
          <w:sz w:val="22"/>
          <w:szCs w:val="22"/>
        </w:rPr>
        <w:t xml:space="preserve"> polling for updates or user information</w:t>
      </w:r>
      <w:r w:rsidR="00482459" w:rsidRPr="00E57670">
        <w:rPr>
          <w:sz w:val="22"/>
          <w:szCs w:val="22"/>
        </w:rPr>
        <w:t xml:space="preserve">, unbeknownst to the user, </w:t>
      </w:r>
      <w:r w:rsidR="00070298" w:rsidRPr="00E57670">
        <w:rPr>
          <w:sz w:val="22"/>
          <w:szCs w:val="22"/>
        </w:rPr>
        <w:t xml:space="preserve">draining battery significantly. </w:t>
      </w:r>
      <w:r w:rsidRPr="00E57670">
        <w:rPr>
          <w:sz w:val="22"/>
          <w:szCs w:val="22"/>
        </w:rPr>
        <w:t xml:space="preserve">The second class is particular instances of applications that happen to consume more energy. This can sometimes be due to a faulty launch in the application and a simple restart is </w:t>
      </w:r>
      <w:r w:rsidRPr="00E57670">
        <w:rPr>
          <w:sz w:val="22"/>
          <w:szCs w:val="22"/>
        </w:rPr>
        <w:lastRenderedPageBreak/>
        <w:t xml:space="preserve">enough to cure the issue. Other times, the software itself has a bug. </w:t>
      </w:r>
    </w:p>
    <w:p w14:paraId="54F92707" w14:textId="2C134C75" w:rsidR="00CC122F" w:rsidRPr="00E57670" w:rsidRDefault="00307440" w:rsidP="004A52FB">
      <w:pPr>
        <w:pStyle w:val="BodyText"/>
        <w:rPr>
          <w:sz w:val="22"/>
          <w:szCs w:val="22"/>
        </w:rPr>
      </w:pPr>
      <w:r w:rsidRPr="00E57670">
        <w:rPr>
          <w:sz w:val="22"/>
          <w:szCs w:val="22"/>
        </w:rP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rsidRPr="00E57670">
        <w:rPr>
          <w:sz w:val="22"/>
          <w:szCs w:val="22"/>
        </w:rPr>
        <w:t xml:space="preserve">application or it is consuming unexpected amounts of energy. Therefore, Android Energy Manager delegates the task of determining these thresholds to the user. The choice of this approach will be discussed in future work. </w:t>
      </w:r>
    </w:p>
    <w:p w14:paraId="496842BD" w14:textId="4A821D85" w:rsidR="00307440" w:rsidRPr="00E57670" w:rsidRDefault="00A20195">
      <w:pPr>
        <w:pStyle w:val="Heading1"/>
        <w:rPr>
          <w:sz w:val="22"/>
          <w:szCs w:val="22"/>
        </w:rPr>
      </w:pPr>
      <w:r w:rsidRPr="00E57670">
        <w:rPr>
          <w:sz w:val="22"/>
          <w:szCs w:val="22"/>
        </w:rPr>
        <w:t>Related Work</w:t>
      </w:r>
    </w:p>
    <w:p w14:paraId="6472190C" w14:textId="15B13D37" w:rsidR="00E46B81" w:rsidRPr="00E57670" w:rsidRDefault="00E46B81" w:rsidP="00E46B81">
      <w:pPr>
        <w:pStyle w:val="BodyText"/>
        <w:rPr>
          <w:sz w:val="22"/>
          <w:szCs w:val="22"/>
        </w:rPr>
      </w:pPr>
      <w:r w:rsidRPr="00E57670">
        <w:rPr>
          <w:sz w:val="22"/>
          <w:szCs w:val="22"/>
        </w:rPr>
        <w:t>Many research projects have taken various approaches to monitoring application energy usage. Carat, by Oliner et al. takes a black</w:t>
      </w:r>
      <w:r w:rsidR="00A32F73" w:rsidRPr="00E57670">
        <w:rPr>
          <w:sz w:val="22"/>
          <w:szCs w:val="22"/>
        </w:rPr>
        <w:t>-</w:t>
      </w:r>
      <w:r w:rsidRPr="00E57670">
        <w:rPr>
          <w:sz w:val="22"/>
          <w:szCs w:val="22"/>
        </w:rPr>
        <w:t xml:space="preserve">box approach at diagnosing energy-usage. </w:t>
      </w:r>
      <w:r w:rsidR="00A32F73" w:rsidRPr="00E57670">
        <w:rPr>
          <w:sz w:val="22"/>
          <w:szCs w:val="22"/>
        </w:rPr>
        <w:t xml:space="preserve">Pathak et al. took a fine-grained approach to diagnosing energy usage, and Balasubramanium et al use native instrumenting tools to measure mobile device energy consumption. </w:t>
      </w:r>
    </w:p>
    <w:p w14:paraId="6958FB65" w14:textId="02F5FC79" w:rsidR="00A32F73" w:rsidRPr="00E57670" w:rsidRDefault="00A0226F" w:rsidP="00E46B81">
      <w:pPr>
        <w:pStyle w:val="BodyText"/>
        <w:rPr>
          <w:sz w:val="22"/>
          <w:szCs w:val="22"/>
        </w:rPr>
      </w:pPr>
      <w:r w:rsidRPr="00E57670">
        <w:rPr>
          <w:sz w:val="22"/>
          <w:szCs w:val="22"/>
        </w:rPr>
        <w:t xml:space="preserve">In Energy Consumption in Mobile Phones, the native Nokia Energy Profiler was used to sample the energy consumed every 250 milliseconds. The application reported </w:t>
      </w:r>
      <w:r w:rsidR="00270D73" w:rsidRPr="00E57670">
        <w:rPr>
          <w:sz w:val="22"/>
          <w:szCs w:val="22"/>
        </w:rPr>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rsidRPr="00E57670">
        <w:rPr>
          <w:sz w:val="22"/>
          <w:szCs w:val="22"/>
        </w:rPr>
        <w:t xml:space="preserve">interpret and act upon. This is because the energy profiler only estimates energy consumption device level. It does not profile at the application level. </w:t>
      </w:r>
    </w:p>
    <w:p w14:paraId="59B843A7" w14:textId="4FBA519C" w:rsidR="00BF187E" w:rsidRPr="00E57670" w:rsidRDefault="009502F7" w:rsidP="00BF187E">
      <w:pPr>
        <w:ind w:firstLine="288"/>
        <w:jc w:val="left"/>
        <w:rPr>
          <w:rFonts w:ascii="Times" w:hAnsi="Times"/>
          <w:sz w:val="22"/>
          <w:szCs w:val="22"/>
        </w:rPr>
      </w:pPr>
      <w:r w:rsidRPr="00E57670">
        <w:rPr>
          <w:sz w:val="22"/>
          <w:szCs w:val="22"/>
        </w:rPr>
        <w:t xml:space="preserve">Pathak et al take the opposite approach in </w:t>
      </w:r>
      <w:r w:rsidR="00BF187E" w:rsidRPr="00E57670">
        <w:rPr>
          <w:rFonts w:ascii="Times" w:hAnsi="Times"/>
          <w:sz w:val="22"/>
          <w:szCs w:val="22"/>
        </w:rPr>
        <w:t xml:space="preserve">Fine Grained Energy Accounting on Smartphones with Eprof. They instrument the code in order to fully understand how energy is consumed at the sub-application level. However, this method is not portable for our application since it requires </w:t>
      </w:r>
      <w:r w:rsidR="00E42438" w:rsidRPr="00E57670">
        <w:rPr>
          <w:rFonts w:ascii="Times" w:hAnsi="Times"/>
          <w:sz w:val="22"/>
          <w:szCs w:val="22"/>
        </w:rPr>
        <w:t xml:space="preserve">the source of applications. </w:t>
      </w:r>
      <w:r w:rsidR="004D3C9F" w:rsidRPr="00E57670">
        <w:rPr>
          <w:rFonts w:ascii="Times" w:hAnsi="Times"/>
          <w:sz w:val="22"/>
          <w:szCs w:val="22"/>
        </w:rPr>
        <w:t xml:space="preserve">Furthermore, to measure the energy of  a new app requires work for each additional app, which does not allow for universal use. </w:t>
      </w:r>
    </w:p>
    <w:p w14:paraId="050CCC76" w14:textId="2D4E9359" w:rsidR="004D3C9F" w:rsidRPr="00E57670" w:rsidRDefault="008F0F33" w:rsidP="00BF187E">
      <w:pPr>
        <w:ind w:firstLine="288"/>
        <w:jc w:val="left"/>
        <w:rPr>
          <w:rFonts w:ascii="Times" w:hAnsi="Times"/>
          <w:sz w:val="22"/>
          <w:szCs w:val="22"/>
        </w:rPr>
      </w:pPr>
      <w:r w:rsidRPr="00E57670">
        <w:rPr>
          <w:rFonts w:ascii="Times" w:hAnsi="Times"/>
          <w:sz w:val="22"/>
          <w:szCs w:val="22"/>
        </w:rPr>
        <w:lastRenderedPageBreak/>
        <w:t>In Carat, Oliner et all take a blackbox approach to measuring app energy consumption at the application level. The blackbox approach, which does not require knowledge about the application, allows for the app to be used universally.  To diagnose energy hogs and en</w:t>
      </w:r>
      <w:r w:rsidR="009762CF" w:rsidRPr="00E57670">
        <w:rPr>
          <w:rFonts w:ascii="Times" w:hAnsi="Times"/>
          <w:sz w:val="22"/>
          <w:szCs w:val="22"/>
        </w:rPr>
        <w:t xml:space="preserve">ergy bugs, the application measures system wide energy usage as well as all processes running and constructs a graph representing the data. It compares many such graphs from various devices to detect apps as energy hogs (which consume disproportionately high energy across devices) and energy bugs (a particular instance of the application is consuming more energy than others) and reports it to the user. However, Carat’s implementation fails to distinguish between applications that should use more energy and those that do not. </w:t>
      </w:r>
      <w:r w:rsidR="00304978" w:rsidRPr="00E57670">
        <w:rPr>
          <w:rFonts w:ascii="Times" w:hAnsi="Times"/>
          <w:sz w:val="22"/>
          <w:szCs w:val="22"/>
        </w:rPr>
        <w:t xml:space="preserve">For example, Carat detects a map application as a hog, even though, </w:t>
      </w:r>
      <w:r w:rsidR="008A07C1" w:rsidRPr="00E57670">
        <w:rPr>
          <w:rFonts w:ascii="Times" w:hAnsi="Times"/>
          <w:sz w:val="22"/>
          <w:szCs w:val="22"/>
        </w:rPr>
        <w:t xml:space="preserve">it should naturally use more power. </w:t>
      </w:r>
    </w:p>
    <w:p w14:paraId="00E5758E" w14:textId="513EF1A1" w:rsidR="002A1C8A" w:rsidRPr="00E57670" w:rsidRDefault="002A1C8A" w:rsidP="00BF187E">
      <w:pPr>
        <w:ind w:firstLine="288"/>
        <w:jc w:val="left"/>
        <w:rPr>
          <w:rFonts w:ascii="Times" w:hAnsi="Times"/>
          <w:sz w:val="22"/>
          <w:szCs w:val="22"/>
        </w:rPr>
      </w:pPr>
      <w:r w:rsidRPr="00E57670">
        <w:rPr>
          <w:rFonts w:ascii="Times" w:hAnsi="Times"/>
          <w:sz w:val="22"/>
          <w:szCs w:val="22"/>
        </w:rPr>
        <w:t>[Insert</w:t>
      </w:r>
      <w:r w:rsidR="00FA351C" w:rsidRPr="00E57670">
        <w:rPr>
          <w:rFonts w:ascii="Times" w:hAnsi="Times"/>
          <w:sz w:val="22"/>
          <w:szCs w:val="22"/>
        </w:rPr>
        <w:t xml:space="preserve"> Application Name Here] uses various aspects of the above implementations in order to allow the user to manage the energy consumption at the application level in order to extend the device lifetime. </w:t>
      </w:r>
    </w:p>
    <w:p w14:paraId="725A89D4" w14:textId="2E58B5BE" w:rsidR="00307440" w:rsidRPr="00E57670" w:rsidRDefault="004A52FB">
      <w:pPr>
        <w:pStyle w:val="Heading1"/>
        <w:rPr>
          <w:sz w:val="22"/>
          <w:szCs w:val="22"/>
        </w:rPr>
      </w:pPr>
      <w:r w:rsidRPr="00E57670">
        <w:rPr>
          <w:sz w:val="22"/>
          <w:szCs w:val="22"/>
        </w:rPr>
        <w:t>Design</w:t>
      </w:r>
    </w:p>
    <w:p w14:paraId="6A46A27E" w14:textId="76D5A6E0" w:rsidR="00C866BB" w:rsidRPr="00E57670" w:rsidRDefault="00C866BB" w:rsidP="00C866BB">
      <w:pPr>
        <w:pStyle w:val="BodyText"/>
        <w:rPr>
          <w:sz w:val="22"/>
          <w:szCs w:val="22"/>
        </w:rPr>
      </w:pPr>
      <w:r w:rsidRPr="00E57670">
        <w:rPr>
          <w:sz w:val="22"/>
          <w:szCs w:val="22"/>
        </w:rPr>
        <w:t xml:space="preserve">The App Energy monitor aims to provide </w:t>
      </w:r>
      <w:r w:rsidR="00AB1F30" w:rsidRPr="00E57670">
        <w:rPr>
          <w:sz w:val="22"/>
          <w:szCs w:val="22"/>
        </w:rPr>
        <w:t xml:space="preserve">users with a tool to accurately understand and control how their phones consumes energy. As such the design had to meet a few specifications. </w:t>
      </w:r>
    </w:p>
    <w:p w14:paraId="0809B0F0" w14:textId="12EC503C" w:rsidR="00AB1F30" w:rsidRPr="00E57670" w:rsidRDefault="00AB1F30" w:rsidP="00AB1F30">
      <w:pPr>
        <w:pStyle w:val="BodyText"/>
        <w:numPr>
          <w:ilvl w:val="0"/>
          <w:numId w:val="7"/>
        </w:numPr>
        <w:rPr>
          <w:sz w:val="22"/>
          <w:szCs w:val="22"/>
        </w:rPr>
      </w:pPr>
      <w:r w:rsidRPr="00E57670">
        <w:rPr>
          <w:sz w:val="22"/>
          <w:szCs w:val="22"/>
        </w:rPr>
        <w:t xml:space="preserve">The application must be work for all applications and processes on that run on an android phone. </w:t>
      </w:r>
    </w:p>
    <w:p w14:paraId="14E601EC" w14:textId="1ADCA140" w:rsidR="00AB1F30" w:rsidRPr="00E57670" w:rsidRDefault="00AB1F30" w:rsidP="00AB1F30">
      <w:pPr>
        <w:pStyle w:val="BodyText"/>
        <w:numPr>
          <w:ilvl w:val="0"/>
          <w:numId w:val="7"/>
        </w:numPr>
        <w:rPr>
          <w:sz w:val="22"/>
          <w:szCs w:val="22"/>
        </w:rPr>
      </w:pPr>
      <w:r w:rsidRPr="00E57670">
        <w:rPr>
          <w:sz w:val="22"/>
          <w:szCs w:val="22"/>
        </w:rPr>
        <w:t>The application should provide the user with the abi</w:t>
      </w:r>
      <w:r w:rsidR="00281C11" w:rsidRPr="00E57670">
        <w:rPr>
          <w:sz w:val="22"/>
          <w:szCs w:val="22"/>
        </w:rPr>
        <w:t>lity to easily view and understand application level energy consumption.</w:t>
      </w:r>
    </w:p>
    <w:p w14:paraId="2881E937" w14:textId="0B95CD1F" w:rsidR="00281C11" w:rsidRPr="00E57670" w:rsidRDefault="00281C11" w:rsidP="00AB1F30">
      <w:pPr>
        <w:pStyle w:val="BodyText"/>
        <w:numPr>
          <w:ilvl w:val="0"/>
          <w:numId w:val="7"/>
        </w:numPr>
        <w:rPr>
          <w:sz w:val="22"/>
          <w:szCs w:val="22"/>
        </w:rPr>
      </w:pPr>
      <w:r w:rsidRPr="00E57670">
        <w:rPr>
          <w:sz w:val="22"/>
          <w:szCs w:val="22"/>
        </w:rPr>
        <w:t xml:space="preserve">The information provided by </w:t>
      </w:r>
      <w:r w:rsidR="00000B63" w:rsidRPr="00E57670">
        <w:rPr>
          <w:sz w:val="22"/>
          <w:szCs w:val="22"/>
        </w:rPr>
        <w:t>[Insert ti</w:t>
      </w:r>
      <w:r w:rsidR="00BB5C78" w:rsidRPr="00E57670">
        <w:rPr>
          <w:sz w:val="22"/>
          <w:szCs w:val="22"/>
        </w:rPr>
        <w:t>tle here] should be easily actionable by the user.</w:t>
      </w:r>
    </w:p>
    <w:p w14:paraId="03967040" w14:textId="77777777" w:rsidR="00307E19" w:rsidRPr="00E57670" w:rsidRDefault="00BB5C78" w:rsidP="00307E19">
      <w:pPr>
        <w:pStyle w:val="BodyText"/>
        <w:numPr>
          <w:ilvl w:val="0"/>
          <w:numId w:val="7"/>
        </w:numPr>
        <w:rPr>
          <w:sz w:val="22"/>
          <w:szCs w:val="22"/>
        </w:rPr>
      </w:pPr>
      <w:r w:rsidRPr="00E57670">
        <w:rPr>
          <w:sz w:val="22"/>
          <w:szCs w:val="22"/>
        </w:rPr>
        <w:t xml:space="preserve">The application should not incur </w:t>
      </w:r>
      <w:r w:rsidR="009D0CA2" w:rsidRPr="00E57670">
        <w:rPr>
          <w:sz w:val="22"/>
          <w:szCs w:val="22"/>
        </w:rPr>
        <w:t xml:space="preserve">large overhead as to increase battery drain of the phone. </w:t>
      </w:r>
    </w:p>
    <w:p w14:paraId="6C9E613E" w14:textId="5B9D7EB0" w:rsidR="00A763FB" w:rsidRPr="00E57670" w:rsidRDefault="008C4327" w:rsidP="00307E19">
      <w:pPr>
        <w:pStyle w:val="BodyText"/>
        <w:ind w:firstLine="0"/>
        <w:rPr>
          <w:sz w:val="22"/>
          <w:szCs w:val="22"/>
        </w:rPr>
      </w:pPr>
      <w:r>
        <w:rPr>
          <w:b/>
          <w:sz w:val="22"/>
          <w:szCs w:val="22"/>
        </w:rPr>
        <w:t>A</w:t>
      </w:r>
      <w:r w:rsidR="00307E19" w:rsidRPr="00E57670">
        <w:rPr>
          <w:b/>
          <w:sz w:val="22"/>
          <w:szCs w:val="22"/>
        </w:rPr>
        <w:t xml:space="preserve">  - Universal Use</w:t>
      </w:r>
    </w:p>
    <w:p w14:paraId="71786588" w14:textId="41DA5C0F" w:rsidR="00E57670" w:rsidRPr="00E57670" w:rsidRDefault="00307E19" w:rsidP="00307E19">
      <w:pPr>
        <w:pStyle w:val="BodyText"/>
        <w:rPr>
          <w:sz w:val="22"/>
          <w:szCs w:val="22"/>
        </w:rPr>
      </w:pPr>
      <w:r w:rsidRPr="00E57670">
        <w:rPr>
          <w:sz w:val="22"/>
          <w:szCs w:val="22"/>
        </w:rPr>
        <w:t xml:space="preserve">In order for the application to be effective, it must work for any application and process that runs on the mobile device. This means we must adopt a blackbox like approach as used in Carat. Approaches similar to </w:t>
      </w:r>
      <w:r w:rsidR="00FE6BB1" w:rsidRPr="00E57670">
        <w:rPr>
          <w:sz w:val="22"/>
          <w:szCs w:val="22"/>
        </w:rPr>
        <w:t xml:space="preserve">Pathak </w:t>
      </w:r>
      <w:r w:rsidR="007152F5" w:rsidRPr="00E57670">
        <w:rPr>
          <w:sz w:val="22"/>
          <w:szCs w:val="22"/>
        </w:rPr>
        <w:t>which allows for the lowest level of measurement will not port across</w:t>
      </w:r>
      <w:r w:rsidR="00FE6BB1" w:rsidRPr="00E57670">
        <w:rPr>
          <w:sz w:val="22"/>
          <w:szCs w:val="22"/>
        </w:rPr>
        <w:t xml:space="preserve"> applications easily. Furthermore, this level of detail is not necessarily useful since most user will not unders</w:t>
      </w:r>
      <w:r w:rsidR="00256D8F" w:rsidRPr="00E57670">
        <w:rPr>
          <w:sz w:val="22"/>
          <w:szCs w:val="22"/>
        </w:rPr>
        <w:t xml:space="preserve">tand or be able to act upon it. </w:t>
      </w:r>
      <w:r w:rsidR="00D33445">
        <w:rPr>
          <w:sz w:val="22"/>
          <w:szCs w:val="22"/>
        </w:rPr>
        <w:t xml:space="preserve">The blackbox is sufficient since users cannot alter the mechanisms of the application, but can only choose to run it or not run it. </w:t>
      </w:r>
    </w:p>
    <w:p w14:paraId="4B2C749E" w14:textId="3C8D1E5B" w:rsidR="00E57670" w:rsidRPr="00E57670" w:rsidRDefault="00110485" w:rsidP="00E57670">
      <w:pPr>
        <w:pStyle w:val="BodyText"/>
        <w:ind w:firstLine="0"/>
        <w:rPr>
          <w:b/>
          <w:sz w:val="22"/>
          <w:szCs w:val="22"/>
        </w:rPr>
      </w:pPr>
      <w:r>
        <w:rPr>
          <w:b/>
          <w:sz w:val="22"/>
          <w:szCs w:val="22"/>
        </w:rPr>
        <w:t>B</w:t>
      </w:r>
      <w:r w:rsidR="00E57670" w:rsidRPr="00E57670">
        <w:rPr>
          <w:b/>
          <w:sz w:val="22"/>
          <w:szCs w:val="22"/>
        </w:rPr>
        <w:t xml:space="preserve"> – User Actionability</w:t>
      </w:r>
    </w:p>
    <w:p w14:paraId="64E87C9B" w14:textId="2F7B2135" w:rsidR="00307E19" w:rsidRDefault="007152F5" w:rsidP="00E57670">
      <w:pPr>
        <w:pStyle w:val="BodyText"/>
        <w:ind w:firstLine="0"/>
        <w:rPr>
          <w:sz w:val="22"/>
          <w:szCs w:val="22"/>
        </w:rPr>
      </w:pPr>
      <w:r w:rsidRPr="00E57670">
        <w:rPr>
          <w:sz w:val="22"/>
          <w:szCs w:val="22"/>
        </w:rPr>
        <w:t xml:space="preserve"> </w:t>
      </w:r>
      <w:r w:rsidR="00E57670" w:rsidRPr="00E57670">
        <w:rPr>
          <w:sz w:val="22"/>
          <w:szCs w:val="22"/>
        </w:rPr>
        <w:t xml:space="preserve">     A major drawback of many systems is that </w:t>
      </w:r>
      <w:r w:rsidR="00EE3B50">
        <w:rPr>
          <w:sz w:val="22"/>
          <w:szCs w:val="22"/>
        </w:rPr>
        <w:t xml:space="preserve">the information given by application is not understood by the </w:t>
      </w:r>
      <w:r w:rsidR="00EE3B50">
        <w:rPr>
          <w:sz w:val="22"/>
          <w:szCs w:val="22"/>
        </w:rPr>
        <w:lastRenderedPageBreak/>
        <w:t xml:space="preserve">user or not actionable by the user. </w:t>
      </w:r>
      <w:r w:rsidR="00395EFA">
        <w:rPr>
          <w:sz w:val="22"/>
          <w:szCs w:val="22"/>
        </w:rPr>
        <w:t xml:space="preserve">Data that presents uncontextualized information about energy consumed in millijoules use of little use to users since most users don’t have enough knowledge to understand what the number is saying. Other times, </w:t>
      </w:r>
      <w:r w:rsidR="0020174E">
        <w:rPr>
          <w:sz w:val="22"/>
          <w:szCs w:val="22"/>
        </w:rPr>
        <w:t>graphs displayed provide really detailed information but again no information that provides usable i</w:t>
      </w:r>
      <w:r w:rsidR="00110485">
        <w:rPr>
          <w:sz w:val="22"/>
          <w:szCs w:val="22"/>
        </w:rPr>
        <w:t xml:space="preserve">nformation to the user. Providing the user with well-chosen information about the application that </w:t>
      </w:r>
      <w:r w:rsidR="00977A32">
        <w:rPr>
          <w:sz w:val="22"/>
          <w:szCs w:val="22"/>
        </w:rPr>
        <w:t xml:space="preserve">allows the user to make informed decisions is key. </w:t>
      </w:r>
      <w:r w:rsidR="00A51791">
        <w:rPr>
          <w:sz w:val="22"/>
          <w:szCs w:val="22"/>
        </w:rPr>
        <w:t xml:space="preserve">[Insert application name here] provides users with a simple statistic about the energy consumption and memory consumption of each application/process. </w:t>
      </w:r>
      <w:r w:rsidR="00724AD2">
        <w:rPr>
          <w:sz w:val="22"/>
          <w:szCs w:val="22"/>
        </w:rPr>
        <w:t xml:space="preserve">Users then have the option to set thresholds based on the information presented. This will be discussed in detail in ______insert section_____. </w:t>
      </w:r>
      <w:bookmarkStart w:id="0" w:name="_GoBack"/>
      <w:bookmarkEnd w:id="0"/>
    </w:p>
    <w:p w14:paraId="09C0BB33" w14:textId="77777777" w:rsidR="00D33445" w:rsidRPr="00E57670" w:rsidRDefault="00D33445" w:rsidP="00E57670">
      <w:pPr>
        <w:pStyle w:val="BodyText"/>
        <w:ind w:firstLine="0"/>
        <w:rPr>
          <w:sz w:val="22"/>
          <w:szCs w:val="22"/>
        </w:rPr>
      </w:pPr>
    </w:p>
    <w:p w14:paraId="166682A7" w14:textId="0023E68B" w:rsidR="00307440" w:rsidRPr="00E57670" w:rsidRDefault="004A52FB">
      <w:pPr>
        <w:pStyle w:val="BodyText"/>
        <w:rPr>
          <w:sz w:val="22"/>
          <w:szCs w:val="22"/>
        </w:rPr>
      </w:pPr>
      <w:r w:rsidRPr="00E57670">
        <w:rPr>
          <w:sz w:val="22"/>
          <w:szCs w:val="22"/>
        </w:rPr>
        <w:t xml:space="preserve">Explain the choices of this paper </w:t>
      </w:r>
    </w:p>
    <w:p w14:paraId="67995AB6" w14:textId="23B104BC" w:rsidR="00FC12AD" w:rsidRPr="00E57670" w:rsidRDefault="00FC12AD">
      <w:pPr>
        <w:pStyle w:val="BodyText"/>
        <w:rPr>
          <w:sz w:val="22"/>
          <w:szCs w:val="22"/>
        </w:rPr>
      </w:pPr>
      <w:r w:rsidRPr="00E57670">
        <w:rPr>
          <w:sz w:val="22"/>
          <w:szCs w:val="22"/>
        </w:rPr>
        <w:t>User defined thresholds</w:t>
      </w:r>
    </w:p>
    <w:p w14:paraId="0139DBC7" w14:textId="4151D373" w:rsidR="00FC12AD" w:rsidRPr="00E57670" w:rsidRDefault="00FC12AD">
      <w:pPr>
        <w:pStyle w:val="BodyText"/>
        <w:rPr>
          <w:sz w:val="22"/>
          <w:szCs w:val="22"/>
        </w:rPr>
      </w:pPr>
      <w:r w:rsidRPr="00E57670">
        <w:rPr>
          <w:sz w:val="22"/>
          <w:szCs w:val="22"/>
        </w:rPr>
        <w:t>Simple selection</w:t>
      </w:r>
    </w:p>
    <w:p w14:paraId="590F76EA" w14:textId="186961D2" w:rsidR="00FC12AD" w:rsidRPr="00E57670" w:rsidRDefault="00FC12AD">
      <w:pPr>
        <w:pStyle w:val="BodyText"/>
        <w:rPr>
          <w:sz w:val="22"/>
          <w:szCs w:val="22"/>
        </w:rPr>
      </w:pPr>
      <w:r w:rsidRPr="00E57670">
        <w:rPr>
          <w:sz w:val="22"/>
          <w:szCs w:val="22"/>
        </w:rPr>
        <w:t xml:space="preserve">Hourly detection and </w:t>
      </w:r>
      <w:r w:rsidR="001D336F" w:rsidRPr="00E57670">
        <w:rPr>
          <w:sz w:val="22"/>
          <w:szCs w:val="22"/>
        </w:rPr>
        <w:t>user notification (android does not give access killing apps immediately + more user defined control</w:t>
      </w:r>
      <w:r w:rsidR="009223F0" w:rsidRPr="00E57670">
        <w:rPr>
          <w:sz w:val="22"/>
          <w:szCs w:val="22"/>
        </w:rPr>
        <w:t xml:space="preserve"> so apps aren’t killed when they are undergoing some desired behavior</w:t>
      </w:r>
      <w:r w:rsidR="001D336F" w:rsidRPr="00E57670">
        <w:rPr>
          <w:sz w:val="22"/>
          <w:szCs w:val="22"/>
        </w:rPr>
        <w:t>)</w:t>
      </w:r>
    </w:p>
    <w:p w14:paraId="4FCEBDE0" w14:textId="77777777" w:rsidR="0050446D" w:rsidRPr="00E57670" w:rsidRDefault="0050446D">
      <w:pPr>
        <w:pStyle w:val="BodyText"/>
        <w:rPr>
          <w:sz w:val="22"/>
          <w:szCs w:val="22"/>
        </w:rPr>
      </w:pPr>
    </w:p>
    <w:p w14:paraId="75AF0539" w14:textId="71E544A3" w:rsidR="00307440" w:rsidRPr="00E57670" w:rsidRDefault="006C0A7D">
      <w:pPr>
        <w:pStyle w:val="Heading1"/>
        <w:rPr>
          <w:sz w:val="22"/>
          <w:szCs w:val="22"/>
        </w:rPr>
      </w:pPr>
      <w:r w:rsidRPr="00E57670">
        <w:rPr>
          <w:sz w:val="22"/>
          <w:szCs w:val="22"/>
        </w:rPr>
        <w:t>Measuring Energy</w:t>
      </w:r>
    </w:p>
    <w:p w14:paraId="19248786" w14:textId="77777777" w:rsidR="00740E6D" w:rsidRPr="00E57670" w:rsidRDefault="00740E6D" w:rsidP="00740E6D">
      <w:pPr>
        <w:pStyle w:val="BodyText"/>
        <w:rPr>
          <w:sz w:val="22"/>
          <w:szCs w:val="22"/>
        </w:rPr>
      </w:pPr>
    </w:p>
    <w:p w14:paraId="296FD661" w14:textId="2F510E2A" w:rsidR="00740E6D" w:rsidRPr="00E57670" w:rsidRDefault="00740E6D" w:rsidP="00740E6D">
      <w:pPr>
        <w:pStyle w:val="BodyText"/>
        <w:rPr>
          <w:sz w:val="22"/>
          <w:szCs w:val="22"/>
        </w:rPr>
      </w:pPr>
      <w:r w:rsidRPr="00E57670">
        <w:rPr>
          <w:sz w:val="22"/>
          <w:szCs w:val="22"/>
        </w:rPr>
        <w:t>Cpu usage is highly proportional to energy usage.</w:t>
      </w:r>
    </w:p>
    <w:p w14:paraId="4898F738" w14:textId="77777777" w:rsidR="00740E6D" w:rsidRPr="00E57670" w:rsidRDefault="00740E6D" w:rsidP="00740E6D">
      <w:pPr>
        <w:pStyle w:val="BodyText"/>
        <w:rPr>
          <w:sz w:val="22"/>
          <w:szCs w:val="22"/>
        </w:rPr>
      </w:pPr>
    </w:p>
    <w:p w14:paraId="53B13EC1" w14:textId="5B7A9835" w:rsidR="001E7A28" w:rsidRPr="00E57670" w:rsidRDefault="001E7A28" w:rsidP="001E7A28">
      <w:pPr>
        <w:pStyle w:val="BodyText"/>
        <w:jc w:val="center"/>
        <w:rPr>
          <w:sz w:val="22"/>
          <w:szCs w:val="22"/>
        </w:rPr>
      </w:pPr>
      <w:r w:rsidRPr="00E57670">
        <w:rPr>
          <w:sz w:val="22"/>
          <w:szCs w:val="22"/>
        </w:rPr>
        <w:t>V. Evaluation</w:t>
      </w:r>
    </w:p>
    <w:p w14:paraId="24488DD1" w14:textId="521864E8" w:rsidR="001E7A28" w:rsidRPr="00E57670" w:rsidRDefault="001E7A28" w:rsidP="00740E6D">
      <w:pPr>
        <w:pStyle w:val="BodyText"/>
        <w:rPr>
          <w:sz w:val="22"/>
          <w:szCs w:val="22"/>
        </w:rPr>
      </w:pPr>
    </w:p>
    <w:p w14:paraId="0CE3E888" w14:textId="77777777" w:rsidR="001E7A28" w:rsidRPr="00E57670" w:rsidRDefault="001E7A28" w:rsidP="00740E6D">
      <w:pPr>
        <w:pStyle w:val="BodyText"/>
        <w:rPr>
          <w:sz w:val="22"/>
          <w:szCs w:val="22"/>
        </w:rPr>
      </w:pPr>
    </w:p>
    <w:p w14:paraId="566863A0" w14:textId="77777777" w:rsidR="00307440" w:rsidRPr="00E57670" w:rsidRDefault="00307440">
      <w:pPr>
        <w:pStyle w:val="BodyText"/>
        <w:rPr>
          <w:sz w:val="22"/>
          <w:szCs w:val="22"/>
        </w:rPr>
      </w:pPr>
      <w:r w:rsidRPr="00E57670">
        <w:rPr>
          <w:sz w:val="22"/>
          <w:szCs w:val="22"/>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Pr="00E57670" w:rsidRDefault="00307440">
      <w:pPr>
        <w:pStyle w:val="BodyText"/>
        <w:rPr>
          <w:sz w:val="22"/>
          <w:szCs w:val="22"/>
        </w:rPr>
      </w:pPr>
      <w:r w:rsidRPr="00E57670">
        <w:rPr>
          <w:sz w:val="22"/>
          <w:szCs w:val="22"/>
        </w:rPr>
        <w:t>Finally, complete content and organizational editing before formatting. Please take note of the following items when proofreading spelling and grammar.</w:t>
      </w:r>
    </w:p>
    <w:p w14:paraId="37D1164C" w14:textId="77777777" w:rsidR="00307440" w:rsidRPr="00E57670" w:rsidRDefault="00307440">
      <w:pPr>
        <w:pStyle w:val="Heading2"/>
        <w:rPr>
          <w:sz w:val="22"/>
          <w:szCs w:val="22"/>
        </w:rPr>
      </w:pPr>
      <w:r w:rsidRPr="00E57670">
        <w:rPr>
          <w:sz w:val="22"/>
          <w:szCs w:val="22"/>
        </w:rPr>
        <w:t>Abbreviations and Acronyms (Heading 2)</w:t>
      </w:r>
    </w:p>
    <w:p w14:paraId="6B5127F7" w14:textId="77777777" w:rsidR="00307440" w:rsidRPr="00E57670" w:rsidRDefault="00307440">
      <w:pPr>
        <w:pStyle w:val="BodyText"/>
        <w:rPr>
          <w:sz w:val="22"/>
          <w:szCs w:val="22"/>
        </w:rPr>
      </w:pPr>
      <w:r w:rsidRPr="00E57670">
        <w:rPr>
          <w:sz w:val="22"/>
          <w:szCs w:val="22"/>
        </w:rP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Pr="00E57670" w:rsidRDefault="00307440">
      <w:pPr>
        <w:pStyle w:val="Heading2"/>
        <w:rPr>
          <w:sz w:val="22"/>
          <w:szCs w:val="22"/>
        </w:rPr>
      </w:pPr>
      <w:r w:rsidRPr="00E57670">
        <w:rPr>
          <w:sz w:val="22"/>
          <w:szCs w:val="22"/>
        </w:rPr>
        <w:lastRenderedPageBreak/>
        <w:t>Units</w:t>
      </w:r>
    </w:p>
    <w:p w14:paraId="2BC995BF" w14:textId="77777777" w:rsidR="00307440" w:rsidRPr="00E57670" w:rsidRDefault="00307440">
      <w:pPr>
        <w:pStyle w:val="bulletlist"/>
        <w:tabs>
          <w:tab w:val="num" w:pos="648"/>
        </w:tabs>
        <w:rPr>
          <w:sz w:val="22"/>
          <w:szCs w:val="22"/>
        </w:rPr>
      </w:pPr>
      <w:r w:rsidRPr="00E57670">
        <w:rPr>
          <w:sz w:val="22"/>
          <w:szCs w:val="22"/>
        </w:rP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Pr="00E57670" w:rsidRDefault="00307440">
      <w:pPr>
        <w:pStyle w:val="bulletlist"/>
        <w:tabs>
          <w:tab w:val="num" w:pos="648"/>
        </w:tabs>
        <w:rPr>
          <w:sz w:val="22"/>
          <w:szCs w:val="22"/>
        </w:rPr>
      </w:pPr>
      <w:r w:rsidRPr="00E57670">
        <w:rPr>
          <w:sz w:val="22"/>
          <w:szCs w:val="22"/>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Pr="00E57670" w:rsidRDefault="00307440">
      <w:pPr>
        <w:pStyle w:val="bulletlist"/>
        <w:tabs>
          <w:tab w:val="num" w:pos="648"/>
        </w:tabs>
        <w:rPr>
          <w:sz w:val="22"/>
          <w:szCs w:val="22"/>
        </w:rPr>
      </w:pPr>
      <w:r w:rsidRPr="00E57670">
        <w:rPr>
          <w:sz w:val="22"/>
          <w:szCs w:val="22"/>
        </w:rPr>
        <w:t>Do not mix complete spellings and abbreviations of units: “Wb/m</w:t>
      </w:r>
      <w:r w:rsidRPr="00E57670">
        <w:rPr>
          <w:spacing w:val="-2"/>
          <w:sz w:val="22"/>
          <w:szCs w:val="22"/>
          <w:vertAlign w:val="superscript"/>
        </w:rPr>
        <w:t>2</w:t>
      </w:r>
      <w:r w:rsidRPr="00E57670">
        <w:rPr>
          <w:sz w:val="22"/>
          <w:szCs w:val="22"/>
        </w:rPr>
        <w:t>” or “webers per square meter”, not “webers/m</w:t>
      </w:r>
      <w:r w:rsidRPr="00E57670">
        <w:rPr>
          <w:spacing w:val="-2"/>
          <w:sz w:val="22"/>
          <w:szCs w:val="22"/>
          <w:vertAlign w:val="superscript"/>
        </w:rPr>
        <w:t>2</w:t>
      </w:r>
      <w:r w:rsidRPr="00E57670">
        <w:rPr>
          <w:sz w:val="22"/>
          <w:szCs w:val="22"/>
        </w:rPr>
        <w:t>”.  Spell out units when they appear in text: “. . . a few henries”, not “. . . a few H”.</w:t>
      </w:r>
    </w:p>
    <w:p w14:paraId="791F1F46" w14:textId="77777777" w:rsidR="00307440" w:rsidRPr="00E57670" w:rsidRDefault="00307440">
      <w:pPr>
        <w:pStyle w:val="bulletlist"/>
        <w:tabs>
          <w:tab w:val="num" w:pos="648"/>
        </w:tabs>
        <w:rPr>
          <w:sz w:val="22"/>
          <w:szCs w:val="22"/>
        </w:rPr>
      </w:pPr>
      <w:r w:rsidRPr="00E57670">
        <w:rPr>
          <w:sz w:val="22"/>
          <w:szCs w:val="22"/>
        </w:rPr>
        <w:t>Use a zero before decimal points: “0.25”, not “.25”. Use “cm</w:t>
      </w:r>
      <w:r w:rsidRPr="00E57670">
        <w:rPr>
          <w:spacing w:val="-2"/>
          <w:sz w:val="22"/>
          <w:szCs w:val="22"/>
          <w:vertAlign w:val="superscript"/>
        </w:rPr>
        <w:t>3</w:t>
      </w:r>
      <w:r w:rsidRPr="00E57670">
        <w:rPr>
          <w:sz w:val="22"/>
          <w:szCs w:val="22"/>
        </w:rPr>
        <w:t>”, not “cc”. (</w:t>
      </w:r>
      <w:r w:rsidRPr="00E57670">
        <w:rPr>
          <w:i/>
          <w:iCs/>
          <w:sz w:val="22"/>
          <w:szCs w:val="22"/>
        </w:rPr>
        <w:t>bullet list</w:t>
      </w:r>
      <w:r w:rsidRPr="00E57670">
        <w:rPr>
          <w:sz w:val="22"/>
          <w:szCs w:val="22"/>
        </w:rPr>
        <w:t>)</w:t>
      </w:r>
    </w:p>
    <w:p w14:paraId="39FFAD00" w14:textId="77777777" w:rsidR="00307440" w:rsidRPr="00E57670" w:rsidRDefault="00307440">
      <w:pPr>
        <w:pStyle w:val="Heading2"/>
        <w:rPr>
          <w:sz w:val="22"/>
          <w:szCs w:val="22"/>
        </w:rPr>
      </w:pPr>
      <w:r w:rsidRPr="00E57670">
        <w:rPr>
          <w:sz w:val="22"/>
          <w:szCs w:val="22"/>
        </w:rPr>
        <w:t>Equations</w:t>
      </w:r>
    </w:p>
    <w:p w14:paraId="209CBA7C" w14:textId="77777777" w:rsidR="00307440" w:rsidRPr="00E57670" w:rsidRDefault="00307440">
      <w:pPr>
        <w:pStyle w:val="BodyText"/>
        <w:rPr>
          <w:sz w:val="22"/>
          <w:szCs w:val="22"/>
        </w:rPr>
      </w:pPr>
      <w:r w:rsidRPr="00E57670">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Pr="00E57670" w:rsidRDefault="00307440">
      <w:pPr>
        <w:pStyle w:val="BodyText"/>
        <w:rPr>
          <w:sz w:val="22"/>
          <w:szCs w:val="22"/>
        </w:rPr>
      </w:pPr>
      <w:r w:rsidRPr="00E57670">
        <w:rPr>
          <w:sz w:val="22"/>
          <w:szCs w:val="22"/>
        </w:rPr>
        <w:t>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Pr="00E57670" w:rsidRDefault="00307440">
      <w:pPr>
        <w:pStyle w:val="equation"/>
        <w:rPr>
          <w:sz w:val="22"/>
          <w:szCs w:val="22"/>
        </w:rPr>
      </w:pP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p>
    <w:p w14:paraId="3091A67C" w14:textId="77777777" w:rsidR="00307440" w:rsidRPr="00E57670" w:rsidRDefault="00307440">
      <w:pPr>
        <w:pStyle w:val="BodyText"/>
        <w:rPr>
          <w:sz w:val="22"/>
          <w:szCs w:val="22"/>
        </w:rPr>
      </w:pPr>
      <w:r w:rsidRPr="00E57670">
        <w:rPr>
          <w:sz w:val="22"/>
          <w:szCs w:val="22"/>
        </w:rP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Pr="00E57670" w:rsidRDefault="00307440">
      <w:pPr>
        <w:pStyle w:val="Heading2"/>
        <w:rPr>
          <w:sz w:val="22"/>
          <w:szCs w:val="22"/>
        </w:rPr>
      </w:pPr>
      <w:r w:rsidRPr="00E57670">
        <w:rPr>
          <w:sz w:val="22"/>
          <w:szCs w:val="22"/>
        </w:rPr>
        <w:t>Some Common Mistakes</w:t>
      </w:r>
    </w:p>
    <w:p w14:paraId="1FA41282" w14:textId="77777777" w:rsidR="00307440" w:rsidRPr="00E57670" w:rsidRDefault="00307440">
      <w:pPr>
        <w:pStyle w:val="bulletlist"/>
        <w:tabs>
          <w:tab w:val="num" w:pos="648"/>
        </w:tabs>
        <w:rPr>
          <w:sz w:val="22"/>
          <w:szCs w:val="22"/>
        </w:rPr>
      </w:pPr>
      <w:r w:rsidRPr="00E57670">
        <w:rPr>
          <w:sz w:val="22"/>
          <w:szCs w:val="22"/>
        </w:rPr>
        <w:t>The word “data” is plural, not singular.</w:t>
      </w:r>
    </w:p>
    <w:p w14:paraId="7466BEFE" w14:textId="77777777" w:rsidR="00307440" w:rsidRPr="00E57670" w:rsidRDefault="00307440">
      <w:pPr>
        <w:pStyle w:val="bulletlist"/>
        <w:tabs>
          <w:tab w:val="num" w:pos="648"/>
        </w:tabs>
        <w:rPr>
          <w:sz w:val="22"/>
          <w:szCs w:val="22"/>
        </w:rPr>
      </w:pPr>
      <w:r w:rsidRPr="00E57670">
        <w:rPr>
          <w:sz w:val="22"/>
          <w:szCs w:val="22"/>
        </w:rPr>
        <w:t xml:space="preserve">The subscript for the permeability of vacuum </w:t>
      </w:r>
      <w:r w:rsidRPr="00E57670">
        <w:rPr>
          <w:rFonts w:ascii="Symbol" w:eastAsia="Symbol" w:hAnsi="Symbol" w:cs="Symbol"/>
          <w:i/>
          <w:iCs/>
          <w:sz w:val="22"/>
          <w:szCs w:val="22"/>
        </w:rPr>
        <w:t></w:t>
      </w:r>
      <w:r w:rsidRPr="00E57670">
        <w:rPr>
          <w:sz w:val="22"/>
          <w:szCs w:val="22"/>
          <w:vertAlign w:val="subscript"/>
        </w:rPr>
        <w:t>0</w:t>
      </w:r>
      <w:r w:rsidRPr="00E57670">
        <w:rPr>
          <w:sz w:val="22"/>
          <w:szCs w:val="22"/>
        </w:rPr>
        <w:t>, and other common scientific constants, is zero with subscript formatting, not a lowercase letter “o”.</w:t>
      </w:r>
    </w:p>
    <w:p w14:paraId="24BA1833" w14:textId="77777777" w:rsidR="00307440" w:rsidRPr="00E57670" w:rsidRDefault="00307440">
      <w:pPr>
        <w:pStyle w:val="bulletlist"/>
        <w:tabs>
          <w:tab w:val="num" w:pos="648"/>
        </w:tabs>
        <w:rPr>
          <w:sz w:val="22"/>
          <w:szCs w:val="22"/>
        </w:rPr>
      </w:pPr>
      <w:r w:rsidRPr="00E57670">
        <w:rPr>
          <w:sz w:val="22"/>
          <w:szCs w:val="22"/>
        </w:rPr>
        <w:lastRenderedPageBreak/>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Pr="00E57670" w:rsidRDefault="00307440">
      <w:pPr>
        <w:pStyle w:val="bulletlist"/>
        <w:tabs>
          <w:tab w:val="num" w:pos="648"/>
        </w:tabs>
        <w:rPr>
          <w:sz w:val="22"/>
          <w:szCs w:val="22"/>
        </w:rPr>
      </w:pPr>
      <w:r w:rsidRPr="00E57670">
        <w:rPr>
          <w:sz w:val="22"/>
          <w:szCs w:val="22"/>
        </w:rPr>
        <w:t>A graph within a graph is an “inset”, not an “insert”. The word alternatively is preferred to the word “alternately” (unless you really mean something that alternates).</w:t>
      </w:r>
    </w:p>
    <w:p w14:paraId="1DE787E4" w14:textId="77777777" w:rsidR="00307440" w:rsidRPr="00E57670" w:rsidRDefault="00307440">
      <w:pPr>
        <w:pStyle w:val="bulletlist"/>
        <w:tabs>
          <w:tab w:val="num" w:pos="648"/>
        </w:tabs>
        <w:rPr>
          <w:sz w:val="22"/>
          <w:szCs w:val="22"/>
        </w:rPr>
      </w:pPr>
      <w:r w:rsidRPr="00E57670">
        <w:rPr>
          <w:sz w:val="22"/>
          <w:szCs w:val="22"/>
        </w:rPr>
        <w:t>Do not use the word “essentially” to mean “approximately” or “effectively”.</w:t>
      </w:r>
    </w:p>
    <w:p w14:paraId="5655046D" w14:textId="77777777" w:rsidR="00307440" w:rsidRPr="00E57670" w:rsidRDefault="00307440">
      <w:pPr>
        <w:pStyle w:val="bulletlist"/>
        <w:tabs>
          <w:tab w:val="num" w:pos="648"/>
        </w:tabs>
        <w:rPr>
          <w:sz w:val="22"/>
          <w:szCs w:val="22"/>
        </w:rPr>
      </w:pPr>
      <w:r w:rsidRPr="00E57670">
        <w:rPr>
          <w:sz w:val="22"/>
          <w:szCs w:val="22"/>
        </w:rPr>
        <w:t>In your paper title, if the words “that uses” can accurately replace the word “using”, capitalize the “u”; if not, keep using lower-cased.</w:t>
      </w:r>
    </w:p>
    <w:p w14:paraId="1697B832" w14:textId="77777777" w:rsidR="00307440" w:rsidRPr="00E57670" w:rsidRDefault="00307440">
      <w:pPr>
        <w:pStyle w:val="bulletlist"/>
        <w:tabs>
          <w:tab w:val="num" w:pos="648"/>
        </w:tabs>
        <w:rPr>
          <w:sz w:val="22"/>
          <w:szCs w:val="22"/>
        </w:rPr>
      </w:pPr>
      <w:r w:rsidRPr="00E57670">
        <w:rPr>
          <w:sz w:val="22"/>
          <w:szCs w:val="22"/>
        </w:rPr>
        <w:t>Be aware of the different meanings of the homophones “affect” and “effect”, “complement” and “compliment”, “discreet” and “discrete”, “principal” and “principle”.</w:t>
      </w:r>
    </w:p>
    <w:p w14:paraId="55820D89" w14:textId="77777777" w:rsidR="00307440" w:rsidRPr="00E57670" w:rsidRDefault="00307440">
      <w:pPr>
        <w:pStyle w:val="bulletlist"/>
        <w:tabs>
          <w:tab w:val="num" w:pos="648"/>
        </w:tabs>
        <w:rPr>
          <w:sz w:val="22"/>
          <w:szCs w:val="22"/>
        </w:rPr>
      </w:pPr>
      <w:r w:rsidRPr="00E57670">
        <w:rPr>
          <w:sz w:val="22"/>
          <w:szCs w:val="22"/>
        </w:rPr>
        <w:t>Do not confuse “imply” and “infer”.</w:t>
      </w:r>
    </w:p>
    <w:p w14:paraId="794E2386" w14:textId="77777777" w:rsidR="00307440" w:rsidRPr="00E57670" w:rsidRDefault="00307440">
      <w:pPr>
        <w:pStyle w:val="bulletlist"/>
        <w:tabs>
          <w:tab w:val="num" w:pos="648"/>
        </w:tabs>
        <w:rPr>
          <w:sz w:val="22"/>
          <w:szCs w:val="22"/>
        </w:rPr>
      </w:pPr>
      <w:r w:rsidRPr="00E57670">
        <w:rPr>
          <w:sz w:val="22"/>
          <w:szCs w:val="22"/>
        </w:rPr>
        <w:t>The prefix “non” is not a word; it should be joined to the word it modifies, usually without a hyphen.</w:t>
      </w:r>
    </w:p>
    <w:p w14:paraId="45B5B4F4" w14:textId="77777777" w:rsidR="00307440" w:rsidRPr="00E57670" w:rsidRDefault="00307440">
      <w:pPr>
        <w:pStyle w:val="bulletlist"/>
        <w:tabs>
          <w:tab w:val="num" w:pos="648"/>
        </w:tabs>
        <w:rPr>
          <w:sz w:val="22"/>
          <w:szCs w:val="22"/>
        </w:rPr>
      </w:pPr>
      <w:r w:rsidRPr="00E57670">
        <w:rPr>
          <w:sz w:val="22"/>
          <w:szCs w:val="22"/>
        </w:rPr>
        <w:t>There is no period after the “et” in the Latin abbreviation “et al.”.</w:t>
      </w:r>
    </w:p>
    <w:p w14:paraId="66EBD66C" w14:textId="77777777" w:rsidR="00307440" w:rsidRPr="00E57670" w:rsidRDefault="00307440">
      <w:pPr>
        <w:pStyle w:val="bulletlist"/>
        <w:tabs>
          <w:tab w:val="num" w:pos="648"/>
        </w:tabs>
        <w:rPr>
          <w:sz w:val="22"/>
          <w:szCs w:val="22"/>
        </w:rPr>
      </w:pPr>
      <w:r w:rsidRPr="00E57670">
        <w:rPr>
          <w:sz w:val="22"/>
          <w:szCs w:val="22"/>
        </w:rPr>
        <w:t>The abbreviation “i.e.” means “that is”, and the abbreviation “e.g.” means “for example”.</w:t>
      </w:r>
    </w:p>
    <w:p w14:paraId="008DC8A7" w14:textId="77777777" w:rsidR="00307440" w:rsidRPr="00E57670" w:rsidRDefault="00307440">
      <w:pPr>
        <w:pStyle w:val="BodyText"/>
        <w:rPr>
          <w:sz w:val="22"/>
          <w:szCs w:val="22"/>
        </w:rPr>
      </w:pPr>
      <w:r w:rsidRPr="00E57670">
        <w:rPr>
          <w:sz w:val="22"/>
          <w:szCs w:val="22"/>
        </w:rPr>
        <w:t>An excellent style manual for science writers is given by Young [7].</w:t>
      </w:r>
    </w:p>
    <w:p w14:paraId="5A5752DB" w14:textId="77777777" w:rsidR="00307440" w:rsidRPr="00E57670" w:rsidRDefault="00307440">
      <w:pPr>
        <w:pStyle w:val="Heading1"/>
        <w:rPr>
          <w:sz w:val="22"/>
          <w:szCs w:val="22"/>
        </w:rPr>
      </w:pPr>
      <w:r w:rsidRPr="00E57670">
        <w:rPr>
          <w:sz w:val="22"/>
          <w:szCs w:val="22"/>
        </w:rPr>
        <w:t>Using the Template</w:t>
      </w:r>
    </w:p>
    <w:p w14:paraId="6312917F" w14:textId="77777777" w:rsidR="00307440" w:rsidRPr="00E57670" w:rsidRDefault="00307440">
      <w:pPr>
        <w:pStyle w:val="BodyText"/>
        <w:rPr>
          <w:sz w:val="22"/>
          <w:szCs w:val="22"/>
        </w:rPr>
      </w:pPr>
      <w:r w:rsidRPr="00E57670">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Pr="00E57670" w:rsidRDefault="00307440">
      <w:pPr>
        <w:pStyle w:val="Heading2"/>
        <w:rPr>
          <w:sz w:val="22"/>
          <w:szCs w:val="22"/>
        </w:rPr>
      </w:pPr>
      <w:r w:rsidRPr="00E57670">
        <w:rPr>
          <w:sz w:val="22"/>
          <w:szCs w:val="22"/>
        </w:rPr>
        <w:t>Authors and Affiliations</w:t>
      </w:r>
    </w:p>
    <w:p w14:paraId="5FF5F12C" w14:textId="77777777" w:rsidR="00307440" w:rsidRPr="00E57670" w:rsidRDefault="00307440">
      <w:pPr>
        <w:pStyle w:val="BodyText"/>
        <w:rPr>
          <w:sz w:val="22"/>
          <w:szCs w:val="22"/>
        </w:rPr>
      </w:pPr>
      <w:r w:rsidRPr="00E57670">
        <w:rPr>
          <w:sz w:val="22"/>
          <w:szCs w:val="22"/>
        </w:rPr>
        <w:t xml:space="preserve">The template is designed so that author affiliations are not repeated each time for multiple authors of the same affiliation. Please keep your affiliations as succinct as possible (for example, do not differentiate among </w:t>
      </w:r>
      <w:r w:rsidRPr="00E57670">
        <w:rPr>
          <w:sz w:val="22"/>
          <w:szCs w:val="22"/>
        </w:rPr>
        <w:lastRenderedPageBreak/>
        <w:t>departments of the same organization). This template was designed for two affiliations.</w:t>
      </w:r>
    </w:p>
    <w:p w14:paraId="7931FBE6" w14:textId="77777777" w:rsidR="00307440" w:rsidRPr="00E57670" w:rsidRDefault="00307440">
      <w:pPr>
        <w:pStyle w:val="Heading3"/>
        <w:rPr>
          <w:sz w:val="22"/>
          <w:szCs w:val="22"/>
        </w:rPr>
      </w:pPr>
      <w:r w:rsidRPr="00E57670">
        <w:rPr>
          <w:sz w:val="22"/>
          <w:szCs w:val="22"/>
        </w:rPr>
        <w:t>For Author/s of Only One Affiliation (Heading 3): To change the default, adjust the template as follows.</w:t>
      </w:r>
    </w:p>
    <w:p w14:paraId="0D999B5F" w14:textId="77777777" w:rsidR="00307440" w:rsidRPr="00E57670" w:rsidRDefault="00307440">
      <w:pPr>
        <w:pStyle w:val="Heading4"/>
        <w:rPr>
          <w:sz w:val="22"/>
          <w:szCs w:val="22"/>
        </w:rPr>
      </w:pPr>
      <w:r w:rsidRPr="00E57670">
        <w:rPr>
          <w:sz w:val="22"/>
          <w:szCs w:val="22"/>
        </w:rPr>
        <w:t>Selection (Heading 4): Highlight all author and affiliation lines.</w:t>
      </w:r>
    </w:p>
    <w:p w14:paraId="58EA45E1"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&gt;Presets &gt; One Column. </w:t>
      </w:r>
    </w:p>
    <w:p w14:paraId="2E87B5AF" w14:textId="77777777" w:rsidR="00307440" w:rsidRPr="00E57670" w:rsidRDefault="00307440">
      <w:pPr>
        <w:pStyle w:val="Heading4"/>
        <w:rPr>
          <w:sz w:val="22"/>
          <w:szCs w:val="22"/>
        </w:rPr>
      </w:pPr>
      <w:r w:rsidRPr="00E57670">
        <w:rPr>
          <w:sz w:val="22"/>
          <w:szCs w:val="22"/>
        </w:rPr>
        <w:t>Deletion: Delete the author and affiliation lines for the second affiliation.</w:t>
      </w:r>
    </w:p>
    <w:p w14:paraId="2751D876" w14:textId="77777777" w:rsidR="00307440" w:rsidRPr="00E57670" w:rsidRDefault="00307440">
      <w:pPr>
        <w:pStyle w:val="Heading3"/>
        <w:rPr>
          <w:sz w:val="22"/>
          <w:szCs w:val="22"/>
        </w:rPr>
      </w:pPr>
      <w:r w:rsidRPr="00E57670">
        <w:rPr>
          <w:sz w:val="22"/>
          <w:szCs w:val="22"/>
        </w:rPr>
        <w:t>For Authors of More than Two Affiliations: To change the default, adjust the template as follows.</w:t>
      </w:r>
    </w:p>
    <w:p w14:paraId="09E9F133" w14:textId="77777777" w:rsidR="00307440" w:rsidRPr="00E57670" w:rsidRDefault="00307440">
      <w:pPr>
        <w:pStyle w:val="Heading4"/>
        <w:rPr>
          <w:sz w:val="22"/>
          <w:szCs w:val="22"/>
        </w:rPr>
      </w:pPr>
      <w:r w:rsidRPr="00E57670">
        <w:rPr>
          <w:sz w:val="22"/>
          <w:szCs w:val="22"/>
        </w:rPr>
        <w:t>Selection: Highlight all author and affiliation lines.</w:t>
      </w:r>
    </w:p>
    <w:p w14:paraId="6ED6EC32"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 Presets &gt; One Column. </w:t>
      </w:r>
    </w:p>
    <w:p w14:paraId="46301C9F" w14:textId="77777777" w:rsidR="00307440" w:rsidRPr="00E57670" w:rsidRDefault="00307440">
      <w:pPr>
        <w:pStyle w:val="Heading4"/>
        <w:rPr>
          <w:sz w:val="22"/>
          <w:szCs w:val="22"/>
        </w:rPr>
      </w:pPr>
      <w:r w:rsidRPr="00E57670">
        <w:rPr>
          <w:sz w:val="22"/>
          <w:szCs w:val="22"/>
        </w:rPr>
        <w:t>Highlight Author and Affiliation Lines of Affiliation 1 and Copy this Selection.</w:t>
      </w:r>
    </w:p>
    <w:p w14:paraId="3EC6CD50" w14:textId="77777777" w:rsidR="00307440" w:rsidRPr="00E57670" w:rsidRDefault="00307440">
      <w:pPr>
        <w:pStyle w:val="Heading4"/>
        <w:rPr>
          <w:sz w:val="22"/>
          <w:szCs w:val="22"/>
        </w:rPr>
      </w:pPr>
      <w:r w:rsidRPr="00E57670">
        <w:rPr>
          <w:sz w:val="22"/>
          <w:szCs w:val="22"/>
        </w:rPr>
        <w:t>Formatting: Insert one hard return immediately after the last character of the last affiliation line. Then paste down the copy of affiliation 1. Repeat as necessary for each additional affiliation.</w:t>
      </w:r>
    </w:p>
    <w:p w14:paraId="6BBF4FD3" w14:textId="77777777" w:rsidR="00307440" w:rsidRPr="00E57670" w:rsidRDefault="00307440">
      <w:pPr>
        <w:pStyle w:val="Heading4"/>
        <w:rPr>
          <w:sz w:val="22"/>
          <w:szCs w:val="22"/>
        </w:rPr>
      </w:pPr>
      <w:r w:rsidRPr="00E57670">
        <w:rPr>
          <w:sz w:val="22"/>
          <w:szCs w:val="22"/>
        </w:rP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odd number of affiliations, the final affiliation will be centered on the page; all previous will be in two columns.</w:t>
      </w:r>
    </w:p>
    <w:p w14:paraId="256642B9" w14:textId="77777777" w:rsidR="00307440" w:rsidRPr="00E57670" w:rsidRDefault="00307440">
      <w:pPr>
        <w:pStyle w:val="Heading2"/>
        <w:rPr>
          <w:sz w:val="22"/>
          <w:szCs w:val="22"/>
        </w:rPr>
      </w:pPr>
      <w:r w:rsidRPr="00E57670">
        <w:rPr>
          <w:sz w:val="22"/>
          <w:szCs w:val="22"/>
        </w:rPr>
        <w:t>Identify the Headings</w:t>
      </w:r>
    </w:p>
    <w:p w14:paraId="5F1A6A6D" w14:textId="77777777" w:rsidR="00307440" w:rsidRPr="00E57670" w:rsidRDefault="00307440">
      <w:pPr>
        <w:pStyle w:val="BodyText"/>
        <w:rPr>
          <w:sz w:val="22"/>
          <w:szCs w:val="22"/>
        </w:rPr>
      </w:pPr>
      <w:r w:rsidRPr="00E57670">
        <w:rPr>
          <w:sz w:val="22"/>
          <w:szCs w:val="22"/>
        </w:rPr>
        <w:t>Headings, or heads, are organizational devices that guide the reader through your paper. There are two types: component heads and text heads.</w:t>
      </w:r>
    </w:p>
    <w:p w14:paraId="1371D2C8" w14:textId="77777777" w:rsidR="00307440" w:rsidRPr="00E57670" w:rsidRDefault="00307440">
      <w:pPr>
        <w:pStyle w:val="BodyText"/>
        <w:rPr>
          <w:sz w:val="22"/>
          <w:szCs w:val="22"/>
        </w:rPr>
      </w:pPr>
      <w:r w:rsidRPr="00E57670">
        <w:rPr>
          <w:sz w:val="22"/>
          <w:szCs w:val="22"/>
        </w:rPr>
        <w:t xml:space="preserve">Component heads identify the different components of your paper and are not topically subordinate to each other. Examples include Acknowledgments and References and, for these, the correct style to use is </w:t>
      </w:r>
      <w:r w:rsidRPr="00E57670">
        <w:rPr>
          <w:i/>
          <w:iCs/>
          <w:sz w:val="22"/>
          <w:szCs w:val="22"/>
        </w:rPr>
        <w:t>“Heading 5”</w:t>
      </w:r>
      <w:r w:rsidRPr="00E57670">
        <w:rPr>
          <w:sz w:val="22"/>
          <w:szCs w:val="22"/>
        </w:rPr>
        <w:t xml:space="preserve">. Use </w:t>
      </w:r>
      <w:r w:rsidRPr="00E57670">
        <w:rPr>
          <w:i/>
          <w:iCs/>
          <w:sz w:val="22"/>
          <w:szCs w:val="22"/>
        </w:rPr>
        <w:t>“figure caption”</w:t>
      </w:r>
      <w:r w:rsidRPr="00E57670">
        <w:rPr>
          <w:sz w:val="22"/>
          <w:szCs w:val="22"/>
        </w:rPr>
        <w:t xml:space="preserve"> for your Figure captions, and</w:t>
      </w:r>
      <w:r w:rsidRPr="00E57670">
        <w:rPr>
          <w:i/>
          <w:iCs/>
          <w:sz w:val="22"/>
          <w:szCs w:val="22"/>
        </w:rPr>
        <w:t xml:space="preserve"> “table head”</w:t>
      </w:r>
      <w:r w:rsidRPr="00E57670">
        <w:rPr>
          <w:sz w:val="22"/>
          <w:szCs w:val="22"/>
        </w:rP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Pr="00E57670" w:rsidRDefault="00307440">
      <w:pPr>
        <w:pStyle w:val="BodyText"/>
        <w:rPr>
          <w:sz w:val="22"/>
          <w:szCs w:val="22"/>
        </w:rPr>
      </w:pPr>
      <w:r w:rsidRPr="00E57670">
        <w:rPr>
          <w:sz w:val="22"/>
          <w:szCs w:val="22"/>
        </w:rPr>
        <w:lastRenderedPageBreak/>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Pr="00E57670">
        <w:rPr>
          <w:i/>
          <w:iCs/>
          <w:sz w:val="22"/>
          <w:szCs w:val="22"/>
        </w:rPr>
        <w:t>“Heading 1”</w:t>
      </w:r>
      <w:r w:rsidRPr="00E57670">
        <w:rPr>
          <w:sz w:val="22"/>
          <w:szCs w:val="22"/>
        </w:rPr>
        <w:t>, “</w:t>
      </w:r>
      <w:r w:rsidRPr="00E57670">
        <w:rPr>
          <w:i/>
          <w:iCs/>
          <w:sz w:val="22"/>
          <w:szCs w:val="22"/>
        </w:rPr>
        <w:t>Heading 2”</w:t>
      </w:r>
      <w:r w:rsidRPr="00E57670">
        <w:rPr>
          <w:sz w:val="22"/>
          <w:szCs w:val="22"/>
        </w:rPr>
        <w:t>,</w:t>
      </w:r>
      <w:r w:rsidRPr="00E57670">
        <w:rPr>
          <w:i/>
          <w:iCs/>
          <w:sz w:val="22"/>
          <w:szCs w:val="22"/>
        </w:rPr>
        <w:t xml:space="preserve"> “Heading 3”</w:t>
      </w:r>
      <w:r w:rsidRPr="00E57670">
        <w:rPr>
          <w:sz w:val="22"/>
          <w:szCs w:val="22"/>
        </w:rPr>
        <w:t xml:space="preserve">, and </w:t>
      </w:r>
      <w:r w:rsidRPr="00E57670">
        <w:rPr>
          <w:i/>
          <w:iCs/>
          <w:sz w:val="22"/>
          <w:szCs w:val="22"/>
        </w:rPr>
        <w:t>“Heading 4”</w:t>
      </w:r>
      <w:r w:rsidRPr="00E57670">
        <w:rPr>
          <w:sz w:val="22"/>
          <w:szCs w:val="22"/>
        </w:rPr>
        <w:t xml:space="preserve"> are prescribed.</w:t>
      </w:r>
    </w:p>
    <w:p w14:paraId="4D0E9F28" w14:textId="77777777" w:rsidR="00307440" w:rsidRPr="00E57670" w:rsidRDefault="00307440">
      <w:pPr>
        <w:pStyle w:val="Heading2"/>
        <w:rPr>
          <w:sz w:val="22"/>
          <w:szCs w:val="22"/>
        </w:rPr>
      </w:pPr>
      <w:r w:rsidRPr="00E57670">
        <w:rPr>
          <w:sz w:val="22"/>
          <w:szCs w:val="22"/>
        </w:rPr>
        <w:t>Figures and Tables</w:t>
      </w:r>
    </w:p>
    <w:p w14:paraId="44FC9D05" w14:textId="77777777" w:rsidR="00307440" w:rsidRPr="00E57670" w:rsidRDefault="00307440">
      <w:pPr>
        <w:pStyle w:val="BodyText"/>
        <w:rPr>
          <w:sz w:val="22"/>
          <w:szCs w:val="22"/>
        </w:rPr>
      </w:pPr>
      <w:r w:rsidRPr="00E57670">
        <w:rPr>
          <w:sz w:val="22"/>
          <w:szCs w:val="22"/>
        </w:rP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Pr="00E57670" w:rsidRDefault="00307440">
      <w:pPr>
        <w:pStyle w:val="BodyText"/>
        <w:rPr>
          <w:sz w:val="22"/>
          <w:szCs w:val="22"/>
        </w:rPr>
      </w:pPr>
      <w:r w:rsidRPr="00E57670">
        <w:rPr>
          <w:sz w:val="22"/>
          <w:szCs w:val="22"/>
        </w:rP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Pr="00E57670" w:rsidRDefault="00307440">
      <w:pPr>
        <w:pStyle w:val="BodyText"/>
        <w:rPr>
          <w:sz w:val="22"/>
          <w:szCs w:val="22"/>
        </w:rPr>
      </w:pPr>
      <w:r w:rsidRPr="00E57670">
        <w:rPr>
          <w:sz w:val="22"/>
          <w:szCs w:val="22"/>
        </w:rPr>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Pr="00E57670" w:rsidRDefault="00307440">
      <w:pPr>
        <w:pStyle w:val="Heading2"/>
        <w:rPr>
          <w:sz w:val="22"/>
          <w:szCs w:val="22"/>
        </w:rPr>
      </w:pPr>
      <w:r w:rsidRPr="00E57670">
        <w:rPr>
          <w:sz w:val="22"/>
          <w:szCs w:val="22"/>
        </w:rPr>
        <w:t>Footnotes</w:t>
      </w:r>
    </w:p>
    <w:p w14:paraId="2A44E260" w14:textId="77777777" w:rsidR="00307440" w:rsidRPr="00E57670" w:rsidRDefault="00307440">
      <w:pPr>
        <w:pStyle w:val="BodyText"/>
        <w:rPr>
          <w:sz w:val="22"/>
          <w:szCs w:val="22"/>
        </w:rPr>
      </w:pPr>
      <w:r w:rsidRPr="00E57670">
        <w:rPr>
          <w:sz w:val="22"/>
          <w:szCs w:val="22"/>
        </w:rPr>
        <w:t xml:space="preserve">Use footnotes sparingly (or not at all) and place them at the bottom of the column on the page on which they are referenced. Use Times 8-point type, single-spaced. </w:t>
      </w:r>
    </w:p>
    <w:p w14:paraId="2FAD4FE6" w14:textId="77777777" w:rsidR="00307440" w:rsidRPr="00E57670" w:rsidRDefault="00307440">
      <w:pPr>
        <w:pStyle w:val="BodyText"/>
        <w:rPr>
          <w:sz w:val="22"/>
          <w:szCs w:val="22"/>
        </w:rPr>
      </w:pPr>
      <w:r w:rsidRPr="00E57670">
        <w:rPr>
          <w:sz w:val="22"/>
          <w:szCs w:val="22"/>
        </w:rPr>
        <w:t>To help your readers, avoid using footnotes altogether and include necessary peripheral observations in the text (within parentheses, if you prefer, as in this sentence).</w:t>
      </w:r>
    </w:p>
    <w:p w14:paraId="26DEE7EC" w14:textId="77777777" w:rsidR="00307440" w:rsidRPr="00E57670" w:rsidRDefault="00307440">
      <w:pPr>
        <w:pStyle w:val="BodyText"/>
        <w:rPr>
          <w:sz w:val="22"/>
          <w:szCs w:val="22"/>
        </w:rPr>
      </w:pPr>
      <w:r w:rsidRPr="00E57670">
        <w:rPr>
          <w:sz w:val="22"/>
          <w:szCs w:val="22"/>
        </w:rPr>
        <w:t>Number footnotes separately from reference numbers, and in superscripts. Do not put footnotes in the reference list. Use letters for table footnotes.</w:t>
      </w:r>
    </w:p>
    <w:p w14:paraId="50741982" w14:textId="77777777" w:rsidR="00307440" w:rsidRPr="00E57670" w:rsidRDefault="00307440">
      <w:pPr>
        <w:pStyle w:val="tablehead"/>
        <w:rPr>
          <w:sz w:val="22"/>
          <w:szCs w:val="22"/>
        </w:rPr>
      </w:pPr>
      <w:r w:rsidRPr="00E57670">
        <w:rPr>
          <w:sz w:val="22"/>
          <w:szCs w:val="22"/>
        </w:rP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rsidRPr="00E5767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Pr="00E57670" w:rsidRDefault="00307440">
            <w:pPr>
              <w:pStyle w:val="tablecolhead"/>
              <w:snapToGrid w:val="0"/>
              <w:rPr>
                <w:sz w:val="22"/>
                <w:szCs w:val="22"/>
              </w:rPr>
            </w:pPr>
            <w:r w:rsidRPr="00E57670">
              <w:rPr>
                <w:sz w:val="22"/>
                <w:szCs w:val="22"/>
              </w:rP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Pr="00E57670" w:rsidRDefault="00307440">
            <w:pPr>
              <w:pStyle w:val="tablecolhead"/>
              <w:snapToGrid w:val="0"/>
              <w:rPr>
                <w:sz w:val="22"/>
                <w:szCs w:val="22"/>
              </w:rPr>
            </w:pPr>
            <w:r w:rsidRPr="00E57670">
              <w:rPr>
                <w:sz w:val="22"/>
                <w:szCs w:val="22"/>
              </w:rPr>
              <w:t>Table Column Head</w:t>
            </w:r>
          </w:p>
        </w:tc>
      </w:tr>
      <w:tr w:rsidR="00307440" w:rsidRPr="00E5767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Pr="00E57670" w:rsidRDefault="00307440">
            <w:pPr>
              <w:snapToGrid w:val="0"/>
              <w:rPr>
                <w:sz w:val="22"/>
                <w:szCs w:val="22"/>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Pr="00E57670" w:rsidRDefault="00307440">
            <w:pPr>
              <w:pStyle w:val="tablecolsubhead"/>
              <w:snapToGrid w:val="0"/>
              <w:rPr>
                <w:sz w:val="22"/>
                <w:szCs w:val="22"/>
              </w:rPr>
            </w:pPr>
            <w:r w:rsidRPr="00E57670">
              <w:rPr>
                <w:sz w:val="22"/>
                <w:szCs w:val="22"/>
              </w:rP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Pr="00E57670" w:rsidRDefault="00307440">
            <w:pPr>
              <w:pStyle w:val="tablecolsubhead"/>
              <w:snapToGrid w:val="0"/>
              <w:rPr>
                <w:sz w:val="22"/>
                <w:szCs w:val="22"/>
              </w:rPr>
            </w:pPr>
            <w:r w:rsidRPr="00E57670">
              <w:rPr>
                <w:sz w:val="22"/>
                <w:szCs w:val="22"/>
              </w:rP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Pr="00E57670" w:rsidRDefault="00307440">
            <w:pPr>
              <w:pStyle w:val="tablecolsubhead"/>
              <w:snapToGrid w:val="0"/>
              <w:rPr>
                <w:sz w:val="22"/>
                <w:szCs w:val="22"/>
              </w:rPr>
            </w:pPr>
            <w:r w:rsidRPr="00E57670">
              <w:rPr>
                <w:sz w:val="22"/>
                <w:szCs w:val="22"/>
              </w:rPr>
              <w:t>Subhead</w:t>
            </w:r>
          </w:p>
        </w:tc>
      </w:tr>
      <w:tr w:rsidR="00307440" w:rsidRPr="00E5767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Pr="00E57670" w:rsidRDefault="00307440">
            <w:pPr>
              <w:pStyle w:val="tablecopy"/>
              <w:snapToGrid w:val="0"/>
              <w:rPr>
                <w:sz w:val="22"/>
                <w:szCs w:val="22"/>
              </w:rPr>
            </w:pPr>
            <w:r w:rsidRPr="00E57670">
              <w:rPr>
                <w:sz w:val="22"/>
                <w:szCs w:val="22"/>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Pr="00E57670" w:rsidRDefault="00307440">
            <w:pPr>
              <w:pStyle w:val="tablecopy"/>
              <w:snapToGrid w:val="0"/>
              <w:rPr>
                <w:sz w:val="22"/>
                <w:szCs w:val="22"/>
              </w:rPr>
            </w:pPr>
            <w:r w:rsidRPr="00E57670">
              <w:rPr>
                <w:sz w:val="22"/>
                <w:szCs w:val="22"/>
              </w:rPr>
              <w:t>More table copy</w:t>
            </w:r>
            <w:r w:rsidRPr="00E57670">
              <w:rPr>
                <w:sz w:val="22"/>
                <w:szCs w:val="22"/>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Pr="00E57670" w:rsidRDefault="00307440">
            <w:pPr>
              <w:snapToGrid w:val="0"/>
              <w:rPr>
                <w:sz w:val="22"/>
                <w:szCs w:val="22"/>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Pr="00E57670" w:rsidRDefault="00307440">
            <w:pPr>
              <w:snapToGrid w:val="0"/>
              <w:rPr>
                <w:sz w:val="22"/>
                <w:szCs w:val="22"/>
              </w:rPr>
            </w:pPr>
          </w:p>
        </w:tc>
      </w:tr>
    </w:tbl>
    <w:p w14:paraId="4020D14C" w14:textId="77777777" w:rsidR="00307440" w:rsidRPr="00E57670" w:rsidRDefault="00307440">
      <w:pPr>
        <w:pStyle w:val="tablefootnote"/>
        <w:rPr>
          <w:sz w:val="22"/>
          <w:szCs w:val="22"/>
        </w:rPr>
      </w:pPr>
      <w:r w:rsidRPr="00E57670">
        <w:rPr>
          <w:sz w:val="22"/>
          <w:szCs w:val="22"/>
        </w:rPr>
        <w:t xml:space="preserve">a. Sample of a table footnote. </w:t>
      </w:r>
      <w:r w:rsidRPr="00E57670">
        <w:rPr>
          <w:i/>
          <w:iCs/>
          <w:sz w:val="22"/>
          <w:szCs w:val="22"/>
        </w:rPr>
        <w:t>(table footnote)</w:t>
      </w:r>
    </w:p>
    <w:p w14:paraId="460A34DD" w14:textId="77777777" w:rsidR="00307440" w:rsidRPr="00E57670" w:rsidRDefault="001B23D4">
      <w:pPr>
        <w:pStyle w:val="figurecaption"/>
        <w:rPr>
          <w:sz w:val="22"/>
          <w:szCs w:val="22"/>
        </w:rPr>
      </w:pPr>
      <w:r w:rsidRPr="00E57670">
        <w:rPr>
          <w:noProof/>
          <w:sz w:val="22"/>
          <w:szCs w:val="22"/>
        </w:rPr>
        <w:lastRenderedPageBreak/>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8C4327" w:rsidRDefault="008C4327">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8C4327" w:rsidRDefault="008C4327">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rsidRPr="00E57670">
        <w:rPr>
          <w:sz w:val="22"/>
          <w:szCs w:val="22"/>
        </w:rPr>
        <w:t xml:space="preserve">Example of a figure caption. </w:t>
      </w:r>
      <w:r w:rsidR="00307440" w:rsidRPr="00E57670">
        <w:rPr>
          <w:i/>
          <w:iCs/>
          <w:sz w:val="22"/>
          <w:szCs w:val="22"/>
        </w:rPr>
        <w:t>(figure caption)</w:t>
      </w:r>
    </w:p>
    <w:p w14:paraId="109ADD7A" w14:textId="77777777" w:rsidR="00307440" w:rsidRPr="00E57670" w:rsidRDefault="00307440">
      <w:pPr>
        <w:pStyle w:val="Heading1"/>
        <w:rPr>
          <w:sz w:val="22"/>
          <w:szCs w:val="22"/>
        </w:rPr>
      </w:pPr>
      <w:r w:rsidRPr="00E57670">
        <w:rPr>
          <w:sz w:val="22"/>
          <w:szCs w:val="22"/>
        </w:rPr>
        <w:t xml:space="preserve"> Copyright Forms</w:t>
      </w:r>
    </w:p>
    <w:p w14:paraId="202F46F9" w14:textId="77777777" w:rsidR="00307440" w:rsidRPr="00E57670" w:rsidRDefault="00307440">
      <w:pPr>
        <w:pStyle w:val="BodyText"/>
        <w:rPr>
          <w:sz w:val="22"/>
          <w:szCs w:val="22"/>
        </w:rPr>
      </w:pPr>
      <w:r w:rsidRPr="00E57670">
        <w:rPr>
          <w:sz w:val="22"/>
          <w:szCs w:val="22"/>
        </w:rPr>
        <w:t>You must submit the IEEE Electronic Copyright Form (ECF) as described in your author-kit message. THIS FORM MUST BE SUBMITTED IN ORDER TO PUBLISH YOUR PAPER.</w:t>
      </w:r>
    </w:p>
    <w:p w14:paraId="50C27408" w14:textId="77777777" w:rsidR="00307440" w:rsidRPr="00E57670" w:rsidRDefault="00307440">
      <w:pPr>
        <w:pStyle w:val="Heading1"/>
        <w:numPr>
          <w:ilvl w:val="0"/>
          <w:numId w:val="0"/>
        </w:numPr>
        <w:rPr>
          <w:sz w:val="22"/>
          <w:szCs w:val="22"/>
        </w:rPr>
      </w:pPr>
      <w:r w:rsidRPr="00E57670">
        <w:rPr>
          <w:sz w:val="22"/>
          <w:szCs w:val="22"/>
        </w:rPr>
        <w:t>Acknowledgment</w:t>
      </w:r>
    </w:p>
    <w:p w14:paraId="4EEA2BE0" w14:textId="77777777" w:rsidR="00307440" w:rsidRPr="00E57670" w:rsidRDefault="00307440">
      <w:pPr>
        <w:pStyle w:val="BodyText"/>
        <w:rPr>
          <w:sz w:val="22"/>
          <w:szCs w:val="22"/>
        </w:rPr>
      </w:pPr>
      <w:r w:rsidRPr="00E57670">
        <w:rPr>
          <w:sz w:val="22"/>
          <w:szCs w:val="22"/>
        </w:rPr>
        <w:t xml:space="preserve">The preferred spelling of the word “acknowledgment” in America is without an “e” after the “g”. Avoid the stilted expression, “One of us (R. B. G.) thanks . . .”  Instead, try </w:t>
      </w:r>
      <w:r w:rsidRPr="00E57670">
        <w:rPr>
          <w:sz w:val="22"/>
          <w:szCs w:val="22"/>
        </w:rPr>
        <w:br/>
        <w:t>“R. B. G. thanks”. Put applicable sponsor acknowledgments here; DO NOT place them on the first page of your paper or as a footnote.</w:t>
      </w:r>
    </w:p>
    <w:p w14:paraId="08A20978" w14:textId="77777777" w:rsidR="00307440" w:rsidRPr="00E57670" w:rsidRDefault="00307440">
      <w:pPr>
        <w:pStyle w:val="Heading1"/>
        <w:numPr>
          <w:ilvl w:val="0"/>
          <w:numId w:val="0"/>
        </w:numPr>
        <w:rPr>
          <w:sz w:val="22"/>
          <w:szCs w:val="22"/>
        </w:rPr>
      </w:pPr>
      <w:r w:rsidRPr="00E57670">
        <w:rPr>
          <w:sz w:val="22"/>
          <w:szCs w:val="22"/>
        </w:rPr>
        <w:t>References</w:t>
      </w:r>
    </w:p>
    <w:p w14:paraId="4B51F2F2" w14:textId="77777777" w:rsidR="00307440" w:rsidRPr="00E57670" w:rsidRDefault="00307440">
      <w:pPr>
        <w:pStyle w:val="BodyText"/>
        <w:rPr>
          <w:sz w:val="22"/>
          <w:szCs w:val="22"/>
        </w:rPr>
      </w:pPr>
      <w:r w:rsidRPr="00E57670">
        <w:rPr>
          <w:sz w:val="22"/>
          <w:szCs w:val="22"/>
        </w:rPr>
        <w:t xml:space="preserve">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w:t>
      </w:r>
      <w:r w:rsidRPr="00E57670">
        <w:rPr>
          <w:sz w:val="22"/>
          <w:szCs w:val="22"/>
        </w:rPr>
        <w:lastRenderedPageBreak/>
        <w:t>use reference citations as nouns of a sentence (e.g., not: “as the writer explains in [1]”).</w:t>
      </w:r>
    </w:p>
    <w:p w14:paraId="21E20A27" w14:textId="77777777" w:rsidR="00307440" w:rsidRPr="00E57670" w:rsidRDefault="00307440">
      <w:pPr>
        <w:pStyle w:val="BodyText"/>
        <w:rPr>
          <w:sz w:val="22"/>
          <w:szCs w:val="22"/>
        </w:rPr>
      </w:pPr>
      <w:r w:rsidRPr="00E57670">
        <w:rPr>
          <w:sz w:val="22"/>
          <w:szCs w:val="22"/>
        </w:rP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Pr="00E57670" w:rsidRDefault="00307440">
      <w:pPr>
        <w:pStyle w:val="BodyText"/>
        <w:rPr>
          <w:sz w:val="22"/>
          <w:szCs w:val="22"/>
        </w:rPr>
      </w:pPr>
      <w:r w:rsidRPr="00E57670">
        <w:rPr>
          <w:sz w:val="22"/>
          <w:szCs w:val="22"/>
        </w:rPr>
        <w:t>For papers published in translation journals, please give the English citation first, followed by the original foreign-language citation [6].</w:t>
      </w:r>
    </w:p>
    <w:p w14:paraId="26D25CE9" w14:textId="77777777" w:rsidR="00307440" w:rsidRPr="00E57670" w:rsidRDefault="00307440">
      <w:pPr>
        <w:pStyle w:val="references"/>
        <w:rPr>
          <w:sz w:val="22"/>
          <w:szCs w:val="22"/>
        </w:rPr>
      </w:pPr>
      <w:r w:rsidRPr="00E57670">
        <w:rPr>
          <w:sz w:val="22"/>
          <w:szCs w:val="22"/>
        </w:rPr>
        <w:t xml:space="preserve">G. Eason, B. Noble, and I. N. Sneddon, “On certain integrals of Lipschitz-Hankel type involving products of Bessel functions,” Phil. Trans. Roy. Soc. London, vol. A247, pp. 529–551, April 1955. </w:t>
      </w:r>
      <w:r w:rsidRPr="00E57670">
        <w:rPr>
          <w:i/>
          <w:iCs/>
          <w:sz w:val="22"/>
          <w:szCs w:val="22"/>
        </w:rPr>
        <w:t>(references)</w:t>
      </w:r>
    </w:p>
    <w:p w14:paraId="6F4330EE" w14:textId="77777777" w:rsidR="00307440" w:rsidRPr="00E57670" w:rsidRDefault="00307440">
      <w:pPr>
        <w:pStyle w:val="references"/>
        <w:rPr>
          <w:sz w:val="22"/>
          <w:szCs w:val="22"/>
        </w:rPr>
      </w:pPr>
      <w:r w:rsidRPr="00E57670">
        <w:rPr>
          <w:sz w:val="22"/>
          <w:szCs w:val="22"/>
        </w:rPr>
        <w:t>J. Clerk Maxwell, A Treatise on Electricity and Magnetism, 3rd ed., vol. 2. Oxford: Clarendon, 1892, pp.68–73.</w:t>
      </w:r>
    </w:p>
    <w:p w14:paraId="7FB915F0" w14:textId="77777777" w:rsidR="00307440" w:rsidRPr="00E57670" w:rsidRDefault="00307440">
      <w:pPr>
        <w:pStyle w:val="references"/>
        <w:rPr>
          <w:sz w:val="22"/>
          <w:szCs w:val="22"/>
        </w:rPr>
      </w:pPr>
      <w:r w:rsidRPr="00E57670">
        <w:rPr>
          <w:sz w:val="22"/>
          <w:szCs w:val="22"/>
        </w:rPr>
        <w:t>I. S. Jacobs and C. P. Bean, “Fine particles, thin films and exchange anisotropy,” in Magnetism, vol. III, G. T. Rado and H. Suhl, Eds. New York: Academic, 1963, pp. 271–350.</w:t>
      </w:r>
    </w:p>
    <w:p w14:paraId="7A8BA593" w14:textId="77777777" w:rsidR="00307440" w:rsidRPr="00E57670" w:rsidRDefault="00307440">
      <w:pPr>
        <w:pStyle w:val="references"/>
        <w:rPr>
          <w:sz w:val="22"/>
          <w:szCs w:val="22"/>
        </w:rPr>
      </w:pPr>
      <w:r w:rsidRPr="00E57670">
        <w:rPr>
          <w:sz w:val="22"/>
          <w:szCs w:val="22"/>
        </w:rPr>
        <w:t>K. Elissa, “Title of paper if known,” unpublished.</w:t>
      </w:r>
    </w:p>
    <w:p w14:paraId="5A5BEF50" w14:textId="77777777" w:rsidR="00307440" w:rsidRPr="00E57670" w:rsidRDefault="00307440">
      <w:pPr>
        <w:pStyle w:val="references"/>
        <w:rPr>
          <w:sz w:val="22"/>
          <w:szCs w:val="22"/>
        </w:rPr>
      </w:pPr>
      <w:r w:rsidRPr="00E57670">
        <w:rPr>
          <w:sz w:val="22"/>
          <w:szCs w:val="22"/>
        </w:rPr>
        <w:t>R. Nicole, “Title of paper with only first word capitalized,” J. Name Stand. Abbrev., in press.</w:t>
      </w:r>
    </w:p>
    <w:p w14:paraId="13F8B418" w14:textId="77777777" w:rsidR="00307440" w:rsidRPr="00E57670" w:rsidRDefault="00307440">
      <w:pPr>
        <w:pStyle w:val="references"/>
        <w:rPr>
          <w:sz w:val="22"/>
          <w:szCs w:val="22"/>
        </w:rPr>
      </w:pPr>
      <w:r w:rsidRPr="00E57670">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Pr="00E57670" w:rsidRDefault="00307440">
      <w:pPr>
        <w:pStyle w:val="references"/>
        <w:rPr>
          <w:sz w:val="22"/>
          <w:szCs w:val="22"/>
        </w:rPr>
        <w:sectPr w:rsidR="00307440" w:rsidRPr="00E57670">
          <w:type w:val="continuous"/>
          <w:pgSz w:w="11906" w:h="16838"/>
          <w:pgMar w:top="1080" w:right="737" w:bottom="2432" w:left="737" w:header="720" w:footer="720" w:gutter="0"/>
          <w:cols w:num="2" w:space="360"/>
          <w:docGrid w:linePitch="360"/>
        </w:sectPr>
      </w:pPr>
      <w:r w:rsidRPr="00E57670">
        <w:rPr>
          <w:sz w:val="22"/>
          <w:szCs w:val="22"/>
        </w:rPr>
        <w:t>M. Young, The Technical Writer's Handbook. Mill Valley, CA: University Science, 1989.</w:t>
      </w:r>
    </w:p>
    <w:p w14:paraId="7542BF5F" w14:textId="77777777" w:rsidR="00307440" w:rsidRPr="00E57670" w:rsidRDefault="00307440">
      <w:pPr>
        <w:rPr>
          <w:sz w:val="22"/>
          <w:szCs w:val="22"/>
        </w:rPr>
      </w:pPr>
    </w:p>
    <w:sectPr w:rsidR="00307440" w:rsidRPr="00E5767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ECE2D32"/>
    <w:multiLevelType w:val="hybridMultilevel"/>
    <w:tmpl w:val="67DA9CDE"/>
    <w:lvl w:ilvl="0" w:tplc="203AA152">
      <w:start w:val="1"/>
      <w:numFmt w:val="decimal"/>
      <w:lvlText w:val="%1."/>
      <w:lvlJc w:val="left"/>
      <w:pPr>
        <w:ind w:left="808" w:hanging="5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00B63"/>
    <w:rsid w:val="00070298"/>
    <w:rsid w:val="00110485"/>
    <w:rsid w:val="00144123"/>
    <w:rsid w:val="001B23D4"/>
    <w:rsid w:val="001C0909"/>
    <w:rsid w:val="001D336F"/>
    <w:rsid w:val="001E7A28"/>
    <w:rsid w:val="0020174E"/>
    <w:rsid w:val="00256D8F"/>
    <w:rsid w:val="00270D73"/>
    <w:rsid w:val="00281C11"/>
    <w:rsid w:val="002A1C8A"/>
    <w:rsid w:val="00304978"/>
    <w:rsid w:val="00307440"/>
    <w:rsid w:val="00307E19"/>
    <w:rsid w:val="00395EFA"/>
    <w:rsid w:val="003A6ECD"/>
    <w:rsid w:val="00482459"/>
    <w:rsid w:val="004A52FB"/>
    <w:rsid w:val="004D3C9F"/>
    <w:rsid w:val="0050446D"/>
    <w:rsid w:val="00563710"/>
    <w:rsid w:val="006C0A7D"/>
    <w:rsid w:val="007152F5"/>
    <w:rsid w:val="00724AD2"/>
    <w:rsid w:val="00740E6D"/>
    <w:rsid w:val="007C5DAA"/>
    <w:rsid w:val="007E42D9"/>
    <w:rsid w:val="008A07C1"/>
    <w:rsid w:val="008C4327"/>
    <w:rsid w:val="008F0F33"/>
    <w:rsid w:val="009223F0"/>
    <w:rsid w:val="00923FEC"/>
    <w:rsid w:val="009331C3"/>
    <w:rsid w:val="009502F7"/>
    <w:rsid w:val="009762CF"/>
    <w:rsid w:val="00977A32"/>
    <w:rsid w:val="00993F9B"/>
    <w:rsid w:val="009D0CA2"/>
    <w:rsid w:val="00A0226F"/>
    <w:rsid w:val="00A20195"/>
    <w:rsid w:val="00A32F73"/>
    <w:rsid w:val="00A51791"/>
    <w:rsid w:val="00A5232B"/>
    <w:rsid w:val="00A763FB"/>
    <w:rsid w:val="00AB1F30"/>
    <w:rsid w:val="00B14C6E"/>
    <w:rsid w:val="00BA0FA1"/>
    <w:rsid w:val="00BB5C78"/>
    <w:rsid w:val="00BC25B0"/>
    <w:rsid w:val="00BF187E"/>
    <w:rsid w:val="00C6264A"/>
    <w:rsid w:val="00C866BB"/>
    <w:rsid w:val="00CC122F"/>
    <w:rsid w:val="00D33445"/>
    <w:rsid w:val="00D72A71"/>
    <w:rsid w:val="00D73C8B"/>
    <w:rsid w:val="00E42438"/>
    <w:rsid w:val="00E46B81"/>
    <w:rsid w:val="00E57670"/>
    <w:rsid w:val="00EE3B50"/>
    <w:rsid w:val="00FA351C"/>
    <w:rsid w:val="00FC12AD"/>
    <w:rsid w:val="00FE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2945</Words>
  <Characters>16792</Characters>
  <Application>Microsoft Macintosh Word</Application>
  <DocSecurity>0</DocSecurity>
  <Lines>139</Lines>
  <Paragraphs>39</Paragraphs>
  <ScaleCrop>false</ScaleCrop>
  <Company/>
  <LinksUpToDate>false</LinksUpToDate>
  <CharactersWithSpaces>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67</cp:revision>
  <cp:lastPrinted>1901-01-01T05:00:00Z</cp:lastPrinted>
  <dcterms:created xsi:type="dcterms:W3CDTF">2015-04-27T02:38:00Z</dcterms:created>
  <dcterms:modified xsi:type="dcterms:W3CDTF">2015-04-29T04:51:00Z</dcterms:modified>
</cp:coreProperties>
</file>