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268" w:rsidRDefault="00054268" w:rsidP="00FB302E">
      <w:pPr>
        <w:rPr>
          <w:rFonts w:ascii="Arial" w:hAnsi="Arial" w:cs="Arial"/>
          <w:color w:val="202122"/>
          <w:sz w:val="21"/>
          <w:szCs w:val="21"/>
          <w:shd w:val="clear" w:color="auto" w:fill="FFFFFF"/>
        </w:rPr>
      </w:pPr>
      <w:r>
        <w:rPr>
          <w:rFonts w:ascii="Arial" w:hAnsi="Arial" w:cs="Arial"/>
          <w:color w:val="202122"/>
          <w:sz w:val="21"/>
          <w:szCs w:val="21"/>
          <w:shd w:val="clear" w:color="auto" w:fill="FFFFFF"/>
        </w:rPr>
        <w:t>LOAD LIMITED</w:t>
      </w:r>
    </w:p>
    <w:p w:rsidR="00054268" w:rsidRDefault="00054268" w:rsidP="00FB302E">
      <w:pPr>
        <w:rPr>
          <w:lang w:val="en-US"/>
        </w:rPr>
      </w:pPr>
      <w:r>
        <w:rPr>
          <w:rFonts w:ascii="Arial" w:hAnsi="Arial" w:cs="Arial"/>
          <w:color w:val="202122"/>
          <w:sz w:val="21"/>
          <w:szCs w:val="21"/>
          <w:shd w:val="clear" w:color="auto" w:fill="FFFFFF"/>
        </w:rPr>
        <w:t>The company was founded in 1979.</w:t>
      </w:r>
      <w:hyperlink r:id="rId5" w:anchor="cite_note-brecorder.com-1" w:history="1">
        <w:r>
          <w:rPr>
            <w:rStyle w:val="Hyperlink"/>
            <w:rFonts w:ascii="Arial" w:hAnsi="Arial" w:cs="Arial"/>
            <w:color w:val="0645AD"/>
            <w:sz w:val="17"/>
            <w:szCs w:val="17"/>
            <w:shd w:val="clear" w:color="auto" w:fill="FFFFFF"/>
            <w:vertAlign w:val="superscript"/>
          </w:rPr>
          <w:t>[1]</w:t>
        </w:r>
      </w:hyperlink>
      <w:r>
        <w:rPr>
          <w:rFonts w:ascii="Arial" w:hAnsi="Arial" w:cs="Arial"/>
          <w:color w:val="202122"/>
          <w:sz w:val="21"/>
          <w:szCs w:val="21"/>
          <w:shd w:val="clear" w:color="auto" w:fill="FFFFFF"/>
        </w:rPr>
        <w:t> It manufactures exhaust systems, mufflers, </w:t>
      </w:r>
      <w:hyperlink r:id="rId6" w:tooltip="Radiator" w:history="1">
        <w:r>
          <w:rPr>
            <w:rStyle w:val="Hyperlink"/>
            <w:rFonts w:ascii="Arial" w:hAnsi="Arial" w:cs="Arial"/>
            <w:color w:val="0645AD"/>
            <w:sz w:val="21"/>
            <w:szCs w:val="21"/>
            <w:shd w:val="clear" w:color="auto" w:fill="FFFFFF"/>
          </w:rPr>
          <w:t>radiators</w:t>
        </w:r>
      </w:hyperlink>
      <w:r>
        <w:rPr>
          <w:rFonts w:ascii="Arial" w:hAnsi="Arial" w:cs="Arial"/>
          <w:color w:val="202122"/>
          <w:sz w:val="21"/>
          <w:szCs w:val="21"/>
          <w:shd w:val="clear" w:color="auto" w:fill="FFFFFF"/>
        </w:rPr>
        <w:t> and sheet metal components.</w:t>
      </w:r>
      <w:hyperlink r:id="rId7" w:anchor="cite_note-brecorder.com-1" w:history="1">
        <w:r>
          <w:rPr>
            <w:rStyle w:val="Hyperlink"/>
            <w:rFonts w:ascii="Arial" w:hAnsi="Arial" w:cs="Arial"/>
            <w:color w:val="0645AD"/>
            <w:sz w:val="17"/>
            <w:szCs w:val="17"/>
            <w:shd w:val="clear" w:color="auto" w:fill="FFFFFF"/>
            <w:vertAlign w:val="superscript"/>
          </w:rPr>
          <w:t>[1]</w:t>
        </w:r>
      </w:hyperlink>
      <w:r>
        <w:rPr>
          <w:rFonts w:ascii="Arial" w:hAnsi="Arial" w:cs="Arial"/>
          <w:color w:val="202122"/>
          <w:sz w:val="21"/>
          <w:szCs w:val="21"/>
          <w:shd w:val="clear" w:color="auto" w:fill="FFFFFF"/>
        </w:rPr>
        <w:t xml:space="preserve"> The company has three manufacturing plants located in </w:t>
      </w:r>
      <w:proofErr w:type="spellStart"/>
      <w:r>
        <w:rPr>
          <w:rFonts w:ascii="Arial" w:hAnsi="Arial" w:cs="Arial"/>
          <w:color w:val="202122"/>
          <w:sz w:val="21"/>
          <w:szCs w:val="21"/>
          <w:shd w:val="clear" w:color="auto" w:fill="FFFFFF"/>
        </w:rPr>
        <w:t>Korangi</w:t>
      </w:r>
      <w:proofErr w:type="spellEnd"/>
      <w:r>
        <w:rPr>
          <w:rFonts w:ascii="Arial" w:hAnsi="Arial" w:cs="Arial"/>
          <w:color w:val="202122"/>
          <w:sz w:val="21"/>
          <w:szCs w:val="21"/>
          <w:shd w:val="clear" w:color="auto" w:fill="FFFFFF"/>
        </w:rPr>
        <w:t xml:space="preserve">, and Port Bin </w:t>
      </w:r>
      <w:proofErr w:type="spellStart"/>
      <w:r>
        <w:rPr>
          <w:rFonts w:ascii="Arial" w:hAnsi="Arial" w:cs="Arial"/>
          <w:color w:val="202122"/>
          <w:sz w:val="21"/>
          <w:szCs w:val="21"/>
          <w:shd w:val="clear" w:color="auto" w:fill="FFFFFF"/>
        </w:rPr>
        <w:t>Qasim</w:t>
      </w:r>
      <w:proofErr w:type="spellEnd"/>
      <w:r>
        <w:rPr>
          <w:rFonts w:ascii="Arial" w:hAnsi="Arial" w:cs="Arial"/>
          <w:color w:val="202122"/>
          <w:sz w:val="21"/>
          <w:szCs w:val="21"/>
          <w:shd w:val="clear" w:color="auto" w:fill="FFFFFF"/>
        </w:rPr>
        <w:t xml:space="preserve"> in Karachi.</w:t>
      </w:r>
      <w:hyperlink r:id="rId8" w:anchor="cite_note-brecorder.com-1" w:history="1">
        <w:r>
          <w:rPr>
            <w:rStyle w:val="Hyperlink"/>
            <w:rFonts w:ascii="Arial" w:hAnsi="Arial" w:cs="Arial"/>
            <w:color w:val="0645AD"/>
            <w:sz w:val="17"/>
            <w:szCs w:val="17"/>
            <w:shd w:val="clear" w:color="auto" w:fill="FFFFFF"/>
            <w:vertAlign w:val="superscript"/>
          </w:rPr>
          <w:t>[1]</w:t>
        </w:r>
      </w:hyperlink>
    </w:p>
    <w:p w:rsidR="00054268" w:rsidRDefault="00054268" w:rsidP="00FB302E">
      <w:pPr>
        <w:rPr>
          <w:lang w:val="en-US"/>
        </w:rPr>
      </w:pPr>
    </w:p>
    <w:p w:rsidR="00FB302E" w:rsidRPr="00FB302E" w:rsidRDefault="00FB302E" w:rsidP="00FB302E">
      <w:pPr>
        <w:rPr>
          <w:rFonts w:ascii="Arial" w:eastAsia="Times New Roman" w:hAnsi="Arial" w:cs="Arial"/>
          <w:color w:val="BDC1C6"/>
          <w:sz w:val="21"/>
          <w:szCs w:val="21"/>
          <w:lang w:eastAsia="en-GB"/>
        </w:rPr>
      </w:pPr>
      <w:r>
        <w:rPr>
          <w:lang w:val="en-US"/>
        </w:rPr>
        <w:t xml:space="preserve">Name </w:t>
      </w:r>
      <w:r w:rsidRPr="00FB302E">
        <w:rPr>
          <w:rFonts w:ascii="Arial" w:eastAsia="Times New Roman" w:hAnsi="Arial" w:cs="Arial"/>
          <w:b/>
          <w:bCs/>
          <w:color w:val="BDC1C6"/>
          <w:sz w:val="21"/>
          <w:szCs w:val="21"/>
          <w:lang w:eastAsia="en-GB"/>
        </w:rPr>
        <w:br/>
        <w:t>Central Depository Company of Pakistan Limited</w:t>
      </w:r>
    </w:p>
    <w:p w:rsidR="00963820" w:rsidRDefault="00FB302E">
      <w:r>
        <w:t xml:space="preserve">Registered office </w:t>
      </w:r>
    </w:p>
    <w:p w:rsidR="00FB302E" w:rsidRDefault="00FB302E">
      <w:pPr>
        <w:rPr>
          <w:rFonts w:ascii="Arial" w:hAnsi="Arial" w:cs="Arial"/>
          <w:color w:val="333333"/>
          <w:shd w:val="clear" w:color="auto" w:fill="FFFFFF"/>
        </w:rPr>
      </w:pPr>
      <w:r>
        <w:rPr>
          <w:rFonts w:ascii="Arial" w:hAnsi="Arial" w:cs="Arial"/>
          <w:color w:val="333333"/>
          <w:shd w:val="clear" w:color="auto" w:fill="FFFFFF"/>
        </w:rPr>
        <w:t xml:space="preserve">Plot No.23, Sector 19, </w:t>
      </w:r>
      <w:proofErr w:type="spellStart"/>
      <w:r>
        <w:rPr>
          <w:rFonts w:ascii="Arial" w:hAnsi="Arial" w:cs="Arial"/>
          <w:color w:val="333333"/>
          <w:shd w:val="clear" w:color="auto" w:fill="FFFFFF"/>
        </w:rPr>
        <w:t>Korangi</w:t>
      </w:r>
      <w:proofErr w:type="spellEnd"/>
      <w:r>
        <w:rPr>
          <w:rFonts w:ascii="Arial" w:hAnsi="Arial" w:cs="Arial"/>
          <w:color w:val="333333"/>
          <w:shd w:val="clear" w:color="auto" w:fill="FFFFFF"/>
        </w:rPr>
        <w:t xml:space="preserve"> Industrial Area, Karachi-74900, Pakistan.</w:t>
      </w:r>
    </w:p>
    <w:p w:rsidR="007A1A86" w:rsidRDefault="007A1A86">
      <w:pPr>
        <w:rPr>
          <w:rFonts w:ascii="Arial" w:hAnsi="Arial" w:cs="Arial"/>
          <w:color w:val="333333"/>
          <w:shd w:val="clear" w:color="auto" w:fill="FFFFFF"/>
        </w:rPr>
      </w:pPr>
      <w:r>
        <w:rPr>
          <w:rFonts w:ascii="Arial" w:hAnsi="Arial" w:cs="Arial"/>
          <w:color w:val="333333"/>
          <w:shd w:val="clear" w:color="auto" w:fill="FFFFFF"/>
        </w:rPr>
        <w:t xml:space="preserve">Incorporation </w:t>
      </w:r>
    </w:p>
    <w:p w:rsidR="007A1A86" w:rsidRDefault="007A1A86">
      <w:pPr>
        <w:rPr>
          <w:rFonts w:ascii="Arial" w:hAnsi="Arial" w:cs="Arial"/>
          <w:color w:val="333333"/>
          <w:sz w:val="21"/>
          <w:szCs w:val="21"/>
          <w:shd w:val="clear" w:color="auto" w:fill="F9F9F9"/>
        </w:rPr>
      </w:pPr>
      <w:r>
        <w:rPr>
          <w:rFonts w:ascii="Arial" w:hAnsi="Arial" w:cs="Arial"/>
          <w:color w:val="333333"/>
          <w:sz w:val="21"/>
          <w:szCs w:val="21"/>
          <w:shd w:val="clear" w:color="auto" w:fill="F9F9F9"/>
        </w:rPr>
        <w:t>The Company was converted to public limited company in January 12, 1994. The company offered its shares to the general public and was listed on Pakistan stock exchange on November 1, 2016</w:t>
      </w:r>
    </w:p>
    <w:p w:rsidR="005B043E" w:rsidRDefault="005B043E">
      <w:pPr>
        <w:rPr>
          <w:rFonts w:ascii="Arial" w:hAnsi="Arial" w:cs="Arial"/>
          <w:color w:val="333333"/>
          <w:sz w:val="21"/>
          <w:szCs w:val="21"/>
          <w:shd w:val="clear" w:color="auto" w:fill="F9F9F9"/>
        </w:rPr>
      </w:pPr>
    </w:p>
    <w:p w:rsidR="005B043E" w:rsidRDefault="005B043E">
      <w:pPr>
        <w:rPr>
          <w:rFonts w:ascii="Arial" w:hAnsi="Arial" w:cs="Arial"/>
          <w:color w:val="333333"/>
          <w:sz w:val="21"/>
          <w:szCs w:val="21"/>
          <w:shd w:val="clear" w:color="auto" w:fill="F9F9F9"/>
        </w:rPr>
      </w:pPr>
      <w:proofErr w:type="spellStart"/>
      <w:r>
        <w:rPr>
          <w:rFonts w:ascii="Arial" w:hAnsi="Arial" w:cs="Arial"/>
          <w:color w:val="333333"/>
          <w:sz w:val="21"/>
          <w:szCs w:val="21"/>
          <w:shd w:val="clear" w:color="auto" w:fill="F9F9F9"/>
        </w:rPr>
        <w:t>Libilities</w:t>
      </w:r>
      <w:proofErr w:type="spellEnd"/>
    </w:p>
    <w:p w:rsidR="005B043E" w:rsidRDefault="005B043E">
      <w:pPr>
        <w:rPr>
          <w:rFonts w:ascii="Arial" w:hAnsi="Arial" w:cs="Arial"/>
          <w:color w:val="333333"/>
          <w:sz w:val="21"/>
          <w:szCs w:val="21"/>
          <w:shd w:val="clear" w:color="auto" w:fill="F9F9F9"/>
        </w:rPr>
      </w:pPr>
      <w:r>
        <w:rPr>
          <w:rFonts w:ascii="Arial" w:hAnsi="Arial" w:cs="Arial"/>
          <w:color w:val="333333"/>
          <w:sz w:val="21"/>
          <w:szCs w:val="21"/>
          <w:shd w:val="clear" w:color="auto" w:fill="F9F9F9"/>
        </w:rPr>
        <w:t xml:space="preserve">The Company has four wholly owned subsidiaries, namely, Specialized </w:t>
      </w:r>
      <w:proofErr w:type="spellStart"/>
      <w:r>
        <w:rPr>
          <w:rFonts w:ascii="Arial" w:hAnsi="Arial" w:cs="Arial"/>
          <w:color w:val="333333"/>
          <w:sz w:val="21"/>
          <w:szCs w:val="21"/>
          <w:shd w:val="clear" w:color="auto" w:fill="F9F9F9"/>
        </w:rPr>
        <w:t>Autoparts</w:t>
      </w:r>
      <w:proofErr w:type="spellEnd"/>
      <w:r>
        <w:rPr>
          <w:rFonts w:ascii="Arial" w:hAnsi="Arial" w:cs="Arial"/>
          <w:color w:val="333333"/>
          <w:sz w:val="21"/>
          <w:szCs w:val="21"/>
          <w:shd w:val="clear" w:color="auto" w:fill="F9F9F9"/>
        </w:rPr>
        <w:t xml:space="preserve"> Industries (Private) Limited, Multiple </w:t>
      </w:r>
      <w:proofErr w:type="spellStart"/>
      <w:r>
        <w:rPr>
          <w:rFonts w:ascii="Arial" w:hAnsi="Arial" w:cs="Arial"/>
          <w:color w:val="333333"/>
          <w:sz w:val="21"/>
          <w:szCs w:val="21"/>
          <w:shd w:val="clear" w:color="auto" w:fill="F9F9F9"/>
        </w:rPr>
        <w:t>Autoparts</w:t>
      </w:r>
      <w:proofErr w:type="spellEnd"/>
      <w:r>
        <w:rPr>
          <w:rFonts w:ascii="Arial" w:hAnsi="Arial" w:cs="Arial"/>
          <w:color w:val="333333"/>
          <w:sz w:val="21"/>
          <w:szCs w:val="21"/>
          <w:shd w:val="clear" w:color="auto" w:fill="F9F9F9"/>
        </w:rPr>
        <w:t xml:space="preserve"> Industries (Private) Limited, Specialized Motorcycles (Private) Limited and Hi-tech Alloy Wheels Limited (formerly known as Hi-tech </w:t>
      </w:r>
      <w:proofErr w:type="spellStart"/>
      <w:r>
        <w:rPr>
          <w:rFonts w:ascii="Arial" w:hAnsi="Arial" w:cs="Arial"/>
          <w:color w:val="333333"/>
          <w:sz w:val="21"/>
          <w:szCs w:val="21"/>
          <w:shd w:val="clear" w:color="auto" w:fill="F9F9F9"/>
        </w:rPr>
        <w:t>Autoparts</w:t>
      </w:r>
      <w:proofErr w:type="spellEnd"/>
      <w:r>
        <w:rPr>
          <w:rFonts w:ascii="Arial" w:hAnsi="Arial" w:cs="Arial"/>
          <w:color w:val="333333"/>
          <w:sz w:val="21"/>
          <w:szCs w:val="21"/>
          <w:shd w:val="clear" w:color="auto" w:fill="F9F9F9"/>
        </w:rPr>
        <w:t xml:space="preserve"> (Private) Limited).</w:t>
      </w:r>
    </w:p>
    <w:p w:rsidR="00054268" w:rsidRDefault="00054268" w:rsidP="00054268">
      <w:pPr>
        <w:rPr>
          <w:rFonts w:ascii="Arial" w:hAnsi="Arial" w:cs="Arial"/>
          <w:color w:val="333333"/>
          <w:sz w:val="21"/>
          <w:szCs w:val="21"/>
          <w:shd w:val="clear" w:color="auto" w:fill="F9F9F9"/>
        </w:rPr>
      </w:pPr>
      <w:r>
        <w:t>Total Liabilities 4,337,065 4,709,760 4,146,751 1,937,507 452,041 1,365,044</w:t>
      </w:r>
    </w:p>
    <w:p w:rsidR="005B043E" w:rsidRDefault="005B043E">
      <w:pPr>
        <w:rPr>
          <w:rFonts w:ascii="Arial" w:hAnsi="Arial" w:cs="Arial"/>
          <w:color w:val="333333"/>
          <w:sz w:val="21"/>
          <w:szCs w:val="21"/>
          <w:shd w:val="clear" w:color="auto" w:fill="F9F9F9"/>
        </w:rPr>
      </w:pPr>
    </w:p>
    <w:p w:rsidR="005B043E" w:rsidRDefault="005B043E">
      <w:pPr>
        <w:rPr>
          <w:rFonts w:ascii="Arial" w:hAnsi="Arial" w:cs="Arial"/>
          <w:color w:val="333333"/>
          <w:sz w:val="21"/>
          <w:szCs w:val="21"/>
          <w:shd w:val="clear" w:color="auto" w:fill="F9F9F9"/>
        </w:rPr>
      </w:pPr>
    </w:p>
    <w:p w:rsidR="005B043E" w:rsidRPr="005B043E" w:rsidRDefault="005B043E" w:rsidP="005B043E">
      <w:pPr>
        <w:shd w:val="clear" w:color="auto" w:fill="FFFFFF"/>
        <w:spacing w:after="0" w:line="240" w:lineRule="auto"/>
        <w:rPr>
          <w:rFonts w:ascii="Calibri" w:eastAsia="Times New Roman" w:hAnsi="Calibri" w:cs="Calibri"/>
          <w:color w:val="000000"/>
          <w:sz w:val="26"/>
          <w:szCs w:val="26"/>
          <w:lang w:eastAsia="en-GB"/>
        </w:rPr>
      </w:pPr>
      <w:r w:rsidRPr="005B043E">
        <w:rPr>
          <w:rFonts w:ascii="Calibri" w:eastAsia="Times New Roman" w:hAnsi="Calibri" w:cs="Calibri"/>
          <w:color w:val="000000"/>
          <w:sz w:val="26"/>
          <w:szCs w:val="26"/>
          <w:lang w:eastAsia="en-GB"/>
        </w:rPr>
        <w:t>Total No. Shares: </w:t>
      </w:r>
    </w:p>
    <w:p w:rsidR="005B043E" w:rsidRPr="005B043E" w:rsidRDefault="005B043E" w:rsidP="005B043E">
      <w:pPr>
        <w:shd w:val="clear" w:color="auto" w:fill="FFFFFF"/>
        <w:spacing w:after="0" w:line="240" w:lineRule="auto"/>
        <w:rPr>
          <w:rFonts w:ascii="Calibri" w:eastAsia="Times New Roman" w:hAnsi="Calibri" w:cs="Calibri"/>
          <w:b/>
          <w:bCs/>
          <w:color w:val="1F5EA3"/>
          <w:sz w:val="31"/>
          <w:szCs w:val="31"/>
          <w:lang w:eastAsia="en-GB"/>
        </w:rPr>
      </w:pPr>
      <w:r w:rsidRPr="005B043E">
        <w:rPr>
          <w:rFonts w:ascii="Calibri" w:eastAsia="Times New Roman" w:hAnsi="Calibri" w:cs="Calibri"/>
          <w:b/>
          <w:bCs/>
          <w:color w:val="1F5EA3"/>
          <w:sz w:val="31"/>
          <w:szCs w:val="31"/>
          <w:lang w:eastAsia="en-GB"/>
        </w:rPr>
        <w:t xml:space="preserve">251.25 </w:t>
      </w:r>
      <w:proofErr w:type="spellStart"/>
      <w:r w:rsidRPr="005B043E">
        <w:rPr>
          <w:rFonts w:ascii="Calibri" w:eastAsia="Times New Roman" w:hAnsi="Calibri" w:cs="Calibri"/>
          <w:b/>
          <w:bCs/>
          <w:color w:val="1F5EA3"/>
          <w:sz w:val="31"/>
          <w:szCs w:val="31"/>
          <w:lang w:eastAsia="en-GB"/>
        </w:rPr>
        <w:t>mn</w:t>
      </w:r>
      <w:proofErr w:type="spellEnd"/>
    </w:p>
    <w:p w:rsidR="005B043E" w:rsidRDefault="005B043E">
      <w:pPr>
        <w:rPr>
          <w:rFonts w:ascii="Arial" w:hAnsi="Arial" w:cs="Arial"/>
          <w:color w:val="333333"/>
          <w:sz w:val="21"/>
          <w:szCs w:val="21"/>
          <w:shd w:val="clear" w:color="auto" w:fill="F9F9F9"/>
        </w:rPr>
      </w:pPr>
    </w:p>
    <w:p w:rsidR="005B043E" w:rsidRDefault="005B043E">
      <w:pPr>
        <w:rPr>
          <w:rFonts w:ascii="Arial" w:hAnsi="Arial" w:cs="Arial"/>
          <w:color w:val="333333"/>
          <w:sz w:val="21"/>
          <w:szCs w:val="21"/>
          <w:shd w:val="clear" w:color="auto" w:fill="F9F9F9"/>
        </w:rPr>
      </w:pPr>
      <w:r>
        <w:rPr>
          <w:rFonts w:ascii="Arial" w:hAnsi="Arial" w:cs="Arial"/>
          <w:color w:val="333333"/>
          <w:sz w:val="21"/>
          <w:szCs w:val="21"/>
          <w:shd w:val="clear" w:color="auto" w:fill="F9F9F9"/>
        </w:rPr>
        <w:t>Cost per share</w:t>
      </w:r>
    </w:p>
    <w:p w:rsidR="005B043E" w:rsidRPr="005B043E" w:rsidRDefault="005B043E" w:rsidP="005B043E">
      <w:pPr>
        <w:shd w:val="clear" w:color="auto" w:fill="FFFFFF"/>
        <w:spacing w:after="0" w:line="240" w:lineRule="auto"/>
        <w:rPr>
          <w:rFonts w:ascii="Calibri" w:eastAsia="Times New Roman" w:hAnsi="Calibri" w:cs="Calibri"/>
          <w:b/>
          <w:bCs/>
          <w:color w:val="1F5EA3"/>
          <w:sz w:val="50"/>
          <w:szCs w:val="50"/>
          <w:lang w:eastAsia="en-GB"/>
        </w:rPr>
      </w:pPr>
      <w:proofErr w:type="spellStart"/>
      <w:r>
        <w:rPr>
          <w:rFonts w:ascii="Calibri" w:eastAsia="Times New Roman" w:hAnsi="Calibri" w:cs="Calibri"/>
          <w:b/>
          <w:bCs/>
          <w:color w:val="1F5EA3"/>
          <w:sz w:val="50"/>
          <w:szCs w:val="50"/>
          <w:lang w:eastAsia="en-GB"/>
        </w:rPr>
        <w:t>Rs</w:t>
      </w:r>
      <w:proofErr w:type="spellEnd"/>
      <w:r>
        <w:rPr>
          <w:rFonts w:ascii="Calibri" w:eastAsia="Times New Roman" w:hAnsi="Calibri" w:cs="Calibri"/>
          <w:b/>
          <w:bCs/>
          <w:color w:val="1F5EA3"/>
          <w:sz w:val="50"/>
          <w:szCs w:val="50"/>
          <w:lang w:eastAsia="en-GB"/>
        </w:rPr>
        <w:t>. 18.78</w:t>
      </w:r>
    </w:p>
    <w:p w:rsidR="005B043E" w:rsidRPr="005B043E" w:rsidRDefault="005B043E" w:rsidP="005B043E">
      <w:pPr>
        <w:shd w:val="clear" w:color="auto" w:fill="FFFFFF"/>
        <w:spacing w:after="0" w:line="240" w:lineRule="auto"/>
        <w:rPr>
          <w:rFonts w:ascii="Calibri" w:eastAsia="Times New Roman" w:hAnsi="Calibri" w:cs="Calibri"/>
          <w:b/>
          <w:bCs/>
          <w:color w:val="21BA45"/>
          <w:sz w:val="31"/>
          <w:szCs w:val="31"/>
          <w:lang w:eastAsia="en-GB"/>
        </w:rPr>
      </w:pPr>
      <w:r w:rsidRPr="005B043E">
        <w:rPr>
          <w:rFonts w:ascii="Calibri" w:eastAsia="Times New Roman" w:hAnsi="Calibri" w:cs="Calibri"/>
          <w:b/>
          <w:bCs/>
          <w:color w:val="008000"/>
          <w:sz w:val="31"/>
          <w:szCs w:val="31"/>
          <w:lang w:eastAsia="en-GB"/>
        </w:rPr>
        <w:t>0.20 (1.82%)</w:t>
      </w:r>
    </w:p>
    <w:p w:rsidR="005B043E" w:rsidRDefault="005B043E">
      <w:pPr>
        <w:rPr>
          <w:rFonts w:ascii="Arial" w:hAnsi="Arial" w:cs="Arial"/>
          <w:color w:val="333333"/>
          <w:sz w:val="21"/>
          <w:szCs w:val="21"/>
          <w:shd w:val="clear" w:color="auto" w:fill="F9F9F9"/>
        </w:rPr>
      </w:pPr>
    </w:p>
    <w:p w:rsidR="007A1A86" w:rsidRDefault="007A1A86"/>
    <w:p w:rsidR="00054268" w:rsidRDefault="00054268">
      <w:r>
        <w:t>Roles of directors</w:t>
      </w:r>
    </w:p>
    <w:p w:rsidR="00054268" w:rsidRPr="00054268" w:rsidRDefault="00054268" w:rsidP="00054268">
      <w:pPr>
        <w:numPr>
          <w:ilvl w:val="0"/>
          <w:numId w:val="1"/>
        </w:numPr>
        <w:shd w:val="clear" w:color="auto" w:fill="FFFFFF"/>
        <w:spacing w:before="100" w:beforeAutospacing="1" w:after="100" w:afterAutospacing="1" w:line="240" w:lineRule="auto"/>
        <w:rPr>
          <w:rFonts w:ascii="Roboto Regular" w:eastAsia="Times New Roman" w:hAnsi="Roboto Regular" w:cs="Times New Roman"/>
          <w:color w:val="000000"/>
          <w:sz w:val="21"/>
          <w:szCs w:val="21"/>
          <w:lang w:eastAsia="en-GB"/>
        </w:rPr>
      </w:pPr>
      <w:r w:rsidRPr="00054268">
        <w:rPr>
          <w:rFonts w:ascii="Roboto Regular" w:eastAsia="Times New Roman" w:hAnsi="Roboto Regular" w:cs="Times New Roman"/>
          <w:color w:val="000000"/>
          <w:sz w:val="21"/>
          <w:szCs w:val="21"/>
          <w:lang w:eastAsia="en-GB"/>
        </w:rPr>
        <w:t>To act within their powers</w:t>
      </w:r>
    </w:p>
    <w:p w:rsidR="00054268" w:rsidRPr="00054268" w:rsidRDefault="00054268" w:rsidP="00054268">
      <w:pPr>
        <w:numPr>
          <w:ilvl w:val="0"/>
          <w:numId w:val="1"/>
        </w:numPr>
        <w:shd w:val="clear" w:color="auto" w:fill="FFFFFF"/>
        <w:spacing w:before="100" w:beforeAutospacing="1" w:after="100" w:afterAutospacing="1" w:line="240" w:lineRule="auto"/>
        <w:rPr>
          <w:rFonts w:ascii="Roboto Regular" w:eastAsia="Times New Roman" w:hAnsi="Roboto Regular" w:cs="Times New Roman"/>
          <w:color w:val="000000"/>
          <w:sz w:val="21"/>
          <w:szCs w:val="21"/>
          <w:lang w:eastAsia="en-GB"/>
        </w:rPr>
      </w:pPr>
      <w:r w:rsidRPr="00054268">
        <w:rPr>
          <w:rFonts w:ascii="Roboto Regular" w:eastAsia="Times New Roman" w:hAnsi="Roboto Regular" w:cs="Times New Roman"/>
          <w:color w:val="000000"/>
          <w:sz w:val="21"/>
          <w:szCs w:val="21"/>
          <w:lang w:eastAsia="en-GB"/>
        </w:rPr>
        <w:t>To promote the success of the company</w:t>
      </w:r>
    </w:p>
    <w:p w:rsidR="00054268" w:rsidRPr="00054268" w:rsidRDefault="00054268" w:rsidP="00054268">
      <w:pPr>
        <w:numPr>
          <w:ilvl w:val="0"/>
          <w:numId w:val="1"/>
        </w:numPr>
        <w:shd w:val="clear" w:color="auto" w:fill="FFFFFF"/>
        <w:spacing w:before="100" w:beforeAutospacing="1" w:after="100" w:afterAutospacing="1" w:line="240" w:lineRule="auto"/>
        <w:rPr>
          <w:rFonts w:ascii="Roboto Regular" w:eastAsia="Times New Roman" w:hAnsi="Roboto Regular" w:cs="Times New Roman"/>
          <w:color w:val="000000"/>
          <w:sz w:val="21"/>
          <w:szCs w:val="21"/>
          <w:lang w:eastAsia="en-GB"/>
        </w:rPr>
      </w:pPr>
      <w:r w:rsidRPr="00054268">
        <w:rPr>
          <w:rFonts w:ascii="Roboto Regular" w:eastAsia="Times New Roman" w:hAnsi="Roboto Regular" w:cs="Times New Roman"/>
          <w:color w:val="000000"/>
          <w:sz w:val="21"/>
          <w:szCs w:val="21"/>
          <w:lang w:eastAsia="en-GB"/>
        </w:rPr>
        <w:t>To exercise independent judgement</w:t>
      </w:r>
    </w:p>
    <w:p w:rsidR="00054268" w:rsidRPr="00054268" w:rsidRDefault="00054268" w:rsidP="00054268">
      <w:pPr>
        <w:numPr>
          <w:ilvl w:val="0"/>
          <w:numId w:val="1"/>
        </w:numPr>
        <w:shd w:val="clear" w:color="auto" w:fill="FFFFFF"/>
        <w:spacing w:before="100" w:beforeAutospacing="1" w:after="100" w:afterAutospacing="1" w:line="240" w:lineRule="auto"/>
        <w:rPr>
          <w:rFonts w:ascii="Roboto Regular" w:eastAsia="Times New Roman" w:hAnsi="Roboto Regular" w:cs="Times New Roman"/>
          <w:color w:val="000000"/>
          <w:sz w:val="21"/>
          <w:szCs w:val="21"/>
          <w:lang w:eastAsia="en-GB"/>
        </w:rPr>
      </w:pPr>
      <w:r w:rsidRPr="00054268">
        <w:rPr>
          <w:rFonts w:ascii="Roboto Regular" w:eastAsia="Times New Roman" w:hAnsi="Roboto Regular" w:cs="Times New Roman"/>
          <w:color w:val="000000"/>
          <w:sz w:val="21"/>
          <w:szCs w:val="21"/>
          <w:lang w:eastAsia="en-GB"/>
        </w:rPr>
        <w:t>To exercise reasonable skill, care and diligence</w:t>
      </w:r>
    </w:p>
    <w:p w:rsidR="00054268" w:rsidRPr="00054268" w:rsidRDefault="00054268" w:rsidP="00054268">
      <w:pPr>
        <w:numPr>
          <w:ilvl w:val="0"/>
          <w:numId w:val="1"/>
        </w:numPr>
        <w:shd w:val="clear" w:color="auto" w:fill="FFFFFF"/>
        <w:spacing w:before="100" w:beforeAutospacing="1" w:after="100" w:afterAutospacing="1" w:line="240" w:lineRule="auto"/>
        <w:rPr>
          <w:rFonts w:ascii="Roboto Regular" w:eastAsia="Times New Roman" w:hAnsi="Roboto Regular" w:cs="Times New Roman"/>
          <w:color w:val="000000"/>
          <w:sz w:val="21"/>
          <w:szCs w:val="21"/>
          <w:lang w:eastAsia="en-GB"/>
        </w:rPr>
      </w:pPr>
      <w:r w:rsidRPr="00054268">
        <w:rPr>
          <w:rFonts w:ascii="Roboto Regular" w:eastAsia="Times New Roman" w:hAnsi="Roboto Regular" w:cs="Times New Roman"/>
          <w:color w:val="000000"/>
          <w:sz w:val="21"/>
          <w:szCs w:val="21"/>
          <w:lang w:eastAsia="en-GB"/>
        </w:rPr>
        <w:t>To avoid conflicts of interest</w:t>
      </w:r>
    </w:p>
    <w:p w:rsidR="00054268" w:rsidRPr="00054268" w:rsidRDefault="00054268" w:rsidP="00054268">
      <w:pPr>
        <w:numPr>
          <w:ilvl w:val="0"/>
          <w:numId w:val="1"/>
        </w:numPr>
        <w:shd w:val="clear" w:color="auto" w:fill="FFFFFF"/>
        <w:spacing w:before="100" w:beforeAutospacing="1" w:after="100" w:afterAutospacing="1" w:line="240" w:lineRule="auto"/>
        <w:rPr>
          <w:rFonts w:ascii="Roboto Regular" w:eastAsia="Times New Roman" w:hAnsi="Roboto Regular" w:cs="Times New Roman"/>
          <w:color w:val="000000"/>
          <w:sz w:val="21"/>
          <w:szCs w:val="21"/>
          <w:lang w:eastAsia="en-GB"/>
        </w:rPr>
      </w:pPr>
      <w:r w:rsidRPr="00054268">
        <w:rPr>
          <w:rFonts w:ascii="Roboto Regular" w:eastAsia="Times New Roman" w:hAnsi="Roboto Regular" w:cs="Times New Roman"/>
          <w:color w:val="000000"/>
          <w:sz w:val="21"/>
          <w:szCs w:val="21"/>
          <w:lang w:eastAsia="en-GB"/>
        </w:rPr>
        <w:t>Not to accept benefits from third parties</w:t>
      </w:r>
    </w:p>
    <w:p w:rsidR="00054268" w:rsidRPr="00FB302E" w:rsidRDefault="00054268">
      <w:bookmarkStart w:id="0" w:name="_GoBack"/>
      <w:bookmarkEnd w:id="0"/>
    </w:p>
    <w:sectPr w:rsidR="00054268" w:rsidRPr="00FB3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Regular">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30B04"/>
    <w:multiLevelType w:val="multilevel"/>
    <w:tmpl w:val="8998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02E"/>
    <w:rsid w:val="00054268"/>
    <w:rsid w:val="005B043E"/>
    <w:rsid w:val="007A1A86"/>
    <w:rsid w:val="00963820"/>
    <w:rsid w:val="00FB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EFC"/>
  <w15:chartTrackingRefBased/>
  <w15:docId w15:val="{03319277-B91F-407B-9D1A-E02A2C2D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42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6387">
      <w:bodyDiv w:val="1"/>
      <w:marLeft w:val="0"/>
      <w:marRight w:val="0"/>
      <w:marTop w:val="0"/>
      <w:marBottom w:val="0"/>
      <w:divBdr>
        <w:top w:val="none" w:sz="0" w:space="0" w:color="auto"/>
        <w:left w:val="none" w:sz="0" w:space="0" w:color="auto"/>
        <w:bottom w:val="none" w:sz="0" w:space="0" w:color="auto"/>
        <w:right w:val="none" w:sz="0" w:space="0" w:color="auto"/>
      </w:divBdr>
    </w:div>
    <w:div w:id="189150156">
      <w:bodyDiv w:val="1"/>
      <w:marLeft w:val="0"/>
      <w:marRight w:val="0"/>
      <w:marTop w:val="0"/>
      <w:marBottom w:val="0"/>
      <w:divBdr>
        <w:top w:val="none" w:sz="0" w:space="0" w:color="auto"/>
        <w:left w:val="none" w:sz="0" w:space="0" w:color="auto"/>
        <w:bottom w:val="none" w:sz="0" w:space="0" w:color="auto"/>
        <w:right w:val="none" w:sz="0" w:space="0" w:color="auto"/>
      </w:divBdr>
    </w:div>
    <w:div w:id="1124420595">
      <w:bodyDiv w:val="1"/>
      <w:marLeft w:val="0"/>
      <w:marRight w:val="0"/>
      <w:marTop w:val="0"/>
      <w:marBottom w:val="0"/>
      <w:divBdr>
        <w:top w:val="none" w:sz="0" w:space="0" w:color="auto"/>
        <w:left w:val="none" w:sz="0" w:space="0" w:color="auto"/>
        <w:bottom w:val="none" w:sz="0" w:space="0" w:color="auto"/>
        <w:right w:val="none" w:sz="0" w:space="0" w:color="auto"/>
      </w:divBdr>
      <w:divsChild>
        <w:div w:id="1619868723">
          <w:marLeft w:val="0"/>
          <w:marRight w:val="0"/>
          <w:marTop w:val="45"/>
          <w:marBottom w:val="0"/>
          <w:divBdr>
            <w:top w:val="none" w:sz="0" w:space="0" w:color="auto"/>
            <w:left w:val="none" w:sz="0" w:space="0" w:color="auto"/>
            <w:bottom w:val="none" w:sz="0" w:space="0" w:color="auto"/>
            <w:right w:val="none" w:sz="0" w:space="0" w:color="auto"/>
          </w:divBdr>
        </w:div>
        <w:div w:id="352076890">
          <w:marLeft w:val="0"/>
          <w:marRight w:val="0"/>
          <w:marTop w:val="45"/>
          <w:marBottom w:val="0"/>
          <w:divBdr>
            <w:top w:val="none" w:sz="0" w:space="0" w:color="auto"/>
            <w:left w:val="none" w:sz="0" w:space="0" w:color="auto"/>
            <w:bottom w:val="none" w:sz="0" w:space="0" w:color="auto"/>
            <w:right w:val="none" w:sz="0" w:space="0" w:color="auto"/>
          </w:divBdr>
        </w:div>
      </w:divsChild>
    </w:div>
    <w:div w:id="2028289496">
      <w:bodyDiv w:val="1"/>
      <w:marLeft w:val="0"/>
      <w:marRight w:val="0"/>
      <w:marTop w:val="0"/>
      <w:marBottom w:val="0"/>
      <w:divBdr>
        <w:top w:val="none" w:sz="0" w:space="0" w:color="auto"/>
        <w:left w:val="none" w:sz="0" w:space="0" w:color="auto"/>
        <w:bottom w:val="none" w:sz="0" w:space="0" w:color="auto"/>
        <w:right w:val="none" w:sz="0" w:space="0" w:color="auto"/>
      </w:divBdr>
      <w:divsChild>
        <w:div w:id="1468090778">
          <w:marLeft w:val="0"/>
          <w:marRight w:val="0"/>
          <w:marTop w:val="0"/>
          <w:marBottom w:val="0"/>
          <w:divBdr>
            <w:top w:val="none" w:sz="0" w:space="0" w:color="auto"/>
            <w:left w:val="none" w:sz="0" w:space="0" w:color="auto"/>
            <w:bottom w:val="none" w:sz="0" w:space="0" w:color="auto"/>
            <w:right w:val="none" w:sz="0" w:space="0" w:color="auto"/>
          </w:divBdr>
        </w:div>
        <w:div w:id="651374662">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ads_Limited" TargetMode="External"/><Relationship Id="rId3" Type="http://schemas.openxmlformats.org/officeDocument/2006/relationships/settings" Target="settings.xml"/><Relationship Id="rId7" Type="http://schemas.openxmlformats.org/officeDocument/2006/relationships/hyperlink" Target="https://en.wikipedia.org/wiki/Loads_Limi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diator" TargetMode="External"/><Relationship Id="rId5" Type="http://schemas.openxmlformats.org/officeDocument/2006/relationships/hyperlink" Target="https://en.wikipedia.org/wiki/Loads_Limit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2022-03-23T17:56:00Z</dcterms:created>
  <dcterms:modified xsi:type="dcterms:W3CDTF">2022-03-23T19:24:00Z</dcterms:modified>
</cp:coreProperties>
</file>