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E7490"/>
          <w:sz w:val="40"/>
        </w:rPr>
        <w:t>Social Media Brand Sentiment &amp; OLAP Analytics Platform</w:t>
        <w:br/>
      </w:r>
      <w:r>
        <w:rPr>
          <w:rFonts w:ascii="Calibri" w:hAnsi="Calibri"/>
          <w:b w:val="0"/>
          <w:i/>
          <w:color w:val="475569"/>
          <w:sz w:val="24"/>
        </w:rPr>
        <w:t>Complete Technology Stack &amp; System Architecture Specification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9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i w:val="0"/>
                <w:color w:val="0E7490"/>
                <w:sz w:val="20"/>
              </w:rPr>
              <w:t>PROJECT ARCHITECTURE OVERVIEW</w:t>
              <w:br/>
            </w:r>
            <w:r>
              <w:rPr>
                <w:rFonts w:ascii="Calibri" w:hAnsi="Calibri"/>
                <w:b w:val="0"/>
                <w:i w:val="0"/>
                <w:color w:val="334155"/>
                <w:sz w:val="21"/>
              </w:rPr>
              <w:t>This document details the complete production technology stack powering the Social Media Brand Sentiment Analysis &amp; OLAP Analytics Platform. The platform combines a Star Schema Data Warehouse over 289,324 social media posts, a high-performance Python FastAPI backend, an advanced scikit-learn NLP Sentiment Engine (88.76% accuracy), and a Next.js 16 + Tailwind CSS v3 + shadcn/ui frontend interactive web studio.</w:t>
            </w:r>
          </w:p>
        </w:tc>
      </w:tr>
    </w:tbl>
    <w:p/>
    <w:p>
      <w:r>
        <w:rPr>
          <w:rFonts w:ascii="Arial" w:hAnsi="Arial"/>
          <w:b/>
          <w:i w:val="0"/>
          <w:color w:val="0F172A"/>
          <w:sz w:val="28"/>
        </w:rPr>
        <w:t>1. Comprehensive Technology Stack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E749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Layer / Component</w:t>
            </w:r>
          </w:p>
        </w:tc>
        <w:tc>
          <w:tcPr>
            <w:tcW w:type="dxa" w:w="2484"/>
            <w:shd w:fill="0E749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Technologies Used</w:t>
            </w:r>
          </w:p>
        </w:tc>
        <w:tc>
          <w:tcPr>
            <w:tcW w:type="dxa" w:w="2484"/>
            <w:shd w:fill="0E749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Version / Specs</w:t>
            </w:r>
          </w:p>
        </w:tc>
        <w:tc>
          <w:tcPr>
            <w:tcW w:type="dxa" w:w="2484"/>
            <w:shd w:fill="0E7490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Role &amp; Key Capabilities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Frontend Framework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Next.js, React, JavaScript, HTML5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Next.js 16.4, React 19.3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App Router, Turbopack, SSR/SSG static exports, tabbed navigation.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UI &amp; Styling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Tailwind CSS, shadcn/ui, Radix UI, Lucide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Tailwind v3.4, Lucide 1.5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Dark mode glassmorphism theme, accessible UI primitives, badges, icons.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Data Visualization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Recharts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v3.10.1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Interactive bar charts, line graphs, sentiment distribution, OLAP charts.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Backend REST API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Python, FastAPI, Uvicorn, Pydantic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Python 3.12, FastAPI 0.115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Asynchronous REST APIs, CORS middleware, Pydantic schemas, Swagger UI.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Data Warehouse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SQLite 3, SQLAlchemy ORM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SQLAlchemy 2.0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Star Schema Data Warehouse storing 289,324 fact records &amp; 5 dimensions.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OLAP Engine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Python SQL Analytical Engine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Custom Service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Roll-up, Drill-down, Slice, Dice, Pivot, Brand Health Index, Retweet-Weighted.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Machine Learning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scikit-learn, joblib, NumPy, Pandas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scikit-learn 1.5.2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Calibrated LinearSVC + Sublinear Word/Char N-Gram FeatureUnion (88.76% Acc).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NLP Preprocessing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Python Regex, Custom Normalization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Custom Module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URL/mention tokenization, hashtag preservation, negation handling.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ETL &amp; Ingestion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Pandas, NumPy, Python Standard Library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Pandas 2.2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Multi-CSV normalization, brand resolution, timestamp standardization.</w:t>
            </w:r>
          </w:p>
        </w:tc>
      </w:tr>
      <w:tr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Automated Testing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pytest, Starlette TestClient, Requests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pytest 9.1</w:t>
            </w:r>
          </w:p>
        </w:tc>
        <w:tc>
          <w:tcPr>
            <w:tcW w:type="dxa" w:w="2484"/>
            <w:shd w:fill="FFFFFF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10/10 automated integration tests covering DB, API, OLAP, and ML.</w:t>
            </w:r>
          </w:p>
        </w:tc>
      </w:tr>
      <w:tr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Deployment &amp; Container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Docker, Multi-Stage Dockerfile, Render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Node 20 / Py 3.12</w:t>
            </w:r>
          </w:p>
        </w:tc>
        <w:tc>
          <w:tcPr>
            <w:tcW w:type="dxa" w:w="2484"/>
            <w:shd w:fill="F8FAFC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Render free-tier single-container deployment (&lt;100MB RAM footprint).</w:t>
            </w:r>
          </w:p>
        </w:tc>
      </w:tr>
    </w:tbl>
    <w:p/>
    <w:p>
      <w:r>
        <w:rPr>
          <w:rFonts w:ascii="Arial" w:hAnsi="Arial"/>
          <w:b/>
          <w:i w:val="0"/>
          <w:color w:val="0F172A"/>
          <w:sz w:val="28"/>
        </w:rPr>
        <w:t>2. Detailed Architecture &amp; Module Breakdown</w:t>
      </w:r>
    </w:p>
    <w:p>
      <w:r>
        <w:rPr>
          <w:rFonts w:ascii="Arial" w:hAnsi="Arial"/>
          <w:b/>
          <w:i w:val="0"/>
          <w:color w:val="0E7490"/>
          <w:sz w:val="24"/>
        </w:rPr>
        <w:t>2.1 Frontend Studio (Next.js 16 + Tailwind CSS + shadcn/ui)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Next.js 16 App Router: </w:t>
      </w:r>
      <w:r>
        <w:rPr>
          <w:rFonts w:ascii="Calibri" w:hAnsi="Calibri"/>
          <w:b w:val="0"/>
          <w:i w:val="0"/>
          <w:color w:val="334155"/>
          <w:sz w:val="21"/>
        </w:rPr>
        <w:t>Provides modular tabbed routing for Dashboard overview, Brand Intelligence, OLAP Explorer, and ML Playground.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Tailwind CSS v3 &amp; Vanilla CSS: </w:t>
      </w:r>
      <w:r>
        <w:rPr>
          <w:rFonts w:ascii="Calibri" w:hAnsi="Calibri"/>
          <w:b w:val="0"/>
          <w:i w:val="0"/>
          <w:color w:val="334155"/>
          <w:sz w:val="21"/>
        </w:rPr>
        <w:t>Custom design system with sleek dark mode aesthetics, glassmorphism cards, dynamic gradient accents, and responsive layout grid.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shadcn/ui Component Suite: </w:t>
      </w:r>
      <w:r>
        <w:rPr>
          <w:rFonts w:ascii="Calibri" w:hAnsi="Calibri"/>
          <w:b w:val="0"/>
          <w:i w:val="0"/>
          <w:color w:val="334155"/>
          <w:sz w:val="21"/>
        </w:rPr>
        <w:t>Radix UI primitives providing accessible dialogs, badges, buttons, cards, tables, and progress indicators.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Recharts Visualization: </w:t>
      </w:r>
      <w:r>
        <w:rPr>
          <w:rFonts w:ascii="Calibri" w:hAnsi="Calibri"/>
          <w:b w:val="0"/>
          <w:i w:val="0"/>
          <w:color w:val="334155"/>
          <w:sz w:val="21"/>
        </w:rPr>
        <w:t>Interactive rendering of temporal sentiment trends, brand comparisons, confusion matrices, and OLAP projection graphs.</w:t>
      </w:r>
    </w:p>
    <w:p>
      <w:r>
        <w:rPr>
          <w:rFonts w:ascii="Arial" w:hAnsi="Arial"/>
          <w:b/>
          <w:i w:val="0"/>
          <w:color w:val="0E7490"/>
          <w:sz w:val="24"/>
        </w:rPr>
        <w:t>2.2 Backend &amp; Data Warehouse (FastAPI + SQLite Star Schema)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FastAPI Async Framework: </w:t>
      </w:r>
      <w:r>
        <w:rPr>
          <w:rFonts w:ascii="Calibri" w:hAnsi="Calibri"/>
          <w:b w:val="0"/>
          <w:i w:val="0"/>
          <w:color w:val="334155"/>
          <w:sz w:val="21"/>
        </w:rPr>
        <w:t>High-speed REST API layer providing automated OpenAPI/Swagger documentation at /docs.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Star Schema Data Warehouse: </w:t>
      </w:r>
      <w:r>
        <w:rPr>
          <w:rFonts w:ascii="Calibri" w:hAnsi="Calibri"/>
          <w:b w:val="0"/>
          <w:i w:val="0"/>
          <w:color w:val="334155"/>
          <w:sz w:val="21"/>
        </w:rPr>
        <w:t>Relational database housing 289,324 fact records in FACT_POST linked to DIM_BRAND (20+ brands), DIM_DATE (full date hierarchy), DIM_SENTIMENT, DIM_LOCATION, and DIM_NEGATIVE_REASON.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Custom OLAP Engine: </w:t>
      </w:r>
      <w:r>
        <w:rPr>
          <w:rFonts w:ascii="Calibri" w:hAnsi="Calibri"/>
          <w:b w:val="0"/>
          <w:i w:val="0"/>
          <w:color w:val="334155"/>
          <w:sz w:val="21"/>
        </w:rPr>
        <w:t>Supports 7 analytical operations: Roll-up (aggregations up time hierarchy), Drill-down (granular sub-period inspection), Slice (fixed dimension analysis), Dice (multi-dimensional sub-cube matrix), Pivot (cross-tabulation), Brand Health Index (Pos% - Neg%), and Engagement-Weighted Sentiment.</w:t>
      </w:r>
    </w:p>
    <w:p>
      <w:r>
        <w:rPr>
          <w:rFonts w:ascii="Arial" w:hAnsi="Arial"/>
          <w:b/>
          <w:i w:val="0"/>
          <w:color w:val="0E7490"/>
          <w:sz w:val="24"/>
        </w:rPr>
        <w:t>2.3 Machine Learning &amp; NLP Sentiment Engine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Text Preprocessing: </w:t>
      </w:r>
      <w:r>
        <w:rPr>
          <w:rFonts w:ascii="Calibri" w:hAnsi="Calibri"/>
          <w:b w:val="0"/>
          <w:i w:val="0"/>
          <w:color w:val="334155"/>
          <w:sz w:val="21"/>
        </w:rPr>
        <w:t>Standardizes social media text while preserving sentiment negations (not, can't, won't), URLs (@user, http), and hashtags.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Feature Union Pipeline: </w:t>
      </w:r>
      <w:r>
        <w:rPr>
          <w:rFonts w:ascii="Calibri" w:hAnsi="Calibri"/>
          <w:b w:val="0"/>
          <w:i w:val="0"/>
          <w:color w:val="334155"/>
          <w:sz w:val="21"/>
        </w:rPr>
        <w:t>Sublinear Word TF-IDF (1-3 n-grams) combined with Character Word-Boundary TF-IDF (3-5 n-grams) capturing roots, typos, and social slang.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Classification Model: </w:t>
      </w:r>
      <w:r>
        <w:rPr>
          <w:rFonts w:ascii="Calibri" w:hAnsi="Calibri"/>
          <w:b w:val="0"/>
          <w:i w:val="0"/>
          <w:color w:val="334155"/>
          <w:sz w:val="21"/>
        </w:rPr>
        <w:t>Calibrated Support Vector Classifier (LinearSVC + CalibratedClassifierCV 5-fold cross-validation) delivering 88.76% 3-class accuracy, &gt;92% binary sentiment accuracy, &lt;2ms inference latency, and &lt;25MB memory footprint.</w:t>
      </w:r>
    </w:p>
    <w:p>
      <w:r>
        <w:rPr>
          <w:rFonts w:ascii="Arial" w:hAnsi="Arial"/>
          <w:b/>
          <w:i w:val="0"/>
          <w:color w:val="0E7490"/>
          <w:sz w:val="24"/>
        </w:rPr>
        <w:t>2.4 DevOps, Cloud Hosting &amp; Containerization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Multi-Stage Dockerfile: </w:t>
      </w:r>
      <w:r>
        <w:rPr>
          <w:rFonts w:ascii="Calibri" w:hAnsi="Calibri"/>
          <w:b w:val="0"/>
          <w:i w:val="0"/>
          <w:color w:val="334155"/>
          <w:sz w:val="21"/>
        </w:rPr>
        <w:t>Builds Next.js static assets in Stage 1 and runs lightweight Python FastAPI server in Stage 2.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F172A"/>
          <w:sz w:val="21"/>
        </w:rPr>
        <w:t xml:space="preserve">Render Cloud Hosting: </w:t>
      </w:r>
      <w:r>
        <w:rPr>
          <w:rFonts w:ascii="Calibri" w:hAnsi="Calibri"/>
          <w:b w:val="0"/>
          <w:i w:val="0"/>
          <w:color w:val="334155"/>
          <w:sz w:val="21"/>
        </w:rPr>
        <w:t>Optimized for Render's 512MB RAM free-tier by serving static GUI files directly through FastAPI on port 8000.</w:t>
      </w:r>
    </w:p>
    <w:p/>
    <w:p>
      <w:pPr>
        <w:jc w:val="right"/>
      </w:pPr>
      <w:r>
        <w:rPr>
          <w:rFonts w:ascii="Calibri" w:hAnsi="Calibri"/>
          <w:b w:val="0"/>
          <w:i/>
          <w:color w:val="94A3B8"/>
          <w:sz w:val="18"/>
        </w:rPr>
        <w:t>Social Media Brand Sentiment DW Project | Complete Tech Stack Document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