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rFonts w:ascii="Times New Roman" w:cs="Times New Roman" w:hAnsi="Times New Roman"/>
        </w:rPr>
        <w:t xml:space="preserve">LES ACTIVITES DU PROJET TUTEURE</w:t>
      </w:r>
    </w:p>
    <w:p>
      <w:pPr/>
    </w:p>
    <w:tbl>
      <w:tblGrid>
        <w:gridCol w:w="1668"/>
        <w:gridCol w:w="1842"/>
        <w:gridCol w:w="3686"/>
        <w:gridCol w:w="2092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cs="Times New Roman" w:hAnsi="Times New Roman"/>
              </w:rPr>
              <w:t xml:space="preserve">N° de l’activité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cs="Times New Roman" w:hAnsi="Times New Roman"/>
              </w:rPr>
              <w:t xml:space="preserve">Nom de l’activité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cs="Times New Roman" w:hAnsi="Times New Roman"/>
              </w:rPr>
              <w:t xml:space="preserve">Description de l’activité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cs="Times New Roman" w:hAnsi="Times New Roman"/>
              </w:rPr>
              <w:t xml:space="preserve">Durée de l’activité</w:t>
            </w:r>
            <w:bookmarkStart w:id="28" w:name="_GoBack"/>
            <w:bookmarkEnd w:id="28"/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Times New Roman" w:cs="Times New Roman" w:hAnsi="Times New Roman"/>
              </w:rPr>
              <w:t xml:space="preserve">1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Définir le langage et la librairie utilisé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Avant toute chose, nous divions choisir comment serait réalisé le jeu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3 jours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Times New Roman" w:cs="Times New Roman" w:hAnsi="Times New Roman"/>
              </w:rPr>
              <w:t xml:space="preserve">2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Création et déplacement d’un personange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L’une des étape les plus basique consiste à réussir à déplacer un personnage de droite à gauche et de sauter.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2 jours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Times New Roman" w:cs="Times New Roman" w:hAnsi="Times New Roman"/>
              </w:rPr>
              <w:t xml:space="preserve">3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Création de la map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Création d’une map en utilisant un système de tuilles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 jour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Times New Roman" w:cs="Times New Roman" w:hAnsi="Times New Roman"/>
              </w:rPr>
              <w:t xml:space="preserve">4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Collision entre le joueur et la map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Le personnage doit se hurter contre les murs.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 jour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Times New Roman" w:cs="Times New Roman" w:hAnsi="Times New Roman"/>
              </w:rPr>
              <w:t xml:space="preserve">5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Assenceurs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La map doit contenir des assenceurs pouvant bouger et le personnage peut y entrer pour changer d’étage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2 jours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Times New Roman" w:cs="Times New Roman" w:hAnsi="Times New Roman"/>
              </w:rPr>
              <w:t xml:space="preserve">6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Portes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La map contient des portes avec lequels le personnage peut interagir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1/2 journée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Times New Roman" w:cs="Times New Roman" w:hAnsi="Times New Roman"/>
              </w:rPr>
              <w:t xml:space="preserve">7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Caméra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Une caméra permet d’avoir une distance approprié et elle suit les personnages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 jour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Times New Roman" w:cs="Times New Roman" w:hAnsi="Times New Roman"/>
              </w:rPr>
              <w:t xml:space="preserve">8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Animation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Le personnage bouge lorsqu’il se déplace à l’aide d’un sprit qui est ensuite animé.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 jour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Gravité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Lorsque le personnage ne touche pas le sol il tombe.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 jour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HUD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Une interface montre le nombre de sachet qu’il reste à trouver et le nombre de vie restant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 jour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Escalier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 escaliers permettent de changer d’étage.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 jour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Musique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Ajouter une musique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1/2 jour</w:t>
            </w:r>
          </w:p>
        </w:tc>
      </w:tr>
      <w:tr>
        <w:trPr/>
        <w:tc>
          <w:tcPr>
            <w:tcW w:w="166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184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Dossier</w:t>
            </w:r>
          </w:p>
        </w:tc>
        <w:tc>
          <w:tcPr>
            <w:tcW w:w="3686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Faire le dossier</w:t>
            </w:r>
          </w:p>
        </w:tc>
        <w:tc>
          <w:tcPr>
            <w:tcW w:w="20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2 jours</w:t>
            </w:r>
          </w:p>
        </w:tc>
      </w:tr>
    </w:tbl>
    <w:p>
      <w:pPr/>
    </w:p>
    <w:sectPr>
      <w:headerReference w:type="first" r:id="hId0"/>
      <w:headerReference w:type="even" r:id="hId1"/>
      <w:headerReference w:type="default" r:id="hId2"/>
      <w:footerReference w:type="default" r:id="fId3"/>
      <w:footerReference w:type="first" r:id="fId4"/>
      <w:footerReference w:type="even" r:id="fId5"/>
      <w:type w:val="continuous"/>
      <w:titlePg/>
      <w:pgSz w:w="11906" w:h="16838" w:orient="portrait"/>
      <w:pgMar w:top="1417" w:left="1417" w:right="1417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3.xml><?xml version="1.0" encoding="utf-8"?>
<w:ftr xmlns:r="http://schemas.openxmlformats.org/officeDocument/2006/relationships" xmlns:w="http://schemas.openxmlformats.org/wordprocessingml/2006/main">
  <w:p>
    <w:pPr>
      <w:pStyle w:val="footer"/>
    </w:pPr>
    <w:r>
      <w:rPr>
        <w:rFonts w:ascii="Times New Roman" w:cs="Times New Roman" w:hAnsi="Times New Roman"/>
      </w:rPr>
      <w:t xml:space="preserve">Liste des activités, Projet tuteuré, JM.Page </w:t>
    </w:r>
    <w:fldSimple w:instr="PAGE \* MERGEFORMAT">
      <w:r>
        <w:t>2</w:t>
      </w:r>
    </w:fldSimple>
  </w:p>
  <w:p>
    <w:pPr>
      <w:pStyle w:val="footer"/>
    </w:pPr>
  </w:p>
</w:ftr>
</file>

<file path=word/footer4.xml><?xml version="1.0" encoding="utf-8"?>
<w:ftr xmlns:r="http://schemas.openxmlformats.org/officeDocument/2006/relationships" xmlns:w="http://schemas.openxmlformats.org/wordprocessingml/2006/main">
  <w:p>
    <w:pPr>
      <w:pStyle w:val="footer"/>
    </w:pPr>
  </w:p>
</w:ftr>
</file>

<file path=word/footer5.xml><?xml version="1.0" encoding="utf-8"?>
<w:ftr xmlns:r="http://schemas.openxmlformats.org/officeDocument/2006/relationships" xmlns:w="http://schemas.openxmlformats.org/wordprocessingml/2006/main">
  <w:p>
    <w:pPr>
      <w:pStyle w:val="footer"/>
    </w:pPr>
  </w:p>
</w:ftr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</w:hdr>
</file>

<file path=word/header1.xml><?xml version="1.0" encoding="utf-8"?>
<w:hdr xmlns:r="http://schemas.openxmlformats.org/officeDocument/2006/relationships" xmlns:w="http://schemas.openxmlformats.org/wordprocessingml/2006/main">
  <w:p>
    <w:pPr>
      <w:pStyle w:val="header"/>
    </w:pPr>
  </w:p>
</w:hdr>
</file>

<file path=word/header2.xml><?xml version="1.0" encoding="utf-8"?>
<w:hdr xmlns:r="http://schemas.openxmlformats.org/officeDocument/2006/relationships"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able Grid">
    <w:name w:val="Table Grid"/>
    <w:basedOn w:val="Normal Table"/>
    <w:pPr>
      <w:spacing w:after="0"/>
      <w:spacing w:line="240" w:lineRule="auto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  <w:style w:type="paragraph" w:styleId="footer">
    <w:name w:val="footer"/>
    <w:basedOn w:val="_Normal"/>
    <w:pPr>
      <w:spacing w:after="0"/>
      <w:spacing w:line="240" w:lineRule="auto"/>
    </w:pPr>
    <w:rPr/>
  </w:style>
  <w:style w:type="paragraph" w:styleId="header">
    <w:name w:val="header"/>
    <w:basedOn w:val="_Normal"/>
    <w:pPr>
      <w:spacing w:after="0"/>
      <w:spacing w:line="240" w:lineRule="auto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hId1" Type="http://schemas.openxmlformats.org/officeDocument/2006/relationships/header" Target="header1.xml"/><Relationship Id="hId2" Type="http://schemas.openxmlformats.org/officeDocument/2006/relationships/header" Target="header2.xml"/><Relationship Id="fId3" Type="http://schemas.openxmlformats.org/officeDocument/2006/relationships/footer" Target="footer3.xml"/><Relationship Id="fId4" Type="http://schemas.openxmlformats.org/officeDocument/2006/relationships/footer" Target="footer4.xml"/><Relationship Id="fId5" Type="http://schemas.openxmlformats.org/officeDocument/2006/relationships/footer" Target="footer5.xml"/></Relationships>
</file>