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C2A2" w14:textId="77777777" w:rsidR="00C23895" w:rsidRPr="00C23895" w:rsidRDefault="00C23895" w:rsidP="00C23895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C23895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 :  </w:t>
      </w:r>
    </w:p>
    <w:p w14:paraId="6A74A63A" w14:textId="77777777" w:rsidR="00C23895" w:rsidRPr="00C23895" w:rsidRDefault="00C23895" w:rsidP="00C23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les propriétés et méthodes d’une classe</w:t>
      </w:r>
    </w:p>
    <w:p w14:paraId="1819F60F" w14:textId="77777777" w:rsidR="00C23895" w:rsidRPr="00C23895" w:rsidRDefault="00C23895" w:rsidP="00C23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Définir des propriétés statiques</w:t>
      </w:r>
    </w:p>
    <w:p w14:paraId="37016202" w14:textId="16EB75F5" w:rsidR="00C23895" w:rsidRPr="00C23895" w:rsidRDefault="00C23895" w:rsidP="00C23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Définir </w:t>
      </w:r>
      <w:r w:rsidR="0010054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le</w:t>
      </w: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</w:t>
      </w:r>
    </w:p>
    <w:p w14:paraId="4B19C848" w14:textId="77777777" w:rsidR="00C23895" w:rsidRPr="00C23895" w:rsidRDefault="00C23895" w:rsidP="00C23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instance de classe</w:t>
      </w:r>
    </w:p>
    <w:p w14:paraId="37255F07" w14:textId="77777777" w:rsidR="00C23895" w:rsidRPr="00C23895" w:rsidRDefault="00C23895" w:rsidP="00C23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Accéder par les accesseurs aux propriétés en lecture et écriture d’un objet</w:t>
      </w:r>
    </w:p>
    <w:p w14:paraId="2FBB6676" w14:textId="77777777" w:rsidR="00C23895" w:rsidRPr="00C23895" w:rsidRDefault="00C23895" w:rsidP="00C23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Appliquer des méthodes</w:t>
      </w:r>
    </w:p>
    <w:p w14:paraId="43568B51" w14:textId="77777777" w:rsidR="00C23895" w:rsidRPr="00C23895" w:rsidRDefault="00C23895" w:rsidP="00C23895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C23895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 xml:space="preserve">Travail à </w:t>
      </w:r>
      <w:proofErr w:type="gramStart"/>
      <w:r w:rsidRPr="00C23895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faire:</w:t>
      </w:r>
      <w:proofErr w:type="gramEnd"/>
    </w:p>
    <w:p w14:paraId="6A2B8315" w14:textId="77777777" w:rsidR="00C23895" w:rsidRPr="00C23895" w:rsidRDefault="00C23895" w:rsidP="00C238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Créer la classe Article caractérisée par les attributs : Référence, Désignation, </w:t>
      </w:r>
      <w:proofErr w:type="spellStart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PrixHT</w:t>
      </w:r>
      <w:proofErr w:type="spellEnd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, </w:t>
      </w:r>
      <w:proofErr w:type="spellStart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TauxTVA</w:t>
      </w:r>
      <w:proofErr w:type="spellEnd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</w:p>
    <w:p w14:paraId="2250A29C" w14:textId="77777777" w:rsidR="00C23895" w:rsidRPr="00C23895" w:rsidRDefault="00C23895" w:rsidP="00C2389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     Ces attributs doivent seulement être accessibles par le biais des accesseurs (</w:t>
      </w:r>
      <w:proofErr w:type="spellStart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get</w:t>
      </w:r>
      <w:proofErr w:type="spellEnd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/ set) en lecture/écriture mis en œuvre par les propriétés.</w:t>
      </w:r>
    </w:p>
    <w:p w14:paraId="0A7AF652" w14:textId="5BE8C2D0" w:rsidR="00C23895" w:rsidRPr="00C23895" w:rsidRDefault="00B25EB1" w:rsidP="00C238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le constructeur</w:t>
      </w:r>
      <w:r w:rsidR="00C23895"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suivants :</w:t>
      </w:r>
    </w:p>
    <w:p w14:paraId="0D71B873" w14:textId="72ABD862" w:rsidR="00C23895" w:rsidRPr="00C23895" w:rsidRDefault="00C23895" w:rsidP="002A789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Un constructeur </w:t>
      </w:r>
      <w:r w:rsidR="002A789A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initialisant tous les attributs</w:t>
      </w: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qui permet de renseigner la référence et la désignation lors de l’instanciation</w:t>
      </w:r>
    </w:p>
    <w:p w14:paraId="2F6CD2FD" w14:textId="77777777" w:rsidR="00C23895" w:rsidRPr="00C23895" w:rsidRDefault="00C23895" w:rsidP="00C238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Implémentez la méthode </w:t>
      </w:r>
      <w:proofErr w:type="spellStart"/>
      <w:proofErr w:type="gramStart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CalculerPrixTTC</w:t>
      </w:r>
      <w:proofErr w:type="spellEnd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;</w:t>
      </w:r>
    </w:p>
    <w:p w14:paraId="7CE6FACA" w14:textId="77777777" w:rsidR="00C23895" w:rsidRPr="00C23895" w:rsidRDefault="00C23895" w:rsidP="00C2389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        Cette méthode doit calculer le prix TTC d’un article qui équivaut à : </w:t>
      </w:r>
      <w:proofErr w:type="spellStart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PrixHT</w:t>
      </w:r>
      <w:proofErr w:type="spellEnd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+ (</w:t>
      </w:r>
      <w:proofErr w:type="spellStart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PrixHT</w:t>
      </w:r>
      <w:proofErr w:type="spellEnd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*</w:t>
      </w:r>
      <w:proofErr w:type="spellStart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TauxTVA</w:t>
      </w:r>
      <w:proofErr w:type="spellEnd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/100) et retournera la     valeur calculée.</w:t>
      </w:r>
    </w:p>
    <w:p w14:paraId="44301124" w14:textId="768169B5" w:rsidR="00C23895" w:rsidRPr="00C23895" w:rsidRDefault="00C23895" w:rsidP="00C238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la méthode </w:t>
      </w:r>
      <w:proofErr w:type="spellStart"/>
      <w:proofErr w:type="gramStart"/>
      <w:r w:rsidR="00036674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a</w:t>
      </w:r>
      <w:bookmarkStart w:id="0" w:name="_GoBack"/>
      <w:bookmarkEnd w:id="0"/>
      <w:r w:rsidRPr="00C23895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fficherArticle</w:t>
      </w:r>
      <w:proofErr w:type="spellEnd"/>
      <w:r w:rsidRPr="00C23895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(</w:t>
      </w:r>
      <w:proofErr w:type="gramEnd"/>
      <w:r w:rsidRPr="00C23895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) </w:t>
      </w: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qui affiche les informations de l’article.</w:t>
      </w:r>
    </w:p>
    <w:p w14:paraId="030E725D" w14:textId="77777777" w:rsidR="00C23895" w:rsidRPr="00C23895" w:rsidRDefault="00C23895" w:rsidP="00C238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 programme de test où il faut créer des objets (en utilisant les différents constructeurs) et leur calculer le prix TTC.</w:t>
      </w:r>
    </w:p>
    <w:p w14:paraId="5C461CEB" w14:textId="77777777" w:rsidR="00C23895" w:rsidRPr="00C23895" w:rsidRDefault="00C23895" w:rsidP="00C2389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Le taux de TVA est en fait commun à tous les articles. Pour éviter toute redondance de cet attribut, vous devriez donc la déclarer comme </w:t>
      </w:r>
      <w:proofErr w:type="spellStart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partagéeau</w:t>
      </w:r>
      <w:proofErr w:type="spellEnd"/>
      <w:r w:rsidRPr="00C2389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niveau de la classe Article et non comme un attribut spécifique des objets instanciés à partir de la classe. Proposer une solution et tester de nouveau.</w:t>
      </w:r>
    </w:p>
    <w:p w14:paraId="08D059FD" w14:textId="77777777" w:rsidR="00C23895" w:rsidRPr="00C23895" w:rsidRDefault="00C23895" w:rsidP="00C23895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C23895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14:paraId="3C18F7A2" w14:textId="77777777" w:rsidR="00C23895" w:rsidRPr="00C23895" w:rsidRDefault="00C23895" w:rsidP="00C23895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23895">
        <w:rPr>
          <w:rFonts w:ascii="Consolas" w:eastAsia="Times New Roman" w:hAnsi="Consolas" w:cs="Times New Roman"/>
          <w:color w:val="FFFFFF"/>
          <w:lang w:eastAsia="fr-FR"/>
        </w:rPr>
        <w:t>Donner le taux de TVA pour tous les articles : 20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Le taux TVA est : 20%</w:t>
      </w:r>
    </w:p>
    <w:p w14:paraId="24E0C896" w14:textId="77777777" w:rsidR="00C23895" w:rsidRPr="00C23895" w:rsidRDefault="00C23895" w:rsidP="00C23895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23895">
        <w:rPr>
          <w:rFonts w:ascii="Consolas" w:eastAsia="Times New Roman" w:hAnsi="Consolas" w:cs="Times New Roman"/>
          <w:color w:val="FFFFFF"/>
          <w:lang w:eastAsia="fr-FR"/>
        </w:rPr>
        <w:lastRenderedPageBreak/>
        <w:br/>
        <w:t>Article 1: 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Référence : 0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Désignation :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Prix HT : 0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Le prix TTC est 0</w:t>
      </w:r>
    </w:p>
    <w:p w14:paraId="5E7BE7F3" w14:textId="77777777" w:rsidR="00C23895" w:rsidRPr="00C23895" w:rsidRDefault="00C23895" w:rsidP="00C23895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Article 2:   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Donner la référence: 111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Donner la désignation: ATA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Donner le prix HT: 100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Référence : 111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Désignation : ATA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Prix HT : 100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Le prix TTC est 120</w:t>
      </w:r>
    </w:p>
    <w:p w14:paraId="527E3DBA" w14:textId="77777777" w:rsidR="00C23895" w:rsidRPr="00C23895" w:rsidRDefault="00C23895" w:rsidP="00C23895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Article 3: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Donner la référence: 122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Donner la désignation: RER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Référence : 122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Désignation : RER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Prix HT : 0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Le prix TTC est 0</w:t>
      </w:r>
    </w:p>
    <w:p w14:paraId="5012EA5A" w14:textId="77777777" w:rsidR="00C23895" w:rsidRPr="00C23895" w:rsidRDefault="00C23895" w:rsidP="00C23895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Article 4: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Référence : 111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Désignation : ATA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Prix HT : 100</w:t>
      </w:r>
      <w:r w:rsidRPr="00C23895">
        <w:rPr>
          <w:rFonts w:ascii="Consolas" w:eastAsia="Times New Roman" w:hAnsi="Consolas" w:cs="Times New Roman"/>
          <w:color w:val="FFFFFF"/>
          <w:lang w:eastAsia="fr-FR"/>
        </w:rPr>
        <w:br/>
        <w:t>Le prix TTC est 120</w:t>
      </w:r>
    </w:p>
    <w:p w14:paraId="16D7FFF6" w14:textId="77777777" w:rsidR="0085250A" w:rsidRDefault="0085250A"/>
    <w:sectPr w:rsidR="00852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2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5E98"/>
    <w:multiLevelType w:val="multilevel"/>
    <w:tmpl w:val="64C2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C7BD3"/>
    <w:multiLevelType w:val="multilevel"/>
    <w:tmpl w:val="4D5C25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C2BCA"/>
    <w:multiLevelType w:val="multilevel"/>
    <w:tmpl w:val="55588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D6788"/>
    <w:multiLevelType w:val="multilevel"/>
    <w:tmpl w:val="428E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D0DA0"/>
    <w:multiLevelType w:val="multilevel"/>
    <w:tmpl w:val="C48A6C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F052D"/>
    <w:multiLevelType w:val="multilevel"/>
    <w:tmpl w:val="959019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42F56"/>
    <w:multiLevelType w:val="multilevel"/>
    <w:tmpl w:val="8378F8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82ED7"/>
    <w:multiLevelType w:val="multilevel"/>
    <w:tmpl w:val="78B4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1C1"/>
    <w:rsid w:val="00036674"/>
    <w:rsid w:val="0010054A"/>
    <w:rsid w:val="001A2FD4"/>
    <w:rsid w:val="002A789A"/>
    <w:rsid w:val="008201C1"/>
    <w:rsid w:val="0085250A"/>
    <w:rsid w:val="00B25EB1"/>
    <w:rsid w:val="00C2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E5F3C"/>
  <w15:chartTrackingRefBased/>
  <w15:docId w15:val="{E7EE5945-9858-4204-8A73-2277816F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238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2389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2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23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052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612011843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ALEXANDRE</dc:creator>
  <cp:keywords/>
  <dc:description/>
  <cp:lastModifiedBy>mafhim</cp:lastModifiedBy>
  <cp:revision>7</cp:revision>
  <dcterms:created xsi:type="dcterms:W3CDTF">2020-01-13T13:04:00Z</dcterms:created>
  <dcterms:modified xsi:type="dcterms:W3CDTF">2022-02-24T10:30:00Z</dcterms:modified>
</cp:coreProperties>
</file>