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6214" w14:textId="77777777" w:rsidR="00607B85" w:rsidRPr="00607B85" w:rsidRDefault="00607B85" w:rsidP="00607B85">
      <w:r w:rsidRPr="00607B85">
        <w:rPr>
          <w:b/>
        </w:rPr>
        <w:t>GROUP B WEEK 6 PROGRESS REPORT</w:t>
      </w:r>
      <w:r w:rsidRPr="00607B85">
        <w:rPr>
          <w:b/>
        </w:rPr>
        <w:br/>
        <w:t xml:space="preserve">Project: </w:t>
      </w:r>
      <w:r w:rsidRPr="00607B85">
        <w:t>UtiliCare Help-Desk Triage Agent</w:t>
      </w:r>
      <w:r w:rsidRPr="00607B85">
        <w:br/>
      </w:r>
      <w:r w:rsidRPr="00607B85">
        <w:rPr>
          <w:b/>
        </w:rPr>
        <w:t xml:space="preserve">Week: </w:t>
      </w:r>
      <w:r w:rsidRPr="00607B85">
        <w:t>5th October – 9th October 2026</w:t>
      </w:r>
      <w:r w:rsidRPr="00607B85">
        <w:br/>
      </w:r>
      <w:r w:rsidRPr="00607B85">
        <w:rPr>
          <w:b/>
        </w:rPr>
        <w:t xml:space="preserve">Focus: </w:t>
      </w:r>
      <w:r w:rsidRPr="00607B85">
        <w:t>Memory, State and Interoperability (Explicit Workflow State, Justified Persistent Memory, and MCP Interface Specification)</w:t>
      </w:r>
    </w:p>
    <w:p w14:paraId="4E3C7128" w14:textId="77777777" w:rsidR="00607B85" w:rsidRPr="00607B85" w:rsidRDefault="00607B85" w:rsidP="00607B85">
      <w:r w:rsidRPr="00607B85">
        <w:rPr>
          <w:b/>
        </w:rPr>
        <w:t>Introduction</w:t>
      </w:r>
    </w:p>
    <w:p w14:paraId="7FCDE7D7" w14:textId="77777777" w:rsidR="00607B85" w:rsidRPr="00607B85" w:rsidRDefault="00607B85" w:rsidP="00607B85">
      <w:r w:rsidRPr="00607B85">
        <w:t>During Week 6, the UtiliCare Help-Desk Triage Agent was advanced from the single-request bounded execution loop established in Week 5 to an explicitly modeled, stateful, and interoperable agent architecture. The team's primary focus was threefold: formalize workflow and session state into an explicit, auditable schema; implement a justified, privacy-compliant persistent memory use case; and standardize agent capability integration using an industry-standard Model Context Protocol (MCP) interface specification. Operating under strict software engineering principles rather than unconstrained 'vibe coding,' the architecture ensures that persistent memory remains strictly advisory to human triage officers and cannot silently hijack, bypass, or auto-approve sensitive utility operations.</w:t>
      </w:r>
    </w:p>
    <w:p w14:paraId="19441AEB" w14:textId="77777777" w:rsidR="00607B85" w:rsidRPr="00607B85" w:rsidRDefault="00607B85" w:rsidP="00607B85">
      <w:r w:rsidRPr="00607B85">
        <w:rPr>
          <w:b/>
        </w:rPr>
        <w:t>Work Completed</w:t>
      </w:r>
    </w:p>
    <w:p w14:paraId="64C96DEE" w14:textId="77777777" w:rsidR="00607B85" w:rsidRPr="00607B85" w:rsidRDefault="00607B85" w:rsidP="00607B85">
      <w:r w:rsidRPr="00607B85">
        <w:rPr>
          <w:b/>
        </w:rPr>
        <w:t xml:space="preserve">Explicit Workflow State Modeling: </w:t>
      </w:r>
      <w:r w:rsidRPr="00607B85">
        <w:t>The team authored a comprehensive state model in docs/requirements/Week6_Workflow_State_Model.docx. The architecture explicitly tracks ten discrete state fields across every bounded loop iteration: customer_message, classification, grounding_status, retrieved_sources, tool_calls_made, tool_results, iteration_count, clarification_needed, memory_context, and stop_reason. Per-iteration execution traces capture the iteration index, raw model generation, parsed structured output, validation/parsing errors, and tool execution results. A deterministic reset mechanism guarantees complete state clearance between independent requests, eliminating session cross-talk and memory contamination.</w:t>
      </w:r>
    </w:p>
    <w:p w14:paraId="1E8B2505" w14:textId="77777777" w:rsidR="00607B85" w:rsidRPr="00607B85" w:rsidRDefault="00607B85" w:rsidP="00607B85">
      <w:r w:rsidRPr="00607B85">
        <w:rPr>
          <w:b/>
        </w:rPr>
        <w:t xml:space="preserve">Justified Persistent-Memory Implementation: </w:t>
      </w:r>
      <w:r w:rsidRPr="00607B85">
        <w:t>In src/memory.py, the team implemented a durable case-memory store backed by atomic JSON persistence (configurable via UTILITYCARE_MEMORY_PATH). The use case is specifically justified: in municipal utilities, localized disruptions (e.g., transformer trips, water main bursts) produce surges of duplicate customer reports from the same service area. Recalling recent unresolved drafts for the same area_code and service_type equips human triage officers with immediate operational context, accelerates triage, and prevents redundant work orders.</w:t>
      </w:r>
    </w:p>
    <w:p w14:paraId="5B17F753" w14:textId="77777777" w:rsidR="00607B85" w:rsidRPr="00607B85" w:rsidRDefault="00607B85" w:rsidP="00607B85">
      <w:r w:rsidRPr="00607B85">
        <w:rPr>
          <w:b/>
        </w:rPr>
        <w:t xml:space="preserve">Data Minimization and Privacy Controls: </w:t>
      </w:r>
      <w:r w:rsidRPr="00607B85">
        <w:t xml:space="preserve">Documented in docs/requirements/Memory_Design_and_Data_Handling_Note.docx, persistent memory </w:t>
      </w:r>
      <w:r w:rsidRPr="00607B85">
        <w:lastRenderedPageBreak/>
        <w:t>adheres to rigorous data minimization. Stored records contain only seven non-sensitive metadata fields: draft_id, area_code, service_type, category, summary, created_at, and status. The system strictly excludes customer PII (names, phone numbers, addresses, account IDs), raw user prompts, model reasoning chains, retrieved knowledge chunks, and billing amounts. A 30-day sliding expiry purge (purge_expired()), a maximum record capacity limit, and granular deletion by draft_id (delete_case()) ensure compliant lifecycle governance.</w:t>
      </w:r>
    </w:p>
    <w:p w14:paraId="41780212" w14:textId="77777777" w:rsidR="00607B85" w:rsidRPr="00607B85" w:rsidRDefault="00607B85" w:rsidP="00607B85">
      <w:r w:rsidRPr="00607B85">
        <w:rPr>
          <w:b/>
        </w:rPr>
        <w:t xml:space="preserve">Strict Architectural Access Control: </w:t>
      </w:r>
      <w:r w:rsidRPr="00607B85">
        <w:t>Access to memory is enforced exclusively at the deterministic application layer. The language model is granted neither read nor write permissions to stored memory; memory records are never injected into the model's generation prompt, eliminating indirect prompt injection risks. Memory lookup occurs in plain code post-model call based on exact area_code and service_type matches, and is routed solely to the human supervisor's triage interface as labeled context.</w:t>
      </w:r>
    </w:p>
    <w:p w14:paraId="33F43AFD" w14:textId="77777777" w:rsidR="00607B85" w:rsidRPr="00607B85" w:rsidRDefault="00607B85" w:rsidP="00607B85">
      <w:r w:rsidRPr="00607B85">
        <w:rPr>
          <w:b/>
        </w:rPr>
        <w:t xml:space="preserve">MCP-Style Interface Specification: </w:t>
      </w:r>
      <w:r w:rsidRPr="00607B85">
        <w:t>In docs/requirements/MCP_Interface_Specification_get_outage_status.docx, the team documented the project's core read capability (get_outage_status) under Anthropic's Model Context Protocol standard. The specification provides formal JSON Schemas for inputs (area_code and service_type enum) and structured outputs (outage_active, estimated_restoration, affected_area_description, wrapped in standard content/structuredContent payloads). It defines explicit security perimeters, least-privilege invocation bounds (scoped strictly within run_bounded_agent() and iteration_count &lt; 3), and documents an architectural output-schema validation gap carried forward for Week 7 hardening.</w:t>
      </w:r>
    </w:p>
    <w:p w14:paraId="3B87DC91" w14:textId="77777777" w:rsidR="00607B85" w:rsidRPr="00607B85" w:rsidRDefault="00607B85" w:rsidP="00607B85">
      <w:r w:rsidRPr="00607B85">
        <w:rPr>
          <w:b/>
        </w:rPr>
        <w:t>Testing and Safety (Working Memory and State Verification)</w:t>
      </w:r>
    </w:p>
    <w:p w14:paraId="66258CA7" w14:textId="77777777" w:rsidR="00607B85" w:rsidRPr="00607B85" w:rsidRDefault="00607B85" w:rsidP="00607B85">
      <w:r w:rsidRPr="00607B85">
        <w:rPr>
          <w:b/>
        </w:rPr>
        <w:t xml:space="preserve">Cross-Process Persistence Verification: </w:t>
      </w:r>
      <w:r w:rsidRPr="00607B85">
        <w:t>To prove genuine persistence across runtime lifecycles, test_memory_survives_a_new_process in tests/test_week6_working_memory.py spawns an isolated Python interpreter subprocess to persist a draft record, followed by a separate subprocess to query it from disk. The recalled draft matched exactly, verifying persistence across process boundaries.</w:t>
      </w:r>
    </w:p>
    <w:p w14:paraId="4991C4AD" w14:textId="77777777" w:rsidR="00607B85" w:rsidRPr="00607B85" w:rsidRDefault="00607B85" w:rsidP="00607B85">
      <w:r w:rsidRPr="00607B85">
        <w:rPr>
          <w:b/>
        </w:rPr>
        <w:t xml:space="preserve">Safeguards Against Silent Decision Control: </w:t>
      </w:r>
      <w:r w:rsidRPr="00607B85">
        <w:t xml:space="preserve">In test_memory_is_useful_but_does_not_bypass_approval, a misleading historical summary was injected into the persistent store. When executing run_bounded_agent(), the recalled memory was attached to memory_context for human triage review, but the agent correctly drafted a new ticket based on the incoming customer message and halted at </w:t>
      </w:r>
      <w:r w:rsidRPr="00607B85">
        <w:lastRenderedPageBreak/>
        <w:t>ticket_drafted_pending_approval. Critically, no submit_ticket call was made, confirming that historical memory cannot silently authorize or alter critical operations.</w:t>
      </w:r>
    </w:p>
    <w:p w14:paraId="7832EACC" w14:textId="77777777" w:rsidR="00607B85" w:rsidRPr="00607B85" w:rsidRDefault="00607B85" w:rsidP="00607B85">
      <w:r w:rsidRPr="00607B85">
        <w:rPr>
          <w:b/>
        </w:rPr>
        <w:t xml:space="preserve">Multi-Turn Context Reuse: </w:t>
      </w:r>
      <w:r w:rsidRPr="00607B85">
        <w:t>test_second_run_reuses_context_without_copying_decision verified successive agent invocations across subprocess boundaries, demonstrating that historical context is ingested advisory-only while preserving independent classification and drafting.</w:t>
      </w:r>
    </w:p>
    <w:p w14:paraId="54669F07" w14:textId="77777777" w:rsidR="00607B85" w:rsidRPr="00607B85" w:rsidRDefault="00607B85" w:rsidP="00607B85">
      <w:r w:rsidRPr="00607B85">
        <w:rPr>
          <w:b/>
        </w:rPr>
        <w:t xml:space="preserve">Automated Regression Results: </w:t>
      </w:r>
      <w:r w:rsidRPr="00607B85">
        <w:t>All 3 Week 6 working memory tests passed in 1.94s. The full project test suite achieved 9/9 passing tests (covering bounded agent logic, memory persistence, and tool execution). Boundary authorization tests confirmed that unknown tools and direct submission attempts remain strictly blocked, with execution evidence fully recorded in docs/evaluation/Week6_Working_Memory_Evidence.md.</w:t>
      </w:r>
    </w:p>
    <w:p w14:paraId="7FEFA063" w14:textId="77777777" w:rsidR="00607B85" w:rsidRPr="00607B85" w:rsidRDefault="00607B85" w:rsidP="00607B85">
      <w:r w:rsidRPr="00607B85">
        <w:rPr>
          <w:b/>
        </w:rPr>
        <w:t>Architecture and Learning</w:t>
      </w:r>
    </w:p>
    <w:p w14:paraId="26E8F5CB" w14:textId="77777777" w:rsidR="00607B85" w:rsidRPr="00607B85" w:rsidRDefault="00607B85" w:rsidP="00607B85">
      <w:r w:rsidRPr="00607B85">
        <w:rPr>
          <w:b/>
        </w:rPr>
        <w:t xml:space="preserve">Explicit State vs. Ephemeral Execution: </w:t>
      </w:r>
      <w:r w:rsidRPr="00607B85">
        <w:t>Separating ephemeral loop state from persistent cross-session memory resolved critical ambiguities in agent orchestration. Short-term session state governs the immediate Sense–Plan–Act–Observe loop, while persistent memory functions as an externalized, queryable index governed by deterministic data management rules.</w:t>
      </w:r>
    </w:p>
    <w:p w14:paraId="522A4217" w14:textId="77777777" w:rsidR="00607B85" w:rsidRPr="00607B85" w:rsidRDefault="00607B85" w:rsidP="00607B85">
      <w:r w:rsidRPr="00607B85">
        <w:rPr>
          <w:b/>
        </w:rPr>
        <w:t xml:space="preserve">Architectural Isolation of Memory from LLM Prompt: </w:t>
      </w:r>
      <w:r w:rsidRPr="00607B85">
        <w:t>Keeping persistent memory outside the LLM context window prevented context window bloat, eliminated memory hallucination, and closed the vulnerability vector where malicious user input stored in historical summaries could manipulate subsequent agent decisions.</w:t>
      </w:r>
    </w:p>
    <w:p w14:paraId="3A3641ED" w14:textId="77777777" w:rsidR="00607B85" w:rsidRPr="00607B85" w:rsidRDefault="00607B85" w:rsidP="00607B85">
      <w:r w:rsidRPr="00607B85">
        <w:rPr>
          <w:b/>
        </w:rPr>
        <w:t xml:space="preserve">Interoperability via MCP Standards: </w:t>
      </w:r>
      <w:r w:rsidRPr="00607B85">
        <w:t>Formulating get_outage_status as an MCP capability decoupled tool definition from execution mechanics. Standardized error reporting (isError: true) and structured JSON schemas provide an auditable integration boundary essential for enterprise utility environments.</w:t>
      </w:r>
    </w:p>
    <w:p w14:paraId="4E8BE535" w14:textId="77777777" w:rsidR="00607B85" w:rsidRPr="00607B85" w:rsidRDefault="00607B85" w:rsidP="00607B85">
      <w:r w:rsidRPr="00607B85">
        <w:rPr>
          <w:b/>
        </w:rPr>
        <w:t xml:space="preserve">Course Readings Synthesis: </w:t>
      </w:r>
      <w:r w:rsidRPr="00607B85">
        <w:t>Week 6 activities directly reflected required literature. Addy Osmani's Beyond Vibe Coding (Ch. 10–11) highlighted the dangers of latent agent drift and unverified agent autonomy, reinforcing our reliance on deterministic state boundaries and automated regression tests. Chip Huyen's AI Engineering (Ch. 6 &amp; 10) guided our distinction between working memory and persistent storage, emphasizing pipeline orchestration safeguards to prevent feedback loops. Greg Lanham's AI Agents in Action (Ch. 8) informed our structured memory schema and knowledge compression approach, demonstrating that targeted metadata indexing outperforms unconstrained context accumulation.</w:t>
      </w:r>
    </w:p>
    <w:p w14:paraId="67E5005D" w14:textId="77777777" w:rsidR="00607B85" w:rsidRPr="00607B85" w:rsidRDefault="00607B85" w:rsidP="00607B85">
      <w:r w:rsidRPr="00607B85">
        <w:rPr>
          <w:b/>
        </w:rPr>
        <w:t>Conclusion</w:t>
      </w:r>
    </w:p>
    <w:p w14:paraId="574BCF05" w14:textId="77777777" w:rsidR="00607B85" w:rsidRPr="00607B85" w:rsidRDefault="00607B85" w:rsidP="00607B85">
      <w:r w:rsidRPr="00607B85">
        <w:lastRenderedPageBreak/>
        <w:t>Week 6 successfully established an explicit workflow state model, a justified and privacy-hardened persistent memory implementation, verifiable safeguards against silent autonomous decision control, and a formal MCP-compliant tool specification. With 9/9 automated tests passing and empirical execution evidence documented, the UtiliCare Help-Desk Triage Agent maintains high architectural integrity and security compliance, providing a robust, stable baseline for Week 7's comprehensive failure catalogue and system evaluation.</w:t>
      </w:r>
    </w:p>
    <w:p w14:paraId="34BD05B7" w14:textId="77777777" w:rsidR="004A3207" w:rsidRDefault="004A3207"/>
    <w:sectPr w:rsidR="004A3207" w:rsidSect="00607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85"/>
    <w:rsid w:val="002F49E4"/>
    <w:rsid w:val="003244BF"/>
    <w:rsid w:val="004A2274"/>
    <w:rsid w:val="004A3207"/>
    <w:rsid w:val="004B117E"/>
    <w:rsid w:val="00607B85"/>
    <w:rsid w:val="006A60A1"/>
    <w:rsid w:val="00AD6281"/>
    <w:rsid w:val="00AE1685"/>
    <w:rsid w:val="00BE191A"/>
    <w:rsid w:val="00D82F36"/>
    <w:rsid w:val="00F6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5520"/>
  <w15:chartTrackingRefBased/>
  <w15:docId w15:val="{4AA9ABB4-DF1B-4E59-A2AE-43FE8BCD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B85"/>
    <w:rPr>
      <w:rFonts w:eastAsiaTheme="majorEastAsia" w:cstheme="majorBidi"/>
      <w:color w:val="272727" w:themeColor="text1" w:themeTint="D8"/>
    </w:rPr>
  </w:style>
  <w:style w:type="paragraph" w:styleId="Title">
    <w:name w:val="Title"/>
    <w:basedOn w:val="Normal"/>
    <w:next w:val="Normal"/>
    <w:link w:val="TitleChar"/>
    <w:uiPriority w:val="10"/>
    <w:qFormat/>
    <w:rsid w:val="00607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B85"/>
    <w:pPr>
      <w:spacing w:before="160"/>
      <w:jc w:val="center"/>
    </w:pPr>
    <w:rPr>
      <w:i/>
      <w:iCs/>
      <w:color w:val="404040" w:themeColor="text1" w:themeTint="BF"/>
    </w:rPr>
  </w:style>
  <w:style w:type="character" w:customStyle="1" w:styleId="QuoteChar">
    <w:name w:val="Quote Char"/>
    <w:basedOn w:val="DefaultParagraphFont"/>
    <w:link w:val="Quote"/>
    <w:uiPriority w:val="29"/>
    <w:rsid w:val="00607B85"/>
    <w:rPr>
      <w:i/>
      <w:iCs/>
      <w:color w:val="404040" w:themeColor="text1" w:themeTint="BF"/>
    </w:rPr>
  </w:style>
  <w:style w:type="paragraph" w:styleId="ListParagraph">
    <w:name w:val="List Paragraph"/>
    <w:basedOn w:val="Normal"/>
    <w:uiPriority w:val="34"/>
    <w:qFormat/>
    <w:rsid w:val="00607B85"/>
    <w:pPr>
      <w:ind w:left="720"/>
      <w:contextualSpacing/>
    </w:pPr>
  </w:style>
  <w:style w:type="character" w:styleId="IntenseEmphasis">
    <w:name w:val="Intense Emphasis"/>
    <w:basedOn w:val="DefaultParagraphFont"/>
    <w:uiPriority w:val="21"/>
    <w:qFormat/>
    <w:rsid w:val="00607B85"/>
    <w:rPr>
      <w:i/>
      <w:iCs/>
      <w:color w:val="0F4761" w:themeColor="accent1" w:themeShade="BF"/>
    </w:rPr>
  </w:style>
  <w:style w:type="paragraph" w:styleId="IntenseQuote">
    <w:name w:val="Intense Quote"/>
    <w:basedOn w:val="Normal"/>
    <w:next w:val="Normal"/>
    <w:link w:val="IntenseQuoteChar"/>
    <w:uiPriority w:val="30"/>
    <w:qFormat/>
    <w:rsid w:val="00607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B85"/>
    <w:rPr>
      <w:i/>
      <w:iCs/>
      <w:color w:val="0F4761" w:themeColor="accent1" w:themeShade="BF"/>
    </w:rPr>
  </w:style>
  <w:style w:type="character" w:styleId="IntenseReference">
    <w:name w:val="Intense Reference"/>
    <w:basedOn w:val="DefaultParagraphFont"/>
    <w:uiPriority w:val="32"/>
    <w:qFormat/>
    <w:rsid w:val="00607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1219</Words>
  <Characters>6949</Characters>
  <Application>Microsoft Office Word</Application>
  <DocSecurity>0</DocSecurity>
  <Lines>57</Lines>
  <Paragraphs>16</Paragraphs>
  <ScaleCrop>false</ScaleCrop>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Rokie Official</dc:creator>
  <cp:keywords/>
  <dc:description/>
  <cp:lastModifiedBy>Rokie Official</cp:lastModifiedBy>
  <cp:revision>2</cp:revision>
  <dcterms:created xsi:type="dcterms:W3CDTF">2026-10-14T22:13:00Z</dcterms:created>
  <dcterms:modified xsi:type="dcterms:W3CDTF">2026-10-14T22:19:00Z</dcterms:modified>
</cp:coreProperties>
</file>