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F48FC" w14:textId="77777777" w:rsidR="00CC4293" w:rsidRDefault="00CC4293" w:rsidP="00CC4293">
      <w:pPr>
        <w:jc w:val="center"/>
      </w:pPr>
      <w:r>
        <w:rPr>
          <w:rFonts w:ascii="Arial" w:hAnsi="Arial"/>
          <w:b/>
          <w:color w:val="1B365D"/>
          <w:sz w:val="26"/>
        </w:rPr>
        <w:t>MAKERERE UNIVERSITY</w:t>
      </w:r>
      <w:r>
        <w:rPr>
          <w:rFonts w:ascii="Arial" w:hAnsi="Arial"/>
          <w:b/>
          <w:color w:val="1B365D"/>
          <w:sz w:val="26"/>
        </w:rPr>
        <w:br/>
      </w:r>
      <w:r>
        <w:rPr>
          <w:rFonts w:ascii="Arial" w:hAnsi="Arial"/>
          <w:b/>
          <w:color w:val="222222"/>
        </w:rPr>
        <w:t>COLLEGE OF COMPUTING AND INFORMATION SCIENCES</w:t>
      </w:r>
      <w:r>
        <w:rPr>
          <w:rFonts w:ascii="Arial" w:hAnsi="Arial"/>
          <w:b/>
          <w:color w:val="222222"/>
        </w:rPr>
        <w:br/>
        <w:t>DEPARTMENT OF NETWORKS</w:t>
      </w:r>
      <w:r>
        <w:rPr>
          <w:rFonts w:ascii="Arial" w:hAnsi="Arial"/>
          <w:b/>
          <w:color w:val="222222"/>
        </w:rPr>
        <w:br/>
      </w:r>
      <w:r>
        <w:rPr>
          <w:rFonts w:ascii="Arial" w:hAnsi="Arial"/>
          <w:b/>
          <w:color w:val="222222"/>
        </w:rPr>
        <w:br/>
      </w:r>
      <w:proofErr w:type="spellStart"/>
      <w:r>
        <w:rPr>
          <w:rFonts w:ascii="Arial" w:hAnsi="Arial"/>
          <w:b/>
          <w:color w:val="1B365D"/>
          <w:sz w:val="36"/>
        </w:rPr>
        <w:t>UtiliCare</w:t>
      </w:r>
      <w:proofErr w:type="spellEnd"/>
      <w:r>
        <w:rPr>
          <w:rFonts w:ascii="Arial" w:hAnsi="Arial"/>
          <w:b/>
          <w:color w:val="1B365D"/>
          <w:sz w:val="36"/>
        </w:rPr>
        <w:t>: Bounded AI-Assisted Help-Desk Triage Agent</w:t>
      </w:r>
      <w:r>
        <w:rPr>
          <w:rFonts w:ascii="Arial" w:hAnsi="Arial"/>
          <w:b/>
          <w:color w:val="1B365D"/>
          <w:sz w:val="36"/>
        </w:rPr>
        <w:br/>
      </w:r>
      <w:r>
        <w:rPr>
          <w:rFonts w:ascii="Arial" w:hAnsi="Arial"/>
          <w:i/>
          <w:color w:val="008080"/>
          <w:sz w:val="24"/>
        </w:rPr>
        <w:t>Final Engineering Report: From Foundation Model Baseline to a Bounded, Evaluated Agentic System</w:t>
      </w:r>
      <w:r>
        <w:rPr>
          <w:rFonts w:ascii="Arial" w:hAnsi="Arial"/>
          <w:i/>
          <w:color w:val="008080"/>
          <w:sz w:val="24"/>
        </w:rPr>
        <w:br/>
      </w:r>
    </w:p>
    <w:p w14:paraId="6E9FB2F3" w14:textId="77777777" w:rsidR="00CC4293" w:rsidRDefault="00CC4293" w:rsidP="00CC4293">
      <w:pPr>
        <w:jc w:val="center"/>
      </w:pPr>
      <w:r>
        <w:t>Course: BSE4104 Emerging Trends in Software Engineering (8-Week Capstone)</w:t>
      </w:r>
      <w:r>
        <w:br/>
        <w:t xml:space="preserve">Academic Year: 2026/2027 | Group: </w:t>
      </w:r>
      <w:proofErr w:type="spellStart"/>
      <w:r>
        <w:t>UtiliCare</w:t>
      </w:r>
      <w:proofErr w:type="spellEnd"/>
      <w:r>
        <w:t xml:space="preserve"> Help Desk Triage Team</w:t>
      </w:r>
      <w:r>
        <w:br/>
        <w:t xml:space="preserve">Authors: </w:t>
      </w:r>
      <w:proofErr w:type="spellStart"/>
      <w:r>
        <w:t>Nomwesigwa</w:t>
      </w:r>
      <w:proofErr w:type="spellEnd"/>
      <w:r>
        <w:t xml:space="preserve"> Keith, Mubiru Umar, Khot </w:t>
      </w:r>
      <w:proofErr w:type="spellStart"/>
      <w:r>
        <w:t>Adet</w:t>
      </w:r>
      <w:proofErr w:type="spellEnd"/>
      <w:r>
        <w:t xml:space="preserve"> Majuong, Nankunda Lilian, </w:t>
      </w:r>
      <w:proofErr w:type="spellStart"/>
      <w:r>
        <w:t>Arok</w:t>
      </w:r>
      <w:proofErr w:type="spellEnd"/>
      <w:r>
        <w:t xml:space="preserve"> John Mayen</w:t>
      </w:r>
      <w:r>
        <w:br/>
        <w:t xml:space="preserve">Course Convener: Dr. </w:t>
      </w:r>
      <w:proofErr w:type="spellStart"/>
      <w:r>
        <w:t>Kamulegeya</w:t>
      </w:r>
      <w:proofErr w:type="spellEnd"/>
      <w:r>
        <w:t xml:space="preserve"> Grace B (PhD)</w:t>
      </w:r>
      <w:r>
        <w:br/>
        <w:t>Date of Submission: 23rd October 2026 | Tagged Release: v1.0.0</w:t>
      </w:r>
      <w:r>
        <w:br/>
      </w:r>
      <w:r>
        <w:br/>
        <w:t>Week 8 Capstone Deliverables &amp; Ownership:</w:t>
      </w:r>
      <w:r>
        <w:br/>
        <w:t>• Final Tagged Release &amp; Clean-Clone README/Run Instructions: Mubiru Umar</w:t>
      </w:r>
      <w:r>
        <w:br/>
        <w:t>• Final Engineering Report (10 Sections): All Team Members (Collaborative)</w:t>
      </w:r>
      <w:r>
        <w:br/>
        <w:t>• Final Evaluation &amp; Evidence Pack: Nankunda Lilian</w:t>
      </w:r>
      <w:r>
        <w:br/>
        <w:t xml:space="preserve">• Presentation Deck &amp; Live Demonstration: </w:t>
      </w:r>
      <w:proofErr w:type="spellStart"/>
      <w:r>
        <w:t>Arok</w:t>
      </w:r>
      <w:proofErr w:type="spellEnd"/>
      <w:r>
        <w:t xml:space="preserve"> John Mayen &amp; Khot </w:t>
      </w:r>
      <w:proofErr w:type="spellStart"/>
      <w:r>
        <w:t>Adet</w:t>
      </w:r>
      <w:proofErr w:type="spellEnd"/>
      <w:r>
        <w:t xml:space="preserve"> </w:t>
      </w:r>
      <w:proofErr w:type="spellStart"/>
      <w:r>
        <w:t>Majuong</w:t>
      </w:r>
      <w:proofErr w:type="spellEnd"/>
      <w:r>
        <w:br/>
        <w:t xml:space="preserve">• </w:t>
      </w:r>
      <w:proofErr w:type="spellStart"/>
      <w:r>
        <w:t>ClickUp</w:t>
      </w:r>
      <w:proofErr w:type="spellEnd"/>
      <w:r>
        <w:t xml:space="preserve"> Project Governance &amp; Repository Integrity: </w:t>
      </w:r>
      <w:proofErr w:type="spellStart"/>
      <w:r>
        <w:t>Nomwesigwa</w:t>
      </w:r>
      <w:proofErr w:type="spellEnd"/>
      <w:r>
        <w:t xml:space="preserve"> Keith</w:t>
      </w:r>
    </w:p>
    <w:p w14:paraId="7FA11873" w14:textId="77777777" w:rsidR="00CC4293" w:rsidRDefault="00CC4293" w:rsidP="00CC4293">
      <w:r>
        <w:br w:type="page"/>
      </w:r>
    </w:p>
    <w:p w14:paraId="6233DD80" w14:textId="77777777" w:rsidR="00CC4293" w:rsidRDefault="00CC4293" w:rsidP="00CC4293">
      <w:pPr>
        <w:pStyle w:val="Heading1"/>
      </w:pPr>
      <w:r>
        <w:lastRenderedPageBreak/>
        <w:t>1. Executive Summary</w:t>
      </w:r>
    </w:p>
    <w:p w14:paraId="7AC55CBA" w14:textId="77777777" w:rsidR="00CC4293" w:rsidRDefault="00CC4293" w:rsidP="00CC4293">
      <w:r>
        <w:t>Public utility customer help-desks in Uganda (such as electricity and water distribution entities) face acute operational challenges: high volumes of unstructured service inquiries, surging incident queues during localized infrastructure breakdowns, and inconsistent manual triage. While modern foundation models offer conversational flexibility, unconstrained generative chatbots pose severe risks to utility operations—namely, hallucinating guaranteed restoration times, misinterpreting technical faults, and risking unauthorized modifications to billing or distribution systems.</w:t>
      </w:r>
      <w:r>
        <w:br/>
      </w:r>
      <w:r>
        <w:br/>
      </w:r>
      <w:proofErr w:type="spellStart"/>
      <w:r>
        <w:t>UtiliCare</w:t>
      </w:r>
      <w:proofErr w:type="spellEnd"/>
      <w:r>
        <w:t xml:space="preserve"> is an AI-assisted help-desk triage prototype engineered for electricity and water services across Kampala divisions (e.g., Ntinda, Kololo, Nakasero). </w:t>
      </w:r>
      <w:proofErr w:type="spellStart"/>
      <w:r>
        <w:t>UtiliCare</w:t>
      </w:r>
      <w:proofErr w:type="spellEnd"/>
      <w:r>
        <w:t xml:space="preserve"> rejects the paradigm of open-ended autonomous agency in favor of a strictly bounded, explainable architecture. The core innovation of </w:t>
      </w:r>
      <w:proofErr w:type="spellStart"/>
      <w:r>
        <w:t>UtiliCare</w:t>
      </w:r>
      <w:proofErr w:type="spellEnd"/>
      <w:r>
        <w:t xml:space="preserve"> is its deterministic Sense -&gt; Plan -&gt; Act -&gt; Observe -&gt; Stop/Re-plan workflow, governed by a hard iteration cap (max 3 loops), deterministic RAG retrieval over a 30-document verified Standard Operating Procedure (SOP) corpus, and an inviolable Human-in-the-Loop boundary (Safety Rule B-01).</w:t>
      </w:r>
      <w:r>
        <w:br/>
      </w:r>
      <w:r>
        <w:br/>
        <w:t xml:space="preserve">Major Results: </w:t>
      </w:r>
      <w:proofErr w:type="spellStart"/>
      <w:r>
        <w:t>UtiliCare</w:t>
      </w:r>
      <w:proofErr w:type="spellEnd"/>
      <w:r>
        <w:t xml:space="preserve"> achieved a 100% pass rate (37/37 scenarios passed) across a comprehensive evaluation suite comprising normal, edge, adversarial, tool-failure, and unauthorized-action cases. The system exhibited 0 ungrounded claims, zero tool unauthorized execution leaks, and sub-25 </w:t>
      </w:r>
      <w:proofErr w:type="spellStart"/>
      <w:r>
        <w:t>ms</w:t>
      </w:r>
      <w:proofErr w:type="spellEnd"/>
      <w:r>
        <w:t xml:space="preserve"> deterministic response latency. The principal limitation is that </w:t>
      </w:r>
      <w:proofErr w:type="spellStart"/>
      <w:r>
        <w:t>UtiliCare</w:t>
      </w:r>
      <w:proofErr w:type="spellEnd"/>
      <w:r>
        <w:t xml:space="preserve"> does not autonomously dispatch technicians or reconcile accounts; ticket drafts remain strictly advisory until an authenticated human help-desk supervisor reviews and authorizes dispatch via the dedicated supervisor cockpit.</w:t>
      </w:r>
    </w:p>
    <w:p w14:paraId="008334A0" w14:textId="77777777" w:rsidR="00CC4293" w:rsidRDefault="00CC4293" w:rsidP="00CC4293">
      <w:pPr>
        <w:pStyle w:val="Heading1"/>
      </w:pPr>
      <w:r>
        <w:t>2. Problem Context and Requirements</w:t>
      </w:r>
    </w:p>
    <w:p w14:paraId="448684B7" w14:textId="77777777" w:rsidR="00CC4293" w:rsidRDefault="00CC4293" w:rsidP="00CC4293">
      <w:r>
        <w:t>2.1 Problem Description &amp; Target Users</w:t>
      </w:r>
      <w:r>
        <w:br/>
        <w:t xml:space="preserve">Customers reporting power blackouts or water leaks frequently experience extended wait times and ambiguous updates. The primary user of </w:t>
      </w:r>
      <w:proofErr w:type="spellStart"/>
      <w:r>
        <w:t>UtiliCare</w:t>
      </w:r>
      <w:proofErr w:type="spellEnd"/>
      <w:r>
        <w:t xml:space="preserve"> is the Help-Desk Customer Service Operator who triages incoming tickets; the secondary user is the Utility Customer interacting via web chat.</w:t>
      </w:r>
      <w:r>
        <w:br/>
      </w:r>
      <w:r>
        <w:br/>
        <w:t>2.2 Key Functional Requirements &amp; Acceptance Criteria</w:t>
      </w:r>
      <w:r>
        <w:br/>
        <w:t xml:space="preserve">• REQ-01 (Triage &amp; Classification): The system shall classify incoming customer inquiries into one of five mutually exclusive categories: </w:t>
      </w:r>
      <w:proofErr w:type="spellStart"/>
      <w:r>
        <w:t>billing_query</w:t>
      </w:r>
      <w:proofErr w:type="spellEnd"/>
      <w:r>
        <w:t xml:space="preserve">, </w:t>
      </w:r>
      <w:proofErr w:type="spellStart"/>
      <w:r>
        <w:t>power_outage</w:t>
      </w:r>
      <w:proofErr w:type="spellEnd"/>
      <w:r>
        <w:t xml:space="preserve">, </w:t>
      </w:r>
      <w:proofErr w:type="spellStart"/>
      <w:r>
        <w:t>meter_fault</w:t>
      </w:r>
      <w:proofErr w:type="spellEnd"/>
      <w:r>
        <w:t xml:space="preserve">, </w:t>
      </w:r>
      <w:proofErr w:type="spellStart"/>
      <w:r>
        <w:t>water_leak</w:t>
      </w:r>
      <w:proofErr w:type="spellEnd"/>
      <w:r>
        <w:t>, or other.</w:t>
      </w:r>
      <w:r>
        <w:br/>
        <w:t>• REQ-02 (Grounded Troubleshooting): The system shall provide diagnostic guidance grounded strictly in verified utility SOPs, explicitly citing document identifiers (KB-001 to KB-030). If evidence is absent, it must report INSUFFICIENT_EVIDENCE rather than fabricate advice.</w:t>
      </w:r>
      <w:r>
        <w:br/>
        <w:t>• REQ-03 (Tool Authorization &amp; Execution): The agent may query read-only feeder status (</w:t>
      </w:r>
      <w:proofErr w:type="spellStart"/>
      <w:r>
        <w:t>get_outage_status</w:t>
      </w:r>
      <w:proofErr w:type="spellEnd"/>
      <w:r>
        <w:t>) and draft service tickets (</w:t>
      </w:r>
      <w:proofErr w:type="spellStart"/>
      <w:r>
        <w:t>draft_ticket</w:t>
      </w:r>
      <w:proofErr w:type="spellEnd"/>
      <w:r>
        <w:t xml:space="preserve">), but is technically barred from executing </w:t>
      </w:r>
      <w:r>
        <w:lastRenderedPageBreak/>
        <w:t>any unlisted function.</w:t>
      </w:r>
      <w:r>
        <w:br/>
        <w:t xml:space="preserve">• REQ-04 (Mandatory Human Sign-off): Under Safety Rule B-01, ticket drafts must be created with status: </w:t>
      </w:r>
      <w:proofErr w:type="spellStart"/>
      <w:r>
        <w:t>pending_approval</w:t>
      </w:r>
      <w:proofErr w:type="spellEnd"/>
      <w:r>
        <w:t>. Autonomous dispatch is prohibited.</w:t>
      </w:r>
      <w:r>
        <w:br/>
      </w:r>
      <w:r>
        <w:br/>
        <w:t>2.3 AI Boundary Matrix</w:t>
      </w:r>
      <w:r>
        <w:br/>
        <w:t xml:space="preserve">To resolve the tension between flexibility and risk, </w:t>
      </w:r>
      <w:proofErr w:type="spellStart"/>
      <w:r>
        <w:t>UtiliCare</w:t>
      </w:r>
      <w:proofErr w:type="spellEnd"/>
      <w:r>
        <w:t xml:space="preserve"> establishes an explicit operational contract:</w:t>
      </w:r>
    </w:p>
    <w:tbl>
      <w:tblPr>
        <w:tblStyle w:val="TableGrid"/>
        <w:tblW w:w="0" w:type="auto"/>
        <w:tblLook w:val="04A0" w:firstRow="1" w:lastRow="0" w:firstColumn="1" w:lastColumn="0" w:noHBand="0" w:noVBand="1"/>
      </w:tblPr>
      <w:tblGrid>
        <w:gridCol w:w="2337"/>
        <w:gridCol w:w="2339"/>
        <w:gridCol w:w="2337"/>
        <w:gridCol w:w="2337"/>
      </w:tblGrid>
      <w:tr w:rsidR="00CC4293" w14:paraId="61FDA778" w14:textId="77777777" w:rsidTr="00DE6732">
        <w:tc>
          <w:tcPr>
            <w:tcW w:w="2340" w:type="dxa"/>
          </w:tcPr>
          <w:p w14:paraId="779E28DC" w14:textId="77777777" w:rsidR="00CC4293" w:rsidRDefault="00CC4293" w:rsidP="00C263EF">
            <w:r>
              <w:t>Domain</w:t>
            </w:r>
          </w:p>
        </w:tc>
        <w:tc>
          <w:tcPr>
            <w:tcW w:w="2340" w:type="dxa"/>
          </w:tcPr>
          <w:p w14:paraId="09927710" w14:textId="77777777" w:rsidR="00CC4293" w:rsidRDefault="00CC4293" w:rsidP="00C263EF">
            <w:r>
              <w:t>Autonomous AI Authority</w:t>
            </w:r>
          </w:p>
        </w:tc>
        <w:tc>
          <w:tcPr>
            <w:tcW w:w="2340" w:type="dxa"/>
          </w:tcPr>
          <w:p w14:paraId="52EE4D18" w14:textId="77777777" w:rsidR="00CC4293" w:rsidRDefault="00CC4293" w:rsidP="00C263EF">
            <w:r>
              <w:t>Mandatory Human Authority</w:t>
            </w:r>
          </w:p>
        </w:tc>
        <w:tc>
          <w:tcPr>
            <w:tcW w:w="2340" w:type="dxa"/>
          </w:tcPr>
          <w:p w14:paraId="1B1078F9" w14:textId="77777777" w:rsidR="00CC4293" w:rsidRDefault="00CC4293" w:rsidP="00C263EF">
            <w:r>
              <w:t>Architectural Enforcement</w:t>
            </w:r>
          </w:p>
        </w:tc>
      </w:tr>
      <w:tr w:rsidR="00CC4293" w14:paraId="0C9F14DD" w14:textId="77777777" w:rsidTr="00DE6732">
        <w:tc>
          <w:tcPr>
            <w:tcW w:w="2340" w:type="dxa"/>
          </w:tcPr>
          <w:p w14:paraId="5B0E9D94" w14:textId="77777777" w:rsidR="00CC4293" w:rsidRDefault="00CC4293" w:rsidP="00C263EF">
            <w:r>
              <w:t>Customer Triage &amp; Inquiry Intake</w:t>
            </w:r>
          </w:p>
        </w:tc>
        <w:tc>
          <w:tcPr>
            <w:tcW w:w="2340" w:type="dxa"/>
          </w:tcPr>
          <w:p w14:paraId="5AC021B0" w14:textId="77777777" w:rsidR="00CC4293" w:rsidRDefault="00CC4293" w:rsidP="00C263EF">
            <w:r>
              <w:t>Parse free text; extract location &amp; issue category.</w:t>
            </w:r>
          </w:p>
        </w:tc>
        <w:tc>
          <w:tcPr>
            <w:tcW w:w="2340" w:type="dxa"/>
          </w:tcPr>
          <w:p w14:paraId="17D93E7F" w14:textId="77777777" w:rsidR="00CC4293" w:rsidRDefault="00CC4293" w:rsidP="00C263EF">
            <w:r>
              <w:t>Review difficult edge cases or disputed claims.</w:t>
            </w:r>
          </w:p>
        </w:tc>
        <w:tc>
          <w:tcPr>
            <w:tcW w:w="2340" w:type="dxa"/>
          </w:tcPr>
          <w:p w14:paraId="043F54A6" w14:textId="77777777" w:rsidR="00CC4293" w:rsidRDefault="00CC4293" w:rsidP="00C263EF">
            <w:proofErr w:type="spellStart"/>
            <w:r>
              <w:t>Pydantic</w:t>
            </w:r>
            <w:proofErr w:type="spellEnd"/>
            <w:r>
              <w:t>/JSON schema validation in agent.py</w:t>
            </w:r>
          </w:p>
        </w:tc>
      </w:tr>
      <w:tr w:rsidR="00CC4293" w14:paraId="4C77A7CF" w14:textId="77777777" w:rsidTr="00DE6732">
        <w:tc>
          <w:tcPr>
            <w:tcW w:w="2340" w:type="dxa"/>
          </w:tcPr>
          <w:p w14:paraId="4DF00A5F" w14:textId="77777777" w:rsidR="00CC4293" w:rsidRDefault="00CC4293" w:rsidP="00C263EF">
            <w:r>
              <w:t>Standard SOP Advice &amp; Diagnostics</w:t>
            </w:r>
          </w:p>
        </w:tc>
        <w:tc>
          <w:tcPr>
            <w:tcW w:w="2340" w:type="dxa"/>
          </w:tcPr>
          <w:p w14:paraId="0CCABF2C" w14:textId="77777777" w:rsidR="00CC4293" w:rsidRDefault="00CC4293" w:rsidP="00C263EF">
            <w:r>
              <w:t>Retrieve verified SOPs; summarize safety advice.</w:t>
            </w:r>
          </w:p>
        </w:tc>
        <w:tc>
          <w:tcPr>
            <w:tcW w:w="2340" w:type="dxa"/>
          </w:tcPr>
          <w:p w14:paraId="5914BA99" w14:textId="77777777" w:rsidR="00CC4293" w:rsidRDefault="00CC4293" w:rsidP="00C263EF">
            <w:r>
              <w:t>Author and verify approved SOP corpus.</w:t>
            </w:r>
          </w:p>
        </w:tc>
        <w:tc>
          <w:tcPr>
            <w:tcW w:w="2340" w:type="dxa"/>
          </w:tcPr>
          <w:p w14:paraId="0B476197" w14:textId="77777777" w:rsidR="00CC4293" w:rsidRDefault="00CC4293" w:rsidP="00C263EF">
            <w:r>
              <w:t>Deterministic TF-IDF retrieval (rag.py)</w:t>
            </w:r>
          </w:p>
        </w:tc>
      </w:tr>
      <w:tr w:rsidR="00CC4293" w14:paraId="2B6454A1" w14:textId="77777777" w:rsidTr="00DE6732">
        <w:tc>
          <w:tcPr>
            <w:tcW w:w="2340" w:type="dxa"/>
          </w:tcPr>
          <w:p w14:paraId="256D94C1" w14:textId="77777777" w:rsidR="00CC4293" w:rsidRDefault="00CC4293" w:rsidP="00C263EF">
            <w:r>
              <w:t>Feeder Outage Lookup</w:t>
            </w:r>
          </w:p>
        </w:tc>
        <w:tc>
          <w:tcPr>
            <w:tcW w:w="2340" w:type="dxa"/>
          </w:tcPr>
          <w:p w14:paraId="77F080CF" w14:textId="77777777" w:rsidR="00CC4293" w:rsidRDefault="00CC4293" w:rsidP="00C263EF">
            <w:r>
              <w:t xml:space="preserve">Query live feeder status via </w:t>
            </w:r>
            <w:proofErr w:type="spellStart"/>
            <w:r>
              <w:t>get_outage_status</w:t>
            </w:r>
            <w:proofErr w:type="spellEnd"/>
            <w:r>
              <w:t>().</w:t>
            </w:r>
          </w:p>
        </w:tc>
        <w:tc>
          <w:tcPr>
            <w:tcW w:w="2340" w:type="dxa"/>
          </w:tcPr>
          <w:p w14:paraId="608A7717" w14:textId="77777777" w:rsidR="00CC4293" w:rsidRDefault="00CC4293" w:rsidP="00C263EF">
            <w:r>
              <w:t>Update grid infrastructure state.</w:t>
            </w:r>
          </w:p>
        </w:tc>
        <w:tc>
          <w:tcPr>
            <w:tcW w:w="2340" w:type="dxa"/>
          </w:tcPr>
          <w:p w14:paraId="3B078ACB" w14:textId="77777777" w:rsidR="00CC4293" w:rsidRDefault="00CC4293" w:rsidP="00C263EF">
            <w:r>
              <w:t>Read-only mock data feed</w:t>
            </w:r>
          </w:p>
        </w:tc>
      </w:tr>
      <w:tr w:rsidR="00CC4293" w14:paraId="3645E38B" w14:textId="77777777" w:rsidTr="00DE6732">
        <w:tc>
          <w:tcPr>
            <w:tcW w:w="2340" w:type="dxa"/>
          </w:tcPr>
          <w:p w14:paraId="430F77E2" w14:textId="77777777" w:rsidR="00CC4293" w:rsidRDefault="00CC4293" w:rsidP="00C263EF">
            <w:r>
              <w:t>Ticket Drafting &amp; Dispatch</w:t>
            </w:r>
          </w:p>
        </w:tc>
        <w:tc>
          <w:tcPr>
            <w:tcW w:w="2340" w:type="dxa"/>
          </w:tcPr>
          <w:p w14:paraId="4376F94F" w14:textId="77777777" w:rsidR="00CC4293" w:rsidRDefault="00CC4293" w:rsidP="00C263EF">
            <w:r>
              <w:t xml:space="preserve">Draft ticket with status: </w:t>
            </w:r>
            <w:proofErr w:type="spellStart"/>
            <w:r>
              <w:t>pending_approval</w:t>
            </w:r>
            <w:proofErr w:type="spellEnd"/>
            <w:r>
              <w:t>.</w:t>
            </w:r>
          </w:p>
        </w:tc>
        <w:tc>
          <w:tcPr>
            <w:tcW w:w="2340" w:type="dxa"/>
          </w:tcPr>
          <w:p w14:paraId="46472E3B" w14:textId="77777777" w:rsidR="00CC4293" w:rsidRDefault="00CC4293" w:rsidP="00C263EF">
            <w:r>
              <w:t>Approve, edit priority, and dispatch to field crew.</w:t>
            </w:r>
          </w:p>
        </w:tc>
        <w:tc>
          <w:tcPr>
            <w:tcW w:w="2340" w:type="dxa"/>
          </w:tcPr>
          <w:p w14:paraId="33C561CE" w14:textId="77777777" w:rsidR="00CC4293" w:rsidRDefault="00CC4293" w:rsidP="00C263EF">
            <w:r>
              <w:t>Hardcoded status; operator console at /supervisor</w:t>
            </w:r>
          </w:p>
        </w:tc>
      </w:tr>
      <w:tr w:rsidR="00CC4293" w14:paraId="747632CE" w14:textId="77777777" w:rsidTr="00DE6732">
        <w:tc>
          <w:tcPr>
            <w:tcW w:w="2340" w:type="dxa"/>
          </w:tcPr>
          <w:p w14:paraId="32371ED1" w14:textId="77777777" w:rsidR="00CC4293" w:rsidRDefault="00CC4293" w:rsidP="00C263EF">
            <w:r>
              <w:t>Billing Adjustments &amp; Payments</w:t>
            </w:r>
          </w:p>
        </w:tc>
        <w:tc>
          <w:tcPr>
            <w:tcW w:w="2340" w:type="dxa"/>
          </w:tcPr>
          <w:p w14:paraId="07A6112B" w14:textId="77777777" w:rsidR="00CC4293" w:rsidRDefault="00CC4293" w:rsidP="00C263EF">
            <w:r>
              <w:t>PROHIBITED. Inform customer of official SOP.</w:t>
            </w:r>
          </w:p>
        </w:tc>
        <w:tc>
          <w:tcPr>
            <w:tcW w:w="2340" w:type="dxa"/>
          </w:tcPr>
          <w:p w14:paraId="08ED5EEA" w14:textId="77777777" w:rsidR="00CC4293" w:rsidRDefault="00CC4293" w:rsidP="00C263EF">
            <w:r>
              <w:t>Full financial reconciliation authority.</w:t>
            </w:r>
          </w:p>
        </w:tc>
        <w:tc>
          <w:tcPr>
            <w:tcW w:w="2340" w:type="dxa"/>
          </w:tcPr>
          <w:p w14:paraId="155EE4A4" w14:textId="77777777" w:rsidR="00CC4293" w:rsidRDefault="00CC4293" w:rsidP="00C263EF">
            <w:r>
              <w:t>Tool absence; adversarial boundary traps</w:t>
            </w:r>
          </w:p>
        </w:tc>
      </w:tr>
    </w:tbl>
    <w:p w14:paraId="7587F0C2" w14:textId="77777777" w:rsidR="00CC4293" w:rsidRDefault="00CC4293" w:rsidP="00CC4293">
      <w:pPr>
        <w:pStyle w:val="Heading1"/>
      </w:pPr>
      <w:r>
        <w:t>3. System Architecture</w:t>
      </w:r>
    </w:p>
    <w:p w14:paraId="7B2C4047" w14:textId="77777777" w:rsidR="00CC4293" w:rsidRDefault="00CC4293" w:rsidP="00CC4293">
      <w:proofErr w:type="spellStart"/>
      <w:r>
        <w:t>UtiliCare</w:t>
      </w:r>
      <w:proofErr w:type="spellEnd"/>
      <w:r>
        <w:t xml:space="preserve"> employs a layered, decoupled architecture separating the presentation, orchestration, model, retrieval, and storage components:</w:t>
      </w:r>
      <w:r>
        <w:br/>
      </w:r>
      <w:r>
        <w:br/>
        <w:t>1. Decoupled Presentation Layer: Built with HTML5/Tailwind/Vanilla JS. The Customer Help-Desk Portal (GET /) provides an intuitive conversational interface without internal debug data. The Supervisor Operations Console (GET /supervisor) provides real-time ticket queues, one-click Approve/Reject actions, and a full 5-stage agent execution trace visualizer.</w:t>
      </w:r>
      <w:r>
        <w:br/>
        <w:t>2. API &amp; Orchestration Layer (</w:t>
      </w:r>
      <w:proofErr w:type="spellStart"/>
      <w:r>
        <w:t>FastAPI</w:t>
      </w:r>
      <w:proofErr w:type="spellEnd"/>
      <w:r>
        <w:t>): Houses the bounded agent loop (bounded_agent.py) and deterministic tool validation (orchestrator.py). Enforces tool schemas and permission boundaries.</w:t>
      </w:r>
      <w:r>
        <w:br/>
        <w:t xml:space="preserve">3. Foundation Model Layer: Interfaces with Gemini Flash / Flash Lite for structured reasoning and </w:t>
      </w:r>
      <w:r>
        <w:lastRenderedPageBreak/>
        <w:t>JSON contract emission, with local deterministic fallback during API degradation.</w:t>
      </w:r>
      <w:r>
        <w:br/>
        <w:t>4. Retrieval-Augmented Generation Layer (rag.py): Indexes 30 controlled SOP documents using keyword matching, BM25 scoring, and cosine similarity, returning top-k grounded chunks with similarity thresholds.</w:t>
      </w:r>
      <w:r>
        <w:br/>
        <w:t>5. Working Memory &amp; State Storage (memory.py): Persists case session history in data/</w:t>
      </w:r>
      <w:proofErr w:type="spellStart"/>
      <w:r>
        <w:t>case_memory.json</w:t>
      </w:r>
      <w:proofErr w:type="spellEnd"/>
      <w:r>
        <w:t xml:space="preserve"> while isolating memory lookups from LLM input prompts to prevent prompt-injection escalation.</w:t>
      </w:r>
    </w:p>
    <w:p w14:paraId="6BAAE318" w14:textId="77777777" w:rsidR="00CC4293" w:rsidRDefault="00CC4293" w:rsidP="00CC4293">
      <w:pPr>
        <w:pStyle w:val="Heading1"/>
      </w:pPr>
      <w:r>
        <w:t>4. Foundation Model and Prompt Engineering</w:t>
      </w:r>
    </w:p>
    <w:p w14:paraId="15D700F0" w14:textId="77777777" w:rsidR="00CC4293" w:rsidRDefault="00CC4293" w:rsidP="00CC4293">
      <w:r>
        <w:t>4.1 Model Selection Rationale</w:t>
      </w:r>
      <w:r>
        <w:br/>
        <w:t>The project selected Google Gemini Flash (and Flash Lite) due to its high JSON schema fidelity, low token generation latency (sub-2.0s), and cost-effective free tier. While proprietary larger models (e.g. Claude 3.5 Sonnet) provide strong reasoning, lightweight models paired with strict prompt contracts achieve identical classification accuracy at 1/10th the latency.</w:t>
      </w:r>
      <w:r>
        <w:br/>
      </w:r>
      <w:r>
        <w:br/>
        <w:t>4.2 Prompt Architecture and Version History</w:t>
      </w:r>
      <w:r>
        <w:br/>
        <w:t>All system prompts are strictly versioned in prompts/prompt_spec.md and tracked in prompts/CHANGELOG.md:</w:t>
      </w:r>
      <w:r>
        <w:br/>
        <w:t>• v1.0 (Baseline Triage): Basic classification prompt. Suffered from occasional conversational filler and missing fields.</w:t>
      </w:r>
      <w:r>
        <w:br/>
        <w:t xml:space="preserve">• v1.1 (Structured JSON Contract): Enforced strict JSON output schema containing category, confidence, </w:t>
      </w:r>
      <w:proofErr w:type="spellStart"/>
      <w:r>
        <w:t>needs_tools</w:t>
      </w:r>
      <w:proofErr w:type="spellEnd"/>
      <w:r>
        <w:t xml:space="preserve">, </w:t>
      </w:r>
      <w:proofErr w:type="spellStart"/>
      <w:r>
        <w:t>response_text</w:t>
      </w:r>
      <w:proofErr w:type="spellEnd"/>
      <w:r>
        <w:t xml:space="preserve">, and </w:t>
      </w:r>
      <w:proofErr w:type="spellStart"/>
      <w:r>
        <w:t>grounding_sources</w:t>
      </w:r>
      <w:proofErr w:type="spellEnd"/>
      <w:r>
        <w:t>.</w:t>
      </w:r>
      <w:r>
        <w:br/>
        <w:t xml:space="preserve">• v1.2 (Tool Integration): Added few-shot examples for </w:t>
      </w:r>
      <w:proofErr w:type="spellStart"/>
      <w:r>
        <w:t>get_outage_status</w:t>
      </w:r>
      <w:proofErr w:type="spellEnd"/>
      <w:r>
        <w:t xml:space="preserve"> and </w:t>
      </w:r>
      <w:proofErr w:type="spellStart"/>
      <w:r>
        <w:t>draft_ticket</w:t>
      </w:r>
      <w:proofErr w:type="spellEnd"/>
      <w:r>
        <w:t xml:space="preserve"> function calling.</w:t>
      </w:r>
      <w:r>
        <w:br/>
        <w:t>• v1.3 (Adversarial Hardening): Embedded explicit system constraints instructing the model to reject meter tampering instructions, refuse bill adjustment promises, and output strictly JSON without markdown delimiters.</w:t>
      </w:r>
    </w:p>
    <w:p w14:paraId="744BBC58" w14:textId="77777777" w:rsidR="00CC4293" w:rsidRDefault="00CC4293" w:rsidP="00CC4293">
      <w:pPr>
        <w:pStyle w:val="Heading1"/>
      </w:pPr>
      <w:r>
        <w:t>5. Context Engineering and RAG</w:t>
      </w:r>
    </w:p>
    <w:p w14:paraId="18856EE9" w14:textId="77777777" w:rsidR="00CC4293" w:rsidRDefault="00CC4293" w:rsidP="00CC4293">
      <w:r>
        <w:t>5.1 Controlled Corpus &amp; Provenance Register</w:t>
      </w:r>
      <w:r>
        <w:br/>
      </w:r>
      <w:proofErr w:type="spellStart"/>
      <w:r>
        <w:t>UtiliCare</w:t>
      </w:r>
      <w:proofErr w:type="spellEnd"/>
      <w:r>
        <w:t xml:space="preserve"> uses a controlled 30-document corpus (KB-001 through KB-030) stored in knowledge/corpus/. Document provenance, authoring date, utility domain (electricity/water), and source URLs/SOP codes are registered in knowledge/source_register.csv. Documents cover shock hazards, water leak protocols, prepaid meter token faults, and billing dispute SOPs.</w:t>
      </w:r>
      <w:r>
        <w:br/>
      </w:r>
      <w:r>
        <w:br/>
        <w:t>5.2 Retrieval Approach &amp; Grounding Thresholds</w:t>
      </w:r>
      <w:r>
        <w:br/>
        <w:t>Retriever implementation (</w:t>
      </w:r>
      <w:proofErr w:type="spellStart"/>
      <w:r>
        <w:t>src</w:t>
      </w:r>
      <w:proofErr w:type="spellEnd"/>
      <w:r>
        <w:t xml:space="preserve">/rag.py) uses TF-IDF vectorization and tokenized n-gram keyword overlap. Chunks are scored against customer query terms. If the highest similarity score falls below the confidence threshold (0.25), the retriever explicitly returns </w:t>
      </w:r>
      <w:proofErr w:type="spellStart"/>
      <w:r>
        <w:lastRenderedPageBreak/>
        <w:t>GroundingStatus.INSUFFICIENT_EVIDENCE</w:t>
      </w:r>
      <w:proofErr w:type="spellEnd"/>
      <w:r>
        <w:t>. This deterministic gate prevents the downstream model from fabricating advice when utility documentation is silent on an issue.</w:t>
      </w:r>
      <w:r>
        <w:br/>
      </w:r>
      <w:r>
        <w:br/>
        <w:t>5.3 Documented Retrieval Failures and Fixes</w:t>
      </w:r>
      <w:r>
        <w:br/>
        <w:t>• Failure 1: Cross-utility ambiguity (e.g., query mentioning leaking pipe in a power substation). Fixed by applying dual-domain tag filtering.</w:t>
      </w:r>
      <w:r>
        <w:br/>
        <w:t>• Failure 2: Synonym mismatch (e.g., 'blackout' vs 'outage'). Fixed by augmenting the corpus tokenizer with Uganda-specific utility term aliases (Umeme, NWSC, Yaka, Feeder).</w:t>
      </w:r>
    </w:p>
    <w:p w14:paraId="51FCACB2" w14:textId="77777777" w:rsidR="00CC4293" w:rsidRDefault="00CC4293" w:rsidP="00CC4293">
      <w:pPr>
        <w:pStyle w:val="Heading1"/>
      </w:pPr>
      <w:r>
        <w:t>6. Tools and Agentic Workflow</w:t>
      </w:r>
    </w:p>
    <w:p w14:paraId="657A1083" w14:textId="77777777" w:rsidR="00CC4293" w:rsidRDefault="00CC4293" w:rsidP="00CC4293">
      <w:r>
        <w:t>6.1 Tool Contracts &amp; Schemas</w:t>
      </w:r>
      <w:r>
        <w:br/>
      </w:r>
      <w:proofErr w:type="spellStart"/>
      <w:r>
        <w:t>UtiliCare</w:t>
      </w:r>
      <w:proofErr w:type="spellEnd"/>
      <w:r>
        <w:t xml:space="preserve"> registers exactly two tools in src/tools.py under a strict allow-list:</w:t>
      </w:r>
      <w:r>
        <w:br/>
        <w:t xml:space="preserve">1. </w:t>
      </w:r>
      <w:proofErr w:type="spellStart"/>
      <w:r>
        <w:t>get_outage_status</w:t>
      </w:r>
      <w:proofErr w:type="spellEnd"/>
      <w:r>
        <w:t>(</w:t>
      </w:r>
      <w:proofErr w:type="spellStart"/>
      <w:r>
        <w:t>area_code</w:t>
      </w:r>
      <w:proofErr w:type="spellEnd"/>
      <w:r>
        <w:t>: str): Returns grid feeder operational state, affected zones, and estimated restoration times.</w:t>
      </w:r>
      <w:r>
        <w:br/>
        <w:t xml:space="preserve">2. </w:t>
      </w:r>
      <w:proofErr w:type="spellStart"/>
      <w:r>
        <w:t>draft_ticket</w:t>
      </w:r>
      <w:proofErr w:type="spellEnd"/>
      <w:r>
        <w:t xml:space="preserve">(category: str, priority: str, summary: str, </w:t>
      </w:r>
      <w:proofErr w:type="spellStart"/>
      <w:r>
        <w:t>area_code</w:t>
      </w:r>
      <w:proofErr w:type="spellEnd"/>
      <w:r>
        <w:t xml:space="preserve">: str): Inserts an unconfirmed service request. Hardcodes status: </w:t>
      </w:r>
      <w:proofErr w:type="spellStart"/>
      <w:r>
        <w:t>pending_approval</w:t>
      </w:r>
      <w:proofErr w:type="spellEnd"/>
      <w:r>
        <w:t>.</w:t>
      </w:r>
      <w:r>
        <w:br/>
      </w:r>
      <w:r>
        <w:br/>
        <w:t>6.2 Sense-Plan-Act-Observe-Stop Bounded Agent Loop</w:t>
      </w:r>
      <w:r>
        <w:br/>
        <w:t>The core engine (</w:t>
      </w:r>
      <w:proofErr w:type="spellStart"/>
      <w:r>
        <w:t>src</w:t>
      </w:r>
      <w:proofErr w:type="spellEnd"/>
      <w:r>
        <w:t>/bounded_agent.py) executes a formal 5-step lifecycle:</w:t>
      </w:r>
      <w:r>
        <w:br/>
        <w:t>• Step 1 (Sense): Ingest customer message, retrieve top-k grounded SOP documents from RAG.</w:t>
      </w:r>
      <w:r>
        <w:br/>
        <w:t>• Step 2 (Plan): Model evaluates query + context, generating structured classification and determining if tools are required.</w:t>
      </w:r>
      <w:r>
        <w:br/>
        <w:t>• Step 3 (Act): Deterministic orchestrator validates tool parameters against JSON schema; executes approved tool.</w:t>
      </w:r>
      <w:r>
        <w:br/>
        <w:t>• Step 4 (Observe): Results of tool execution are ingested into agent state.</w:t>
      </w:r>
      <w:r>
        <w:br/>
        <w:t>• Step 5 (Stop/Re-plan): The agent stops if ticket is drafted (</w:t>
      </w:r>
      <w:proofErr w:type="spellStart"/>
      <w:r>
        <w:t>ticket_drafted_pending_approval</w:t>
      </w:r>
      <w:proofErr w:type="spellEnd"/>
      <w:r>
        <w:t>), inquiry is answered, or iteration count reaches MAX_ITERATIONS = 3.</w:t>
      </w:r>
    </w:p>
    <w:p w14:paraId="16D8685B" w14:textId="77777777" w:rsidR="00CC4293" w:rsidRDefault="00CC4293" w:rsidP="00CC4293">
      <w:pPr>
        <w:pStyle w:val="Heading1"/>
      </w:pPr>
      <w:r>
        <w:t>7. Memory, State and Interoperability</w:t>
      </w:r>
    </w:p>
    <w:p w14:paraId="07281AB7" w14:textId="77777777" w:rsidR="00CC4293" w:rsidRDefault="00CC4293" w:rsidP="00CC4293">
      <w:r>
        <w:t>7.1 Workflow State Model</w:t>
      </w:r>
      <w:r>
        <w:br/>
        <w:t xml:space="preserve">The agent maintains an explicit immutable state dictionary per inquiry: {iteration, </w:t>
      </w:r>
      <w:proofErr w:type="spellStart"/>
      <w:r>
        <w:t>customer_id</w:t>
      </w:r>
      <w:proofErr w:type="spellEnd"/>
      <w:r>
        <w:t xml:space="preserve">, category, confidence, </w:t>
      </w:r>
      <w:proofErr w:type="spellStart"/>
      <w:r>
        <w:t>retrieved_sources</w:t>
      </w:r>
      <w:proofErr w:type="spellEnd"/>
      <w:r>
        <w:t xml:space="preserve">, </w:t>
      </w:r>
      <w:proofErr w:type="spellStart"/>
      <w:r>
        <w:t>tool_calls</w:t>
      </w:r>
      <w:proofErr w:type="spellEnd"/>
      <w:r>
        <w:t xml:space="preserve">, </w:t>
      </w:r>
      <w:proofErr w:type="spellStart"/>
      <w:r>
        <w:t>execution_trace</w:t>
      </w:r>
      <w:proofErr w:type="spellEnd"/>
      <w:r>
        <w:t xml:space="preserve">, </w:t>
      </w:r>
      <w:proofErr w:type="spellStart"/>
      <w:r>
        <w:t>stop_reason</w:t>
      </w:r>
      <w:proofErr w:type="spellEnd"/>
      <w:r>
        <w:t>}.</w:t>
      </w:r>
      <w:r>
        <w:br/>
      </w:r>
      <w:r>
        <w:br/>
        <w:t>7.2 Justified Working Memory &amp; Safety Isolation</w:t>
      </w:r>
      <w:r>
        <w:br/>
        <w:t>Working memory (</w:t>
      </w:r>
      <w:proofErr w:type="spellStart"/>
      <w:r>
        <w:t>src</w:t>
      </w:r>
      <w:proofErr w:type="spellEnd"/>
      <w:r>
        <w:t xml:space="preserve">/memory.py) allows operators to recall previous interactions across multi-turn sessions (e.g., linking a follow-up inquiry to an earlier ticket draft). Crucially, </w:t>
      </w:r>
      <w:proofErr w:type="spellStart"/>
      <w:r>
        <w:t>UtiliCare</w:t>
      </w:r>
      <w:proofErr w:type="spellEnd"/>
      <w:r>
        <w:t xml:space="preserve"> enforces Memory Prompt Isolation: memory records are indexed deterministically for operator inspection but are never concatenated into the raw LLM prompt. This architectural firewall guarantees that adversarial instructions injected into past customer comments cannot manipulate future model </w:t>
      </w:r>
      <w:r>
        <w:lastRenderedPageBreak/>
        <w:t>decisions.</w:t>
      </w:r>
      <w:r>
        <w:br/>
      </w:r>
      <w:r>
        <w:br/>
        <w:t>7.3 Model Context Protocol (MCP) Interoperability</w:t>
      </w:r>
      <w:r>
        <w:br/>
        <w:t xml:space="preserve">To support future utility enterprise integrations, the </w:t>
      </w:r>
      <w:proofErr w:type="spellStart"/>
      <w:r>
        <w:t>get_outage_status</w:t>
      </w:r>
      <w:proofErr w:type="spellEnd"/>
      <w:r>
        <w:t xml:space="preserve"> capability is fully specified as an MCP-compliant server (docs/requirements/MCP_Interface_Specification_get_outage_status.docx), standardizing resource URI naming, JSON-RPC 2.0 transport, and read-only permission scopes.</w:t>
      </w:r>
    </w:p>
    <w:p w14:paraId="2895A60A" w14:textId="77777777" w:rsidR="00CC4293" w:rsidRDefault="00CC4293" w:rsidP="00CC4293">
      <w:pPr>
        <w:pStyle w:val="Heading1"/>
      </w:pPr>
      <w:r>
        <w:t>8. Evaluation, Observability and Guardrails</w:t>
      </w:r>
    </w:p>
    <w:p w14:paraId="100F9305" w14:textId="77777777" w:rsidR="00CC4293" w:rsidRDefault="00CC4293" w:rsidP="00CC4293">
      <w:r>
        <w:t>8.1 37-Scenario Deterministic Evaluation Benchmark</w:t>
      </w:r>
      <w:r>
        <w:br/>
        <w:t>Evaluation was conducted using tests/</w:t>
      </w:r>
      <w:proofErr w:type="spellStart"/>
      <w:r>
        <w:t>extended_evaluation_cases.json</w:t>
      </w:r>
      <w:proofErr w:type="spellEnd"/>
      <w:r>
        <w:t xml:space="preserve"> and executed via tests/run_extended_eval.py. The benchmark assesses 6 comprehensive test classes:</w:t>
      </w:r>
      <w:r>
        <w:br/>
        <w:t>1. Normal Requests (8/8 passed, 100%): Correct category routing, SOP retrieval, and ticket drafting.</w:t>
      </w:r>
      <w:r>
        <w:br/>
        <w:t>2. Edge Cases (6/6 passed, 100%): Gibberish queries intercepted; ambiguous issues routed for clarification.</w:t>
      </w:r>
      <w:r>
        <w:br/>
        <w:t>3. Incorrect Information (6/6 passed, 100%): Untrue claims debunked; invalid gas utility queries rejected.</w:t>
      </w:r>
      <w:r>
        <w:br/>
        <w:t>4. Adversarial Inputs (6/6 passed, 100%): System prompt extraction and tool overrides blocked.</w:t>
      </w:r>
      <w:r>
        <w:br/>
        <w:t>5. Tool Backend Failures (5/5 passed, 100%): Network timeouts and malformed payloads handled gracefully.</w:t>
      </w:r>
      <w:r>
        <w:br/>
        <w:t>6. Unauthorized Actions (6/6 passed, 100%): Prohibited bill waivers and bypass attempts blocked.</w:t>
      </w:r>
      <w:r>
        <w:br/>
        <w:t xml:space="preserve">Overall benchmark result: 37/37 passed (100%), 0 safety violations, max latency 22.0 </w:t>
      </w:r>
      <w:proofErr w:type="spellStart"/>
      <w:r>
        <w:t>ms.</w:t>
      </w:r>
      <w:proofErr w:type="spellEnd"/>
      <w:r>
        <w:br/>
      </w:r>
      <w:r>
        <w:br/>
        <w:t>8.2 Observability &amp; Tracing Subsystem</w:t>
      </w:r>
      <w:r>
        <w:br/>
        <w:t>Every request generates a full JSON execution trace capturing iteration index, prompt version, tool execution times, provider error status, and stop reason. In the Supervisor Console, operators can expand any ticket to inspect this trace in an interactive drawer.</w:t>
      </w:r>
      <w:r>
        <w:br/>
      </w:r>
      <w:r>
        <w:br/>
        <w:t>8.3 Failure Catalogue and Remediation</w:t>
      </w:r>
      <w:r>
        <w:br/>
        <w:t xml:space="preserve">Ten genuine failure modes (FC-01 through FC-10) were identified during testing, catalogued in docs/evaluation/Failure_Catalogue_and_Remediation_Evidence.md, and verified with re-test assertions. Key remediations include </w:t>
      </w:r>
      <w:proofErr w:type="spellStart"/>
      <w:r>
        <w:t>enum</w:t>
      </w:r>
      <w:proofErr w:type="spellEnd"/>
      <w:r>
        <w:t xml:space="preserve"> whitelisting, JSON parsing hardening, and token exhaustion fallback.</w:t>
      </w:r>
    </w:p>
    <w:p w14:paraId="4087E1EF" w14:textId="77777777" w:rsidR="00CC4293" w:rsidRDefault="00CC4293" w:rsidP="00CC4293">
      <w:pPr>
        <w:pStyle w:val="Heading1"/>
      </w:pPr>
      <w:r>
        <w:t>9. Software Engineering Quality and Deployment</w:t>
      </w:r>
    </w:p>
    <w:p w14:paraId="37F373BA" w14:textId="77777777" w:rsidR="00CC4293" w:rsidRDefault="00CC4293" w:rsidP="00CC4293">
      <w:r>
        <w:t>9.1 Code Quality &amp; Unit Testing</w:t>
      </w:r>
      <w:r>
        <w:br/>
        <w:t xml:space="preserve">The codebase adheres to PEP 8 standards with modular decoupling. The automated </w:t>
      </w:r>
      <w:proofErr w:type="spellStart"/>
      <w:r>
        <w:t>pytest</w:t>
      </w:r>
      <w:proofErr w:type="spellEnd"/>
      <w:r>
        <w:t xml:space="preserve"> suite (tests/test_tools.py, tests/test_contract_validation.py, tests/test_bounded_agent_mock.py, </w:t>
      </w:r>
      <w:r>
        <w:lastRenderedPageBreak/>
        <w:t>tests/test_week6_working_memory.py) achieves 13/13 passed tests in under 4 seconds.</w:t>
      </w:r>
      <w:r>
        <w:br/>
      </w:r>
      <w:r>
        <w:br/>
        <w:t>9.2 Configuration &amp; Secret Management</w:t>
      </w:r>
      <w:r>
        <w:br/>
        <w:t>Environment variables are strictly isolated via python-</w:t>
      </w:r>
      <w:proofErr w:type="spellStart"/>
      <w:r>
        <w:t>dotenv</w:t>
      </w:r>
      <w:proofErr w:type="spellEnd"/>
      <w:r>
        <w:t>. The repository contains .</w:t>
      </w:r>
      <w:proofErr w:type="spellStart"/>
      <w:r>
        <w:t>env.example</w:t>
      </w:r>
      <w:proofErr w:type="spellEnd"/>
      <w:r>
        <w:t xml:space="preserve"> with dummy placeholders. The .</w:t>
      </w:r>
      <w:proofErr w:type="spellStart"/>
      <w:r>
        <w:t>gitignore</w:t>
      </w:r>
      <w:proofErr w:type="spellEnd"/>
      <w:r>
        <w:t xml:space="preserve"> excludes .env, runtime databases (data/</w:t>
      </w:r>
      <w:proofErr w:type="spellStart"/>
      <w:r>
        <w:t>case_memory.json</w:t>
      </w:r>
      <w:proofErr w:type="spellEnd"/>
      <w:r>
        <w:t>), and virtual environments.</w:t>
      </w:r>
      <w:r>
        <w:br/>
      </w:r>
      <w:r>
        <w:br/>
        <w:t>9.3 Reproducibility &amp; Deployment</w:t>
      </w:r>
      <w:r>
        <w:br/>
        <w:t xml:space="preserve">The project is tagged at v1.0.0 on Git. Setup is fully automated via requirements.txt and documented in README.md. The API server runs locally via </w:t>
      </w:r>
      <w:proofErr w:type="spellStart"/>
      <w:r>
        <w:t>uvicorn</w:t>
      </w:r>
      <w:proofErr w:type="spellEnd"/>
      <w:r>
        <w:t xml:space="preserve"> </w:t>
      </w:r>
      <w:proofErr w:type="spellStart"/>
      <w:r>
        <w:t>src.main:app</w:t>
      </w:r>
      <w:proofErr w:type="spellEnd"/>
      <w:r>
        <w:t xml:space="preserve"> --reload.</w:t>
      </w:r>
      <w:r>
        <w:br/>
      </w:r>
      <w:r>
        <w:br/>
        <w:t>9.4 Team Task Allocation and Deliverable Governance</w:t>
      </w:r>
      <w:r>
        <w:br/>
        <w:t>The final capstone release represents coordinated engineering across all five group members, structured explicitly as follows:</w:t>
      </w:r>
    </w:p>
    <w:tbl>
      <w:tblPr>
        <w:tblStyle w:val="TableGrid"/>
        <w:tblW w:w="0" w:type="auto"/>
        <w:tblLook w:val="04A0" w:firstRow="1" w:lastRow="0" w:firstColumn="1" w:lastColumn="0" w:noHBand="0" w:noVBand="1"/>
      </w:tblPr>
      <w:tblGrid>
        <w:gridCol w:w="3118"/>
        <w:gridCol w:w="3116"/>
        <w:gridCol w:w="3116"/>
      </w:tblGrid>
      <w:tr w:rsidR="00CC4293" w14:paraId="2228C8F9" w14:textId="77777777" w:rsidTr="00DE6732">
        <w:tc>
          <w:tcPr>
            <w:tcW w:w="3120" w:type="dxa"/>
          </w:tcPr>
          <w:p w14:paraId="11AB819D" w14:textId="77777777" w:rsidR="00CC4293" w:rsidRDefault="00CC4293" w:rsidP="00C263EF">
            <w:r>
              <w:t>Deliverable</w:t>
            </w:r>
          </w:p>
        </w:tc>
        <w:tc>
          <w:tcPr>
            <w:tcW w:w="3120" w:type="dxa"/>
          </w:tcPr>
          <w:p w14:paraId="7B980BBE" w14:textId="77777777" w:rsidR="00CC4293" w:rsidRDefault="00CC4293" w:rsidP="00C263EF">
            <w:r>
              <w:t>Requirements</w:t>
            </w:r>
          </w:p>
        </w:tc>
        <w:tc>
          <w:tcPr>
            <w:tcW w:w="3120" w:type="dxa"/>
          </w:tcPr>
          <w:p w14:paraId="13078292" w14:textId="77777777" w:rsidR="00CC4293" w:rsidRDefault="00CC4293" w:rsidP="00C263EF">
            <w:r>
              <w:t>Assigned Member</w:t>
            </w:r>
          </w:p>
        </w:tc>
      </w:tr>
      <w:tr w:rsidR="00CC4293" w14:paraId="76BDC328" w14:textId="77777777" w:rsidTr="00DE6732">
        <w:tc>
          <w:tcPr>
            <w:tcW w:w="3120" w:type="dxa"/>
          </w:tcPr>
          <w:p w14:paraId="11B2B933" w14:textId="77777777" w:rsidR="00CC4293" w:rsidRDefault="00CC4293" w:rsidP="00C263EF">
            <w:r>
              <w:t>Final tagged release and README/run instructions</w:t>
            </w:r>
          </w:p>
        </w:tc>
        <w:tc>
          <w:tcPr>
            <w:tcW w:w="3120" w:type="dxa"/>
          </w:tcPr>
          <w:p w14:paraId="10778A9C" w14:textId="77777777" w:rsidR="00CC4293" w:rsidRDefault="00CC4293" w:rsidP="00C263EF">
            <w:r>
              <w:t>Fix critical defects, document known limitations, tag a release, and make it runnable from a clean clone</w:t>
            </w:r>
          </w:p>
        </w:tc>
        <w:tc>
          <w:tcPr>
            <w:tcW w:w="3120" w:type="dxa"/>
          </w:tcPr>
          <w:p w14:paraId="550D352C" w14:textId="77777777" w:rsidR="00CC4293" w:rsidRDefault="00CC4293" w:rsidP="00C263EF">
            <w:r>
              <w:t>Mubiru Umar</w:t>
            </w:r>
          </w:p>
        </w:tc>
      </w:tr>
      <w:tr w:rsidR="00CC4293" w14:paraId="14FD9867" w14:textId="77777777" w:rsidTr="00DE6732">
        <w:tc>
          <w:tcPr>
            <w:tcW w:w="3120" w:type="dxa"/>
          </w:tcPr>
          <w:p w14:paraId="68F4BE21" w14:textId="77777777" w:rsidR="00CC4293" w:rsidRDefault="00CC4293" w:rsidP="00C263EF">
            <w:r>
              <w:t>Final engineering report (8-12 pages, excluding appendices)</w:t>
            </w:r>
          </w:p>
        </w:tc>
        <w:tc>
          <w:tcPr>
            <w:tcW w:w="3120" w:type="dxa"/>
          </w:tcPr>
          <w:p w14:paraId="102EE7B6" w14:textId="77777777" w:rsidR="00CC4293" w:rsidRDefault="00CC4293" w:rsidP="00C263EF">
            <w:r>
              <w:t>Ten sections from the brief's template, plus references and appendices</w:t>
            </w:r>
          </w:p>
        </w:tc>
        <w:tc>
          <w:tcPr>
            <w:tcW w:w="3120" w:type="dxa"/>
          </w:tcPr>
          <w:p w14:paraId="727BDDEC" w14:textId="77777777" w:rsidR="00CC4293" w:rsidRDefault="00CC4293" w:rsidP="00C263EF">
            <w:r>
              <w:t>Everyone (All Members)</w:t>
            </w:r>
          </w:p>
        </w:tc>
      </w:tr>
      <w:tr w:rsidR="00CC4293" w14:paraId="24FD4341" w14:textId="77777777" w:rsidTr="00DE6732">
        <w:tc>
          <w:tcPr>
            <w:tcW w:w="3120" w:type="dxa"/>
          </w:tcPr>
          <w:p w14:paraId="5FCC7006" w14:textId="77777777" w:rsidR="00CC4293" w:rsidRDefault="00CC4293" w:rsidP="00C263EF">
            <w:r>
              <w:t>Final evaluation/evidence pack</w:t>
            </w:r>
          </w:p>
        </w:tc>
        <w:tc>
          <w:tcPr>
            <w:tcW w:w="3120" w:type="dxa"/>
          </w:tcPr>
          <w:p w14:paraId="40F27065" w14:textId="77777777" w:rsidR="00CC4293" w:rsidRDefault="00CC4293" w:rsidP="00C263EF">
            <w:r>
              <w:t>Evaluation results, traces, the Failure Catalogue, and screenshots</w:t>
            </w:r>
          </w:p>
        </w:tc>
        <w:tc>
          <w:tcPr>
            <w:tcW w:w="3120" w:type="dxa"/>
          </w:tcPr>
          <w:p w14:paraId="2FCEA0D8" w14:textId="77777777" w:rsidR="00CC4293" w:rsidRDefault="00CC4293" w:rsidP="00C263EF">
            <w:r>
              <w:t>Nankunda Lilian</w:t>
            </w:r>
          </w:p>
        </w:tc>
      </w:tr>
      <w:tr w:rsidR="00CC4293" w14:paraId="1484C982" w14:textId="77777777" w:rsidTr="00DE6732">
        <w:tc>
          <w:tcPr>
            <w:tcW w:w="3120" w:type="dxa"/>
          </w:tcPr>
          <w:p w14:paraId="2309E4B7" w14:textId="77777777" w:rsidR="00CC4293" w:rsidRDefault="00CC4293" w:rsidP="00C263EF">
            <w:r>
              <w:t>Presentation deck and live demonstration</w:t>
            </w:r>
          </w:p>
        </w:tc>
        <w:tc>
          <w:tcPr>
            <w:tcW w:w="3120" w:type="dxa"/>
          </w:tcPr>
          <w:p w14:paraId="4D97FAA0" w14:textId="77777777" w:rsidR="00CC4293" w:rsidRDefault="00CC4293" w:rsidP="00C263EF">
            <w:r>
              <w:t>12-15 minutes, built around a real demo</w:t>
            </w:r>
          </w:p>
        </w:tc>
        <w:tc>
          <w:tcPr>
            <w:tcW w:w="3120" w:type="dxa"/>
          </w:tcPr>
          <w:p w14:paraId="5A76A42A" w14:textId="77777777" w:rsidR="00CC4293" w:rsidRDefault="00CC4293" w:rsidP="00C263EF">
            <w:proofErr w:type="spellStart"/>
            <w:r>
              <w:t>Arok</w:t>
            </w:r>
            <w:proofErr w:type="spellEnd"/>
            <w:r>
              <w:t xml:space="preserve"> John Mayen &amp; Khot </w:t>
            </w:r>
            <w:proofErr w:type="spellStart"/>
            <w:r>
              <w:t>Adet</w:t>
            </w:r>
            <w:proofErr w:type="spellEnd"/>
            <w:r>
              <w:t xml:space="preserve"> </w:t>
            </w:r>
            <w:proofErr w:type="spellStart"/>
            <w:r>
              <w:t>Majuong</w:t>
            </w:r>
            <w:proofErr w:type="spellEnd"/>
          </w:p>
        </w:tc>
      </w:tr>
      <w:tr w:rsidR="00CC4293" w14:paraId="7A60B8EA" w14:textId="77777777" w:rsidTr="00DE6732">
        <w:tc>
          <w:tcPr>
            <w:tcW w:w="3120" w:type="dxa"/>
          </w:tcPr>
          <w:p w14:paraId="4533496E" w14:textId="77777777" w:rsidR="00CC4293" w:rsidRDefault="00CC4293" w:rsidP="00C263EF">
            <w:r>
              <w:t xml:space="preserve">Completed </w:t>
            </w:r>
            <w:proofErr w:type="spellStart"/>
            <w:r>
              <w:t>ClickUp</w:t>
            </w:r>
            <w:proofErr w:type="spellEnd"/>
            <w:r>
              <w:t xml:space="preserve"> board and repository evidence</w:t>
            </w:r>
          </w:p>
        </w:tc>
        <w:tc>
          <w:tcPr>
            <w:tcW w:w="3120" w:type="dxa"/>
          </w:tcPr>
          <w:p w14:paraId="5B94EC8E" w14:textId="77777777" w:rsidR="00CC4293" w:rsidRDefault="00CC4293" w:rsidP="00C263EF">
            <w:r>
              <w:t>Tasks closed and linked to PRs and commits</w:t>
            </w:r>
          </w:p>
        </w:tc>
        <w:tc>
          <w:tcPr>
            <w:tcW w:w="3120" w:type="dxa"/>
          </w:tcPr>
          <w:p w14:paraId="7B43FD7E" w14:textId="77777777" w:rsidR="00CC4293" w:rsidRDefault="00CC4293" w:rsidP="00C263EF">
            <w:proofErr w:type="spellStart"/>
            <w:r>
              <w:t>Nomwesigwa</w:t>
            </w:r>
            <w:proofErr w:type="spellEnd"/>
            <w:r>
              <w:t xml:space="preserve"> Keith</w:t>
            </w:r>
          </w:p>
        </w:tc>
      </w:tr>
    </w:tbl>
    <w:p w14:paraId="6BA2E9CF" w14:textId="77777777" w:rsidR="00CC4293" w:rsidRDefault="00CC4293" w:rsidP="00CC4293">
      <w:pPr>
        <w:pStyle w:val="Heading1"/>
      </w:pPr>
      <w:r>
        <w:t>10. Results, Limitations and Professional Reflection</w:t>
      </w:r>
    </w:p>
    <w:p w14:paraId="63F08D54" w14:textId="77777777" w:rsidR="00CC4293" w:rsidRDefault="00CC4293" w:rsidP="00CC4293">
      <w:r>
        <w:t>10.1 Key Findings: What Works and What Does Not</w:t>
      </w:r>
      <w:r>
        <w:br/>
        <w:t xml:space="preserve">• What Works: </w:t>
      </w:r>
      <w:proofErr w:type="spellStart"/>
      <w:r>
        <w:t>UtiliCare</w:t>
      </w:r>
      <w:proofErr w:type="spellEnd"/>
      <w:r>
        <w:t xml:space="preserve"> proves that foundation models can be safely utilized in high-stakes public utility environments when wrapped in deterministic software contracts. Intent classification and SOP retrieval operate with 100% grounding accuracy.</w:t>
      </w:r>
      <w:r>
        <w:br/>
        <w:t xml:space="preserve">• What Does Not: Unconstrained multi-turn reasoning without schema boundaries quickly </w:t>
      </w:r>
      <w:r>
        <w:lastRenderedPageBreak/>
        <w:t>degrades. The agent cannot handle cross-lingual vernacular (Luganda) without dedicated fine-tuning or translated SOP corpora.</w:t>
      </w:r>
      <w:r>
        <w:br/>
      </w:r>
      <w:r>
        <w:br/>
        <w:t>10.2 Professional Reflection on AI-Native Engineering</w:t>
      </w:r>
      <w:r>
        <w:br/>
        <w:t>The most valuable engineering insight of this 8-week capstone is that 'autonomy is an architectural liability in safety-critical domains.' Professional AI engineering does not celebrate uninhibited agent agency; rather, it designs robust fences, deterministic oracles, and transparent human-machine interfaces.</w:t>
      </w:r>
    </w:p>
    <w:p w14:paraId="1E6AB558" w14:textId="77777777" w:rsidR="00CC4293" w:rsidRDefault="00CC4293" w:rsidP="00CC4293">
      <w:pPr>
        <w:pStyle w:val="Heading1"/>
      </w:pPr>
      <w:r>
        <w:t>References</w:t>
      </w:r>
    </w:p>
    <w:p w14:paraId="7EBBC509" w14:textId="77777777" w:rsidR="00CC4293" w:rsidRDefault="00CC4293" w:rsidP="00CC4293">
      <w:r>
        <w:t>1. Osmani, A. (2025). Beyond Vibe Coding: From Coder to AI-Era Developer. O’Reilly Media.</w:t>
      </w:r>
      <w:r>
        <w:br/>
        <w:t>2. Huyen, C. (2025). AI Engineering: Building Applications with Foundation Models. O’Reilly Media.</w:t>
      </w:r>
      <w:r>
        <w:br/>
        <w:t>3. Lanham, M. (2025). AI Agents in Action. Manning Publications.</w:t>
      </w:r>
      <w:r>
        <w:br/>
        <w:t>4. Anthropic. (2024). Model Context Protocol (MCP) Specification. https://modelcontextprotocol.io</w:t>
      </w:r>
      <w:r>
        <w:br/>
        <w:t>5. Google DeepMind. (2024). Gemini: A Family of Highly Capable Multimodal Models.</w:t>
      </w:r>
    </w:p>
    <w:p w14:paraId="0482E2D5" w14:textId="77777777" w:rsidR="00CC4293" w:rsidRDefault="00CC4293" w:rsidP="00CC4293">
      <w:pPr>
        <w:pStyle w:val="Heading1"/>
      </w:pPr>
      <w:r>
        <w:t>Appendices (Evidence &amp; Supplementary Artifacts)</w:t>
      </w:r>
    </w:p>
    <w:p w14:paraId="2C44C2E6" w14:textId="77777777" w:rsidR="00CC4293" w:rsidRDefault="00CC4293" w:rsidP="00CC4293">
      <w:r>
        <w:t>Appendix A: Detailed User Stories and Acceptance Criteria (docs/requirements/User_Stories_and_Acceptance_Criteria.docx)</w:t>
      </w:r>
      <w:r>
        <w:br/>
        <w:t>Appendix B: AI Boundary &amp; Permission Matrix (docs/requirements/AI_Boundary_Matrix.docx)</w:t>
      </w:r>
      <w:r>
        <w:br/>
        <w:t xml:space="preserve">Appendix C: Tool Catalog and </w:t>
      </w:r>
      <w:proofErr w:type="spellStart"/>
      <w:r>
        <w:t>Pydantic</w:t>
      </w:r>
      <w:proofErr w:type="spellEnd"/>
      <w:r>
        <w:t xml:space="preserve"> Schemas (docs/requirements/Tool_Catalogue_and_Schemas.docx)</w:t>
      </w:r>
      <w:r>
        <w:br/>
        <w:t>Appendix D: 37-Scenario Deterministic Benchmark Results (evidence/traces/extended_evaluation_results.csv)</w:t>
      </w:r>
      <w:r>
        <w:br/>
        <w:t>Appendix E: Failure Catalogue and Remediation Table (docs/evaluation/Failure_Catalogue_and_Remediation_Evidence.md)</w:t>
      </w:r>
      <w:r>
        <w:br/>
        <w:t>Appendix F: Execution Trace Samples (evidence/traces/week5_bounded_agent_trace.json)</w:t>
      </w:r>
      <w:r>
        <w:br/>
        <w:t>Appendix G: Final Presentation Deck &amp; Defense Guide (docs/presentation/FINAL_PRESENTATION_DECK.md)</w:t>
      </w:r>
    </w:p>
    <w:p w14:paraId="4518F6EF" w14:textId="77777777" w:rsidR="004A3207" w:rsidRDefault="004A3207"/>
    <w:sectPr w:rsidR="004A3207" w:rsidSect="00CC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293"/>
    <w:rsid w:val="004A2274"/>
    <w:rsid w:val="004A3207"/>
    <w:rsid w:val="004B117E"/>
    <w:rsid w:val="006A60A1"/>
    <w:rsid w:val="00AD6281"/>
    <w:rsid w:val="00AE1685"/>
    <w:rsid w:val="00BE191A"/>
    <w:rsid w:val="00CC4293"/>
    <w:rsid w:val="00D82F36"/>
    <w:rsid w:val="00DE6732"/>
    <w:rsid w:val="00EF178F"/>
    <w:rsid w:val="00F6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2778"/>
  <w15:chartTrackingRefBased/>
  <w15:docId w15:val="{A0C204EA-858A-4627-813A-DA3EAD97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29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C42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42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429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429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429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42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42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42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42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293"/>
    <w:rPr>
      <w:rFonts w:eastAsiaTheme="majorEastAsia" w:cstheme="majorBidi"/>
      <w:color w:val="272727" w:themeColor="text1" w:themeTint="D8"/>
    </w:rPr>
  </w:style>
  <w:style w:type="paragraph" w:styleId="Title">
    <w:name w:val="Title"/>
    <w:basedOn w:val="Normal"/>
    <w:next w:val="Normal"/>
    <w:link w:val="TitleChar"/>
    <w:uiPriority w:val="10"/>
    <w:qFormat/>
    <w:rsid w:val="00CC42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29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29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4293"/>
    <w:rPr>
      <w:i/>
      <w:iCs/>
      <w:color w:val="404040" w:themeColor="text1" w:themeTint="BF"/>
    </w:rPr>
  </w:style>
  <w:style w:type="paragraph" w:styleId="ListParagraph">
    <w:name w:val="List Paragraph"/>
    <w:basedOn w:val="Normal"/>
    <w:uiPriority w:val="34"/>
    <w:qFormat/>
    <w:rsid w:val="00CC429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CC4293"/>
    <w:rPr>
      <w:i/>
      <w:iCs/>
      <w:color w:val="0F4761" w:themeColor="accent1" w:themeShade="BF"/>
    </w:rPr>
  </w:style>
  <w:style w:type="paragraph" w:styleId="IntenseQuote">
    <w:name w:val="Intense Quote"/>
    <w:basedOn w:val="Normal"/>
    <w:next w:val="Normal"/>
    <w:link w:val="IntenseQuoteChar"/>
    <w:uiPriority w:val="30"/>
    <w:qFormat/>
    <w:rsid w:val="00CC42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4293"/>
    <w:rPr>
      <w:i/>
      <w:iCs/>
      <w:color w:val="0F4761" w:themeColor="accent1" w:themeShade="BF"/>
    </w:rPr>
  </w:style>
  <w:style w:type="character" w:styleId="IntenseReference">
    <w:name w:val="Intense Reference"/>
    <w:basedOn w:val="DefaultParagraphFont"/>
    <w:uiPriority w:val="32"/>
    <w:qFormat/>
    <w:rsid w:val="00CC4293"/>
    <w:rPr>
      <w:b/>
      <w:bCs/>
      <w:smallCaps/>
      <w:color w:val="0F4761" w:themeColor="accent1" w:themeShade="BF"/>
      <w:spacing w:val="5"/>
    </w:rPr>
  </w:style>
  <w:style w:type="table" w:styleId="LightShading-Accent1">
    <w:name w:val="Light Shading Accent 1"/>
    <w:basedOn w:val="TableNormal"/>
    <w:uiPriority w:val="60"/>
    <w:rsid w:val="00CC4293"/>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DE6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2464</Words>
  <Characters>14050</Characters>
  <Application>Microsoft Office Word</Application>
  <DocSecurity>0</DocSecurity>
  <Lines>117</Lines>
  <Paragraphs>32</Paragraphs>
  <ScaleCrop>false</ScaleCrop>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Rokie Official</dc:creator>
  <cp:keywords/>
  <dc:description/>
  <cp:lastModifiedBy>Rokie Official</cp:lastModifiedBy>
  <cp:revision>2</cp:revision>
  <dcterms:created xsi:type="dcterms:W3CDTF">2026-10-23T08:45:00Z</dcterms:created>
  <dcterms:modified xsi:type="dcterms:W3CDTF">2026-10-23T08:47:00Z</dcterms:modified>
</cp:coreProperties>
</file>