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F2942"/>
          <w:sz w:val="26"/>
        </w:rPr>
        <w:t>BSE4104 Capstone: Week 7 Progress Report</w:t>
      </w:r>
    </w:p>
    <w:p>
      <w:pPr>
        <w:spacing w:before="0" w:after="70" w:line="252" w:lineRule="auto"/>
      </w:pPr>
      <w:r>
        <w:rPr>
          <w:rFonts w:ascii="Calibri" w:hAnsi="Calibri"/>
          <w:b/>
          <w:color w:val="475569"/>
          <w:sz w:val="18"/>
        </w:rPr>
        <w:t xml:space="preserve">Project: </w:t>
      </w:r>
      <w:r>
        <w:rPr>
          <w:rFonts w:ascii="Calibri" w:hAnsi="Calibri"/>
          <w:color w:val="475569"/>
          <w:sz w:val="18"/>
        </w:rPr>
        <w:t xml:space="preserve">UtilityCare Help-Desk Triage Agent  |  </w:t>
      </w:r>
      <w:r>
        <w:rPr>
          <w:rFonts w:ascii="Calibri" w:hAnsi="Calibri"/>
          <w:b/>
          <w:color w:val="475569"/>
          <w:sz w:val="18"/>
        </w:rPr>
        <w:t xml:space="preserve">Group: </w:t>
      </w:r>
      <w:r>
        <w:rPr>
          <w:rFonts w:ascii="Calibri" w:hAnsi="Calibri"/>
          <w:color w:val="475569"/>
          <w:sz w:val="18"/>
        </w:rPr>
        <w:t xml:space="preserve">Group B  |  </w:t>
      </w:r>
      <w:r>
        <w:rPr>
          <w:rFonts w:ascii="Calibri" w:hAnsi="Calibri"/>
          <w:b/>
          <w:color w:val="475569"/>
          <w:sz w:val="18"/>
        </w:rPr>
        <w:t xml:space="preserve">Week Ending: </w:t>
      </w:r>
      <w:r>
        <w:rPr>
          <w:rFonts w:ascii="Calibri" w:hAnsi="Calibri"/>
          <w:color w:val="475569"/>
          <w:sz w:val="18"/>
        </w:rPr>
        <w:t>Friday 16 October 2026</w:t>
      </w:r>
    </w:p>
    <w:p>
      <w:pPr>
        <w:keepNext/>
        <w:spacing w:before="80" w:after="30"/>
      </w:pPr>
      <w:r>
        <w:rPr>
          <w:rFonts w:ascii="Calibri" w:hAnsi="Calibri"/>
          <w:b/>
          <w:color w:val="0F2942"/>
          <w:sz w:val="21"/>
        </w:rPr>
        <w:t>1. Work Completed Against Weekly Objectives</w:t>
      </w:r>
    </w:p>
    <w:p>
      <w:pPr>
        <w:spacing w:before="0" w:after="44" w:line="264" w:lineRule="auto"/>
        <w:jc w:val="left"/>
      </w:pPr>
      <w:r>
        <w:rPr>
          <w:rFonts w:ascii="Calibri" w:hAnsi="Calibri"/>
          <w:b/>
          <w:color w:val="1E293B"/>
          <w:sz w:val="18"/>
        </w:rPr>
        <w:t xml:space="preserve">Deterministic Evaluation Suite (37 Scenarios Offline): </w:t>
      </w:r>
      <w:r>
        <w:rPr>
          <w:rFonts w:ascii="Calibri" w:hAnsi="Calibri"/>
          <w:color w:val="1E293B"/>
          <w:sz w:val="18"/>
        </w:rPr>
        <w:t>Authored in tests/extended_evaluation_cases.json and executed via tests/run_extended_eval.py, the team established a 37-scenario deterministic benchmark. To guarantee complete reproducibility and eliminate external provider confounders, all 37 scenarios execute offline without network LLM calls. All 37/37 scenarios passed (100% pass rate; max latency 22.05–52.03 ms across benchmark runs, well below the 1,000 ms ceiling). Scenarios cover six categories: normal requests (8/8 pass), edge cases (6/6 pass), incorrect information (6/6 pass), adversarial inputs (6/6 pass), tool failures (5/5 pass), and unauthorized actions (6/6 pass). Criteria verified task completion against scenario oracles, knowledge base grounding consistency, tool argument/enum validation, failure trapping (simulated drops and timeouts converted to ToolExecutionError), and safety assertion verification (all 7 expected safety violations deliberately provoked were intercepted; 0 leaked). Artifacts: evidence/traces/extended_evaluation_results.csv and extended_evaluation_summary.json.</w:t>
      </w:r>
    </w:p>
    <w:p>
      <w:pPr>
        <w:spacing w:before="0" w:after="44" w:line="264" w:lineRule="auto"/>
        <w:jc w:val="left"/>
      </w:pPr>
      <w:r>
        <w:rPr>
          <w:rFonts w:ascii="Calibri" w:hAnsi="Calibri"/>
          <w:b/>
          <w:color w:val="1E293B"/>
          <w:sz w:val="18"/>
        </w:rPr>
        <w:t xml:space="preserve">Live Model Adversarial Evaluation (6 Scenarios Live): </w:t>
      </w:r>
      <w:r>
        <w:rPr>
          <w:rFonts w:ascii="Calibri" w:hAnsi="Calibri"/>
          <w:color w:val="1E293B"/>
          <w:sz w:val="18"/>
        </w:rPr>
        <w:t>In tests/run_prompt_injection_live.py, six adversarial prompt-injection attacks were executed against the live Gemini model (models/gemini-flash-latest): instruction override (PI-01), prompt extraction (PI-02), unauthorized tool execution (PI-03), false refund claims (PI-04), injections embedded in real outage reports (PI-05), and format/role hijacking (PI-06). Following agent.py fixes (§4), all 6/6 live cases passed (1 run each; traces in evidence/traces/after_fix/). The live model respected the JSON contract, called no unauthorized tools, maintained drafts in pending_approval, and avoided prompt leakage or false action claims.</w:t>
      </w:r>
    </w:p>
    <w:p>
      <w:pPr>
        <w:spacing w:before="0" w:after="44" w:line="264" w:lineRule="auto"/>
        <w:jc w:val="left"/>
      </w:pPr>
      <w:r>
        <w:rPr>
          <w:rFonts w:ascii="Calibri" w:hAnsi="Calibri"/>
          <w:b/>
          <w:color w:val="1E293B"/>
          <w:sz w:val="18"/>
        </w:rPr>
        <w:t xml:space="preserve">Observability and Tracing Subsystem: </w:t>
      </w:r>
      <w:r>
        <w:rPr>
          <w:rFonts w:ascii="Calibri" w:hAnsi="Calibri"/>
          <w:color w:val="1E293B"/>
          <w:sz w:val="18"/>
        </w:rPr>
        <w:t>Implemented in src/bounded_agent.py (lines 17–18, 97–102, 114–128, 206–220), the agent records an end-to-end trace per iteration. Captured fields: model ('models/gemini-flash-latest'), prompt_version ('v3.0'), retrieved_sources (KB docs used for grounding), tool_calls and tool_results (name, arguments, success boolean, result, error), latency_ms (duration in ms), errors (parse, network, tool), and outcome (stop_reason). Verified in docs/evaluation/Week7_Observability_Tracing_Evidence.md and live 503 error trace evidence/traces/week7_observability_trace_1_provider_error.json (capturing a 35,035 ms timeout).</w:t>
      </w:r>
    </w:p>
    <w:p>
      <w:pPr>
        <w:spacing w:before="0" w:after="44" w:line="264" w:lineRule="auto"/>
        <w:jc w:val="left"/>
      </w:pPr>
      <w:r>
        <w:rPr>
          <w:rFonts w:ascii="Calibri" w:hAnsi="Calibri"/>
          <w:b/>
          <w:color w:val="1E293B"/>
          <w:sz w:val="18"/>
        </w:rPr>
        <w:t xml:space="preserve">Guardrail Verification &amp; Code Audit: </w:t>
      </w:r>
      <w:r>
        <w:rPr>
          <w:rFonts w:ascii="Calibri" w:hAnsi="Calibri"/>
          <w:color w:val="1E293B"/>
          <w:sz w:val="18"/>
        </w:rPr>
        <w:t>Audited against the code: (1) Input Validation (Code): src/tools.py checks area codes, service types, categories, and priorities; src/orchestrator.py verifies required parameters; src/main.py validates non-empty HTTP messages. (2) Output-Schema Validation (Code): orchestrator._validate_tool_result() validates tool return schemas, types, and status constraints, closing gaps FA-09/FA-10. (3) Tool Allow-List (Code): orchestrator.execute_tool_call() restricts execution strictly to TOOL_REGISTRY (get_outage_status, draft_ticket). (4) Iteration Limit (Code): bounded_agent.py enforces MAX_ITERATIONS = 3 (iteration_limit_reached). (5) Approval Controls (Code): draft_ticket hardcodes status='pending_approval'; no submit/approve tool exists. (6) Prompt-Injection Defense (Advisory Only): Prompt-level instructions in src/agent.py ('Customer message (untrusted data)'); no code-level filter or sanitizer exists. (7) Emergency Hand-Off: NOT implemented in code (standard human hand-off via ticket drafting and clarification exists, but no physical emergency hand-off).</w:t>
      </w:r>
    </w:p>
    <w:p>
      <w:pPr>
        <w:spacing w:before="0" w:after="44" w:line="264" w:lineRule="auto"/>
        <w:jc w:val="left"/>
      </w:pPr>
      <w:r>
        <w:rPr>
          <w:rFonts w:ascii="Calibri" w:hAnsi="Calibri"/>
          <w:b/>
          <w:color w:val="1E293B"/>
          <w:sz w:val="18"/>
        </w:rPr>
        <w:t xml:space="preserve">Failure Catalogue and Remediation (6 Genuine Failures): </w:t>
      </w:r>
      <w:r>
        <w:rPr>
          <w:rFonts w:ascii="Calibri" w:hAnsi="Calibri"/>
          <w:color w:val="1E293B"/>
          <w:sz w:val="18"/>
        </w:rPr>
        <w:t>Documented in docs/evaluation/Failure_Catalogue_and_Remediation_Evidence.md, six genuine architectural failures were catalogued and verified: (1) FC-02 (Tool Area Code Whitespace/Case Mismatch in tools.py): whitespace padding failed key matching; fixed with .strip().upper(); re-tested in tests/test_tools.py (3/3 pass). (2) FC-04 (Unauthorized Ticket Status Bypass in tools.py/orchestrator.py): callers injecting status='submitted' bypassed review; fixed by omitting status from signature and enforcing output validation; re-tested in tests/test_failure_authorization.py [FA-06] (pass). (3) FC-05 (Model JSON Truncation &amp; Code Fence Failure in agent.py): reasoning tokens consumed max_output_tokens=600; fixed by expanding tokens to 2048, adding finish_reason guards, and fence stripping; re-tested via run_extended_eval.py [EXT-15] and live injection suite (0 parse errors in 6 runs). (4) FC-07 (Working Memory Context Leakage in memory.py): injecting past cases into prompt biased model decisions; fixed by isolating memory lookups post-model call for human triage only; re-tested in tests/test_week6_working_memory.py (3/3 pass). (5) FC-08 (Unbounded Loop on Ambiguous Inputs in bounded_agent.py): vague inputs cycled endlessly; fixed with MAX_ITERATIONS=3 limit; re-tested in test_bounded_agent_mock.py and EXT-14 (pass). (6) FC-10 (Empty Request Crashing Pipeline in main.py): blank inputs caused serialization errors; fixed with HTTP 400 boundary guards; re-tested in EXT-09 (pass).</w:t>
      </w:r>
    </w:p>
    <w:p>
      <w:pPr>
        <w:keepNext/>
        <w:spacing w:before="80" w:after="30"/>
      </w:pPr>
      <w:r>
        <w:rPr>
          <w:rFonts w:ascii="Calibri" w:hAnsi="Calibri"/>
          <w:b/>
          <w:color w:val="0F2942"/>
          <w:sz w:val="21"/>
        </w:rPr>
        <w:t>2. Key Engineering Decisions and Rationale</w:t>
      </w:r>
    </w:p>
    <w:p>
      <w:pPr>
        <w:spacing w:before="0" w:after="44" w:line="264" w:lineRule="auto"/>
        <w:jc w:val="left"/>
      </w:pPr>
      <w:r>
        <w:rPr>
          <w:rFonts w:ascii="Calibri" w:hAnsi="Calibri"/>
          <w:b/>
          <w:color w:val="1E293B"/>
          <w:sz w:val="18"/>
        </w:rPr>
        <w:t xml:space="preserve">Offline Deterministic Suite vs. Live Integration: </w:t>
      </w:r>
      <w:r>
        <w:rPr>
          <w:rFonts w:ascii="Calibri" w:hAnsi="Calibri"/>
          <w:color w:val="1E293B"/>
          <w:sz w:val="18"/>
        </w:rPr>
        <w:t>Decoupled CI/CD regression verification from external model availability by implementing 37 deterministic offline cases and reserving live API calls for a targeted 6-case prompt-injection suite, preventing third-party rate limits from corrupting test suites.</w:t>
      </w:r>
    </w:p>
    <w:p>
      <w:pPr>
        <w:spacing w:before="0" w:after="44" w:line="264" w:lineRule="auto"/>
        <w:jc w:val="left"/>
      </w:pPr>
      <w:r>
        <w:rPr>
          <w:rFonts w:ascii="Calibri" w:hAnsi="Calibri"/>
          <w:b/>
          <w:color w:val="1E293B"/>
          <w:sz w:val="18"/>
        </w:rPr>
        <w:t xml:space="preserve">Orchestrator Tool Output-Schema Validation: </w:t>
      </w:r>
      <w:r>
        <w:rPr>
          <w:rFonts w:ascii="Calibri" w:hAnsi="Calibri"/>
          <w:color w:val="1E293B"/>
          <w:sz w:val="18"/>
        </w:rPr>
        <w:t>Implemented _validate_tool_result() in src/orchestrator.py to validate tool outputs against explicit structural schemas prior to agent consumption. This closes architectural safety gaps FA-09/FA-10 and traps malformed tool outputs as ToolExecutionError.</w:t>
      </w:r>
    </w:p>
    <w:p>
      <w:pPr>
        <w:spacing w:before="0" w:after="44" w:line="264" w:lineRule="auto"/>
        <w:jc w:val="left"/>
      </w:pPr>
      <w:r>
        <w:rPr>
          <w:rFonts w:ascii="Calibri" w:hAnsi="Calibri"/>
          <w:b/>
          <w:color w:val="1E293B"/>
          <w:sz w:val="18"/>
        </w:rPr>
        <w:t xml:space="preserve">Post-Model Memory Isolation: </w:t>
      </w:r>
      <w:r>
        <w:rPr>
          <w:rFonts w:ascii="Calibri" w:hAnsi="Calibri"/>
          <w:color w:val="1E293B"/>
          <w:sz w:val="18"/>
        </w:rPr>
        <w:t>Architecturally isolated persistent case memory from the LLM prompt. Episodic records are retrieved in application code post-model call and attached solely to state['memory_context'] for human triage officers, eliminating indirect prompt injection vectors and historical bias transfer.</w:t>
      </w:r>
    </w:p>
    <w:p>
      <w:pPr>
        <w:spacing w:before="0" w:after="44" w:line="264" w:lineRule="auto"/>
        <w:jc w:val="left"/>
      </w:pPr>
      <w:r>
        <w:rPr>
          <w:rFonts w:ascii="Calibri" w:hAnsi="Calibri"/>
          <w:b/>
          <w:color w:val="1E293B"/>
          <w:sz w:val="18"/>
        </w:rPr>
        <w:t xml:space="preserve">Token Budget Expansion &amp; Finish-Reason Trapping: </w:t>
      </w:r>
      <w:r>
        <w:rPr>
          <w:rFonts w:ascii="Calibri" w:hAnsi="Calibri"/>
          <w:color w:val="1E293B"/>
          <w:sz w:val="18"/>
        </w:rPr>
        <w:t>Increased max_output_tokens to 2048 and introduced finish_reason checks in src/agent.py. Gemini's internal reasoning tokens exhausted the previous 600-token limit, leaving ~20 tokens. The new limit and finish_reason guard cleanly capture truncation as model_parsing_failure rather than throwing unhandled exceptions.</w:t>
      </w:r>
    </w:p>
    <w:p>
      <w:pPr>
        <w:keepNext/>
        <w:spacing w:before="80" w:after="30"/>
      </w:pPr>
      <w:r>
        <w:rPr>
          <w:rFonts w:ascii="Calibri" w:hAnsi="Calibri"/>
          <w:b/>
          <w:color w:val="0F2942"/>
          <w:sz w:val="21"/>
        </w:rPr>
        <w:t>3. Failures, Challenges, and Current Response</w:t>
      </w:r>
    </w:p>
    <w:p>
      <w:pPr>
        <w:spacing w:before="0" w:after="44" w:line="264" w:lineRule="auto"/>
        <w:jc w:val="left"/>
      </w:pPr>
      <w:r>
        <w:rPr>
          <w:rFonts w:ascii="Calibri" w:hAnsi="Calibri"/>
          <w:b/>
          <w:color w:val="1E293B"/>
          <w:sz w:val="18"/>
        </w:rPr>
        <w:t xml:space="preserve">Gemini Free-Tier Quota &amp; Rate Exhaustion: </w:t>
      </w:r>
      <w:r>
        <w:rPr>
          <w:rFonts w:ascii="Calibri" w:hAnsi="Calibri"/>
          <w:color w:val="1E293B"/>
          <w:sz w:val="18"/>
        </w:rPr>
        <w:t>The Gemini free tier imposes a ceiling of 20 requests/day per model and 5 requests/minute. During live runs on 2026-10-15, 17/18 calls failed with HTTP 429 ResourceExhausted (trace evidence/traces/week7_guardrail_quota_exhausted_example.json). Response: Implemented TRANSIENT_RETRY with exponential backoff (1–8s, 35s timeout) in src/agent.py, introduced a 2-second delay, and designed tests/run_extended_eval.py to run offline, preserving API budget for targeted validation.</w:t>
      </w:r>
    </w:p>
    <w:p>
      <w:pPr>
        <w:spacing w:before="0" w:after="44" w:line="264" w:lineRule="auto"/>
        <w:jc w:val="left"/>
      </w:pPr>
      <w:r>
        <w:rPr>
          <w:rFonts w:ascii="Calibri" w:hAnsi="Calibri"/>
          <w:b/>
          <w:color w:val="1E293B"/>
          <w:sz w:val="18"/>
        </w:rPr>
        <w:t xml:space="preserve">Unfixed Technical Gaps and Known Limitations: </w:t>
      </w:r>
      <w:r>
        <w:rPr>
          <w:rFonts w:ascii="Calibri" w:hAnsi="Calibri"/>
          <w:color w:val="1E293B"/>
          <w:sz w:val="18"/>
        </w:rPr>
        <w:t>Three unfixed technical gaps remain: (1) Read-Only Tool Looping: In src/bounded_agent.py, check_stop_condition() lacks a stop rule for successful get_outage_status calls, and re-planning re-sends identical input without passing tool outputs to the model. In live cases PI-03, PI-05, and PI-06, the agent executed 3 identical outage checks before terminating at iteration_limit_reached. (2) Prompt-Level Only Defense: No code-level injection filter or input sanitizer exists; injection defense relies entirely on prompt instructions. (3) No Emergency Hand-Off: No specialized escalation mechanism exists for urgent life-safety hazards.</w:t>
      </w:r>
    </w:p>
    <w:p>
      <w:pPr>
        <w:keepNext/>
        <w:spacing w:before="80" w:after="30"/>
      </w:pPr>
      <w:r>
        <w:rPr>
          <w:rFonts w:ascii="Calibri" w:hAnsi="Calibri"/>
          <w:b/>
          <w:color w:val="0F2942"/>
          <w:sz w:val="21"/>
        </w:rPr>
        <w:t>4. Links to Repository and ClickUp Evidence</w:t>
      </w:r>
    </w:p>
    <w:p>
      <w:pPr>
        <w:spacing w:before="0" w:after="44" w:line="264" w:lineRule="auto"/>
        <w:jc w:val="left"/>
      </w:pPr>
      <w:r>
        <w:rPr>
          <w:rFonts w:ascii="Calibri" w:hAnsi="Calibri"/>
          <w:color w:val="1E293B"/>
          <w:sz w:val="18"/>
        </w:rPr>
        <w:t>Repository: https://github.com/Nomwesigwa-Keith/Utilitycare-Help-Desk-Agent.git  |  Release Tag: [TO CONFIRM: Git release tag for Week 7, e.g., v0.7.0]  |  ClickUp Board: [TO CONFIRM: ClickUp Task/Sprint Link for Week 7]</w:t>
        <w:br/>
        <w:t>Week 7 Merged Pull Requests: PR #23 (commit 70659f0: 37-scenario eval suite, Python 3.12 compatibility, orchestrator output validation); PR #24 (commit aa7ed1b: branch integration); PR #25 (commit 76988f1: integration merge); PR #26 (commit 8c710fe: Failure Catalogue and remediation evidence).</w:t>
        <w:br/>
        <w:t>Week 7 Direct Commits: commit 82082ec (observability and tracing subsystem in src/bounded_agent.py); commit a77043c (guardrail evidence, live prompt-injection suite, token limit and grounding fixes in src/agent.py).</w:t>
      </w:r>
    </w:p>
    <w:p>
      <w:pPr>
        <w:keepNext/>
        <w:spacing w:before="80" w:after="30"/>
      </w:pPr>
      <w:r>
        <w:rPr>
          <w:rFonts w:ascii="Calibri" w:hAnsi="Calibri"/>
          <w:b/>
          <w:color w:val="0F2942"/>
          <w:sz w:val="21"/>
        </w:rPr>
        <w:t>5. Individual Contribution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456"/>
        <w:gridCol w:w="3456"/>
        <w:gridCol w:w="3456"/>
      </w:tblGrid>
      <w:tr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  <w:shd w:fill="0F2942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3528"/>
            <w:tcMar>
              <w:top w:w="50" w:type="dxa"/>
              <w:bottom w:w="50" w:type="dxa"/>
              <w:left w:w="70" w:type="dxa"/>
              <w:right w:w="70" w:type="dxa"/>
            </w:tcMar>
            <w:shd w:fill="0F2942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  <w:shd w:fill="0F2942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1800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Nomwesigwa Keith</w:t>
            </w:r>
          </w:p>
        </w:tc>
        <w:tc>
          <w:tcPr>
            <w:tcW w:type="dxa" w:w="3528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Project leadership, branch integration, architecture review, and pull request management.</w:t>
            </w:r>
          </w:p>
        </w:tc>
        <w:tc>
          <w:tcPr>
            <w:tcW w:type="dxa" w:w="5040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Merged PR #24 (aa7ed1b) and PR #25 (76988f1); overall coordination [TO CONFIRM: additional technical contributions if any].</w:t>
            </w:r>
          </w:p>
        </w:tc>
      </w:tr>
      <w:tr>
        <w:tc>
          <w:tcPr>
            <w:tcW w:type="dxa" w:w="1800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Mubiru Umar</w:t>
            </w:r>
          </w:p>
        </w:tc>
        <w:tc>
          <w:tcPr>
            <w:tcW w:type="dxa" w:w="3528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Observability and tracing subsystem architecture and implementation.</w:t>
            </w:r>
          </w:p>
        </w:tc>
        <w:tc>
          <w:tcPr>
            <w:tcW w:type="dxa" w:w="5040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src/bounded_agent.py (tracing fields, latency, errors); docs/evaluation/Week7_Observability_Tracing_Evidence.md; trace week7_observability_trace_1_provider_error.json; commit 82082ec.</w:t>
            </w:r>
          </w:p>
        </w:tc>
      </w:tr>
      <w:tr>
        <w:tc>
          <w:tcPr>
            <w:tcW w:type="dxa" w:w="1800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Khot Adet Majuong</w:t>
            </w:r>
          </w:p>
        </w:tc>
        <w:tc>
          <w:tcPr>
            <w:tcW w:type="dxa" w:w="3528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Guardrail verification, live prompt-injection suite, and agent token/grounding fixes.</w:t>
            </w:r>
          </w:p>
        </w:tc>
        <w:tc>
          <w:tcPr>
            <w:tcW w:type="dxa" w:w="5040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evidence/week7_guardrail_evidence.md; tests/run_prompt_injection_live.py; src/agent.py fixes; traces in evidence/traces/after_fix/; commit a77043c.</w:t>
            </w:r>
          </w:p>
        </w:tc>
      </w:tr>
      <w:tr>
        <w:tc>
          <w:tcPr>
            <w:tcW w:type="dxa" w:w="1800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Nankunda Lilian</w:t>
            </w:r>
          </w:p>
        </w:tc>
        <w:tc>
          <w:tcPr>
            <w:tcW w:type="dxa" w:w="3528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37-scenario deterministic evaluation benchmark, Python 3.12 compatibility, and tool output contract verification.</w:t>
            </w:r>
          </w:p>
        </w:tc>
        <w:tc>
          <w:tcPr>
            <w:tcW w:type="dxa" w:w="5040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tests/extended_evaluation_cases.json; tests/run_extended_eval.py; src/orchestrator.py (_validate_tool_result); docs/evaluation/Week 7_37scenario_evaluation.md; PR #23 (commits ca148b9, 7ed0a86, a4e6cd4, 33bd174).</w:t>
            </w:r>
          </w:p>
        </w:tc>
      </w:tr>
      <w:tr>
        <w:tc>
          <w:tcPr>
            <w:tcW w:type="dxa" w:w="1800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Arok John Mayen</w:t>
            </w:r>
          </w:p>
        </w:tc>
        <w:tc>
          <w:tcPr>
            <w:tcW w:type="dxa" w:w="3528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Failure catalogue compilation, tool boundary defense, and memory test hardening.</w:t>
            </w:r>
          </w:p>
        </w:tc>
        <w:tc>
          <w:tcPr>
            <w:tcW w:type="dxa" w:w="5040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6"/>
              </w:rPr>
              <w:t>docs/evaluation/Failure_Catalogue_and_Remediation_Evidence.md; tests/test_week6_working_memory.py; evidence/traces/week4_failure_authorization_results.csv; PR #26 (commits 11139e0, 8c710fe).</w:t>
            </w:r>
          </w:p>
        </w:tc>
      </w:tr>
    </w:tbl>
    <w:p>
      <w:pPr>
        <w:keepNext/>
        <w:spacing w:before="70" w:after="30"/>
      </w:pPr>
      <w:r>
        <w:rPr>
          <w:rFonts w:ascii="Calibri" w:hAnsi="Calibri"/>
          <w:b/>
          <w:color w:val="0F2942"/>
          <w:sz w:val="21"/>
        </w:rPr>
        <w:t>6. Plan for Next Week (Week 8: Hardening, Report, and Defense)</w:t>
      </w:r>
    </w:p>
    <w:p>
      <w:pPr>
        <w:spacing w:before="0" w:after="44" w:line="264" w:lineRule="auto"/>
        <w:jc w:val="left"/>
      </w:pPr>
      <w:r>
        <w:rPr>
          <w:rFonts w:ascii="Calibri" w:hAnsi="Calibri"/>
          <w:color w:val="1E293B"/>
          <w:sz w:val="18"/>
        </w:rPr>
        <w:t>Hardening &amp; Critical Fixes: Implement an explicit stop rule in bounded_agent.check_stop_condition() for successful read-only tool calls (get_outage_status), preventing redundant 3-iteration looping and reducing API overhead. Add string length checks on draft_ticket.summary. Investigate fallback models / paid tiers to eliminate free-tier quota exhaustion.</w:t>
        <w:br/>
        <w:t>Tagged Release &amp; Run Instructions: Cut and tag release v1.0.0 with end-to-end setup and execution instructions in README.md.</w:t>
        <w:br/>
        <w:t>Final Engineering Report: Author the complete 8–12 page capstone engineering report synthesizing architecture, guardrails, evaluation benchmarks, and failure analyses.</w:t>
        <w:br/>
        <w:t>Presentation &amp; Defense Preparation: Finalize presentation slide deck and recorded demonstration for capstone defense (27, 29, 30 October 2026).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