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MCP-Style Interface Specification</w:t>
      </w:r>
    </w:p>
    <w:p>
      <w:pPr>
        <w:spacing w:after="60"/>
      </w:pPr>
      <w:r>
        <w:rPr>
          <w:rFonts w:ascii="Calibri" w:cs="Calibri" w:eastAsia="Calibri" w:hAnsi="Calibri"/>
          <w:b/>
          <w:bCs/>
          <w:color w:val="444444"/>
          <w:sz w:val="26"/>
          <w:szCs w:val="26"/>
        </w:rPr>
        <w:t xml:space="preserve">Capability: get_outage_status</w:t>
      </w:r>
    </w:p>
    <w:p>
      <w:pPr>
        <w:spacing w:after="120"/>
      </w:pPr>
      <w:r>
        <w:rPr>
          <w:rFonts w:ascii="Calibri" w:cs="Calibri" w:eastAsia="Calibri" w:hAnsi="Calibri"/>
          <w:i/>
          <w:iCs/>
          <w:color w:val="666666"/>
          <w:sz w:val="20"/>
          <w:szCs w:val="20"/>
        </w:rPr>
        <w:t xml:space="preserve">UtiliCare Help Desk Triage Agent — Week 6: Memory, State and Interoperability</w:t>
      </w:r>
    </w:p>
    <w:p>
      <w:pPr>
        <w:pStyle w:val="Heading1"/>
        <w:spacing w:after="140" w:before="280"/>
      </w:pPr>
      <w:r>
        <w:t xml:space="preserve">1. Purpose and Scope</w:t>
      </w:r>
    </w:p>
    <w:p>
      <w:pPr>
        <w:spacing w:after="120"/>
      </w:pPr>
      <w:r>
        <w:rPr>
          <w:rFonts w:ascii="Calibri" w:cs="Calibri" w:eastAsia="Calibri" w:hAnsi="Calibri"/>
        </w:rPr>
        <w:t xml:space="preserve">Per the Week 6 brief, this document satisfies the “document one project capability as an MCP-style interface” option (as opposed to implementing a live external integration). It expresses get_outage_status — one of the two tools already defined in docs/requirements/Tool_Catalogue_and_Schemas.docx — in the structure the Model Context Protocol (MCP) uses for a tool definition and a tool result, and adds the permission and security-boundary analysis the protocol itself does not prescribe.</w:t>
      </w:r>
    </w:p>
    <w:p>
      <w:pPr>
        <w:spacing w:after="120"/>
      </w:pPr>
      <w:r>
        <w:rPr>
          <w:rFonts w:ascii="Calibri" w:cs="Calibri" w:eastAsia="Calibri" w:hAnsi="Calibri"/>
        </w:rPr>
        <w:t xml:space="preserve">get_outage_status was chosen over draft_ticket because it is read-only and stateless, which makes it the cleanest single capability to express formally. draft_ticket's approval-gating behaviour is already covered in depth across the Tool Catalogue, the Week 5 Agent Task Contract, and the Week 4 failure/authorization evidence; re-describing it here would not add new information, whereas get_outage_status has not yet been expressed as a formal JSON Schema contract.</w:t>
      </w:r>
    </w:p>
    <w:p>
      <w:pPr>
        <w:spacing w:after="120"/>
      </w:pPr>
      <w:r>
        <w:rPr>
          <w:rFonts w:ascii="Calibri" w:cs="Calibri" w:eastAsia="Calibri" w:hAnsi="Calibri"/>
        </w:rPr>
        <w:t xml:space="preserve">No network-exposed MCP server currently runs for this project. The specification below describes the shape the capability would have if exposed through one, while section 5 is explicit about what is and is not true of the current in-process implementation.</w:t>
      </w:r>
    </w:p>
    <w:p>
      <w:pPr>
        <w:pStyle w:val="Heading1"/>
        <w:spacing w:after="140" w:before="280"/>
      </w:pPr>
      <w:r>
        <w:t xml:space="preserve">2. MCP Tool Definition</w:t>
      </w:r>
    </w:p>
    <w:p>
      <w:pPr>
        <w:spacing w:after="120"/>
      </w:pPr>
      <w:r>
        <w:rPr>
          <w:rFonts w:ascii="Calibri" w:cs="Calibri" w:eastAsia="Calibri" w:hAnsi="Calibri"/>
        </w:rPr>
        <w:t xml:space="preserve">An MCP tool definition carries a name, a description, an inputSchema, an optional outputSchema, and optional annotations describing the tool's behaviour (readOnlyHint, destructiveHint, idempotentHint, openWorldHint). The definition below mirrors src/tools.py's TOOL_REGISTRY entry and the Week 4 catalogue's documented authorization.</w:t>
      </w:r>
    </w:p>
    <w:p>
      <w:pPr>
        <w:shd w:fill="F2F2F2" w:val="clear"/>
        <w:spacing w:after="160" w:before="8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"name": "get_outage_status",</w:t>
      </w:r>
      <w:r>
        <w:br/>
      </w:r>
      <w:r>
        <w:rPr>
          <w:rFonts w:ascii="Consolas" w:cs="Consolas" w:eastAsia="Consolas" w:hAnsi="Consolas"/>
          <w:sz w:val="18"/>
          <w:szCs w:val="18"/>
        </w:rPr>
        <w:t xml:space="preserve">  "description": "Check whether a known service outage currently exists for a customer's area and service type. Read-only; carries no side effects.",</w:t>
      </w:r>
      <w:r>
        <w:br/>
      </w:r>
      <w:r>
        <w:rPr>
          <w:rFonts w:ascii="Consolas" w:cs="Consolas" w:eastAsia="Consolas" w:hAnsi="Consolas"/>
          <w:sz w:val="18"/>
          <w:szCs w:val="18"/>
        </w:rPr>
        <w:t xml:space="preserve">  "inputSchema": {</w:t>
      </w:r>
      <w:r>
        <w:br/>
      </w:r>
      <w:r>
        <w:rPr>
          <w:rFonts w:ascii="Consolas" w:cs="Consolas" w:eastAsia="Consolas" w:hAnsi="Consolas"/>
          <w:sz w:val="18"/>
          <w:szCs w:val="18"/>
        </w:rPr>
        <w:t xml:space="preserve">    "type": "object",</w:t>
      </w:r>
      <w:r>
        <w:br/>
      </w:r>
      <w:r>
        <w:rPr>
          <w:rFonts w:ascii="Consolas" w:cs="Consolas" w:eastAsia="Consolas" w:hAnsi="Consolas"/>
          <w:sz w:val="18"/>
          <w:szCs w:val="18"/>
        </w:rPr>
        <w:t xml:space="preserve">    "properties": {</w:t>
      </w:r>
      <w:r>
        <w:br/>
      </w:r>
      <w:r>
        <w:rPr>
          <w:rFonts w:ascii="Consolas" w:cs="Consolas" w:eastAsia="Consolas" w:hAnsi="Consolas"/>
          <w:sz w:val="18"/>
          <w:szCs w:val="18"/>
        </w:rPr>
        <w:t xml:space="preserve">      "area_code": {</w:t>
      </w:r>
      <w:r>
        <w:br/>
      </w:r>
      <w:r>
        <w:rPr>
          <w:rFonts w:ascii="Consolas" w:cs="Consolas" w:eastAsia="Consolas" w:hAnsi="Consolas"/>
          <w:sz w:val="18"/>
          <w:szCs w:val="18"/>
        </w:rPr>
        <w:t xml:space="preserve">        "type": "string",</w:t>
      </w:r>
      <w:r>
        <w:br/>
      </w:r>
      <w:r>
        <w:rPr>
          <w:rFonts w:ascii="Consolas" w:cs="Consolas" w:eastAsia="Consolas" w:hAnsi="Consolas"/>
          <w:sz w:val="18"/>
          <w:szCs w:val="18"/>
        </w:rPr>
        <w:t xml:space="preserve">        "description": "UtilityCare service area identifier tied to the customer's registered address."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"service_type": {</w:t>
      </w:r>
      <w:r>
        <w:br/>
      </w:r>
      <w:r>
        <w:rPr>
          <w:rFonts w:ascii="Consolas" w:cs="Consolas" w:eastAsia="Consolas" w:hAnsi="Consolas"/>
          <w:sz w:val="18"/>
          <w:szCs w:val="18"/>
        </w:rPr>
        <w:t xml:space="preserve">        "type": "string",</w:t>
      </w:r>
      <w:r>
        <w:br/>
      </w:r>
      <w:r>
        <w:rPr>
          <w:rFonts w:ascii="Consolas" w:cs="Consolas" w:eastAsia="Consolas" w:hAnsi="Consolas"/>
          <w:sz w:val="18"/>
          <w:szCs w:val="18"/>
        </w:rPr>
        <w:t xml:space="preserve">        "enum": ["electricity", "water"],</w:t>
      </w:r>
      <w:r>
        <w:br/>
      </w:r>
      <w:r>
        <w:rPr>
          <w:rFonts w:ascii="Consolas" w:cs="Consolas" w:eastAsia="Consolas" w:hAnsi="Consolas"/>
          <w:sz w:val="18"/>
          <w:szCs w:val="18"/>
        </w:rPr>
        <w:t xml:space="preserve">        "description": "Which outage feed to check."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"required": ["area_code", "service_type"]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"outputSchema": {</w:t>
      </w:r>
      <w:r>
        <w:br/>
      </w:r>
      <w:r>
        <w:rPr>
          <w:rFonts w:ascii="Consolas" w:cs="Consolas" w:eastAsia="Consolas" w:hAnsi="Consolas"/>
          <w:sz w:val="18"/>
          <w:szCs w:val="18"/>
        </w:rPr>
        <w:t xml:space="preserve">    "type": "object",</w:t>
      </w:r>
      <w:r>
        <w:br/>
      </w:r>
      <w:r>
        <w:rPr>
          <w:rFonts w:ascii="Consolas" w:cs="Consolas" w:eastAsia="Consolas" w:hAnsi="Consolas"/>
          <w:sz w:val="18"/>
          <w:szCs w:val="18"/>
        </w:rPr>
        <w:t xml:space="preserve">    "properties": {</w:t>
      </w:r>
      <w:r>
        <w:br/>
      </w:r>
      <w:r>
        <w:rPr>
          <w:rFonts w:ascii="Consolas" w:cs="Consolas" w:eastAsia="Consolas" w:hAnsi="Consolas"/>
          <w:sz w:val="18"/>
          <w:szCs w:val="18"/>
        </w:rPr>
        <w:t xml:space="preserve">      "outage_active": {</w:t>
      </w:r>
      <w:r>
        <w:br/>
      </w:r>
      <w:r>
        <w:rPr>
          <w:rFonts w:ascii="Consolas" w:cs="Consolas" w:eastAsia="Consolas" w:hAnsi="Consolas"/>
          <w:sz w:val="18"/>
          <w:szCs w:val="18"/>
        </w:rPr>
        <w:t xml:space="preserve">        "type": "boolean",</w:t>
      </w:r>
      <w:r>
        <w:br/>
      </w:r>
      <w:r>
        <w:rPr>
          <w:rFonts w:ascii="Consolas" w:cs="Consolas" w:eastAsia="Consolas" w:hAnsi="Consolas"/>
          <w:sz w:val="18"/>
          <w:szCs w:val="18"/>
        </w:rPr>
        <w:t xml:space="preserve">        "description": "True if a known outage is currently logged for this area and service type."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"estimated_restoration": {</w:t>
      </w:r>
      <w:r>
        <w:br/>
      </w:r>
      <w:r>
        <w:rPr>
          <w:rFonts w:ascii="Consolas" w:cs="Consolas" w:eastAsia="Consolas" w:hAnsi="Consolas"/>
          <w:sz w:val="18"/>
          <w:szCs w:val="18"/>
        </w:rPr>
        <w:t xml:space="preserve">        "type": ["string", "null"],</w:t>
      </w:r>
      <w:r>
        <w:br/>
      </w:r>
      <w:r>
        <w:rPr>
          <w:rFonts w:ascii="Consolas" w:cs="Consolas" w:eastAsia="Consolas" w:hAnsi="Consolas"/>
          <w:sz w:val="18"/>
          <w:szCs w:val="18"/>
        </w:rPr>
        <w:t xml:space="preserve">        "description": "ISO-8601 estimated restoration time if known; null otherwise."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"affected_area_description": {</w:t>
      </w:r>
      <w:r>
        <w:br/>
      </w:r>
      <w:r>
        <w:rPr>
          <w:rFonts w:ascii="Consolas" w:cs="Consolas" w:eastAsia="Consolas" w:hAnsi="Consolas"/>
          <w:sz w:val="18"/>
          <w:szCs w:val="18"/>
        </w:rPr>
        <w:t xml:space="preserve">        "type": "string",</w:t>
      </w:r>
      <w:r>
        <w:br/>
      </w:r>
      <w:r>
        <w:rPr>
          <w:rFonts w:ascii="Consolas" w:cs="Consolas" w:eastAsia="Consolas" w:hAnsi="Consolas"/>
          <w:sz w:val="18"/>
          <w:szCs w:val="18"/>
        </w:rPr>
        <w:t xml:space="preserve">        "description": "Human-readable description of the affected zone, for display to the customer."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"required": ["outage_active", "estimated_restoration", "affected_area_description"]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"annotations": {</w:t>
      </w:r>
      <w:r>
        <w:br/>
      </w:r>
      <w:r>
        <w:rPr>
          <w:rFonts w:ascii="Consolas" w:cs="Consolas" w:eastAsia="Consolas" w:hAnsi="Consolas"/>
          <w:sz w:val="18"/>
          <w:szCs w:val="18"/>
        </w:rPr>
        <w:t xml:space="preserve">    "title": "Get Outage Status",</w:t>
      </w:r>
      <w:r>
        <w:br/>
      </w:r>
      <w:r>
        <w:rPr>
          <w:rFonts w:ascii="Consolas" w:cs="Consolas" w:eastAsia="Consolas" w:hAnsi="Consolas"/>
          <w:sz w:val="18"/>
          <w:szCs w:val="18"/>
        </w:rPr>
        <w:t xml:space="preserve">    "readOnlyHint": true,</w:t>
      </w:r>
      <w:r>
        <w:br/>
      </w:r>
      <w:r>
        <w:rPr>
          <w:rFonts w:ascii="Consolas" w:cs="Consolas" w:eastAsia="Consolas" w:hAnsi="Consolas"/>
          <w:sz w:val="18"/>
          <w:szCs w:val="18"/>
        </w:rPr>
        <w:t xml:space="preserve">    "destructiveHint": false,</w:t>
      </w:r>
      <w:r>
        <w:br/>
      </w:r>
      <w:r>
        <w:rPr>
          <w:rFonts w:ascii="Consolas" w:cs="Consolas" w:eastAsia="Consolas" w:hAnsi="Consolas"/>
          <w:sz w:val="18"/>
          <w:szCs w:val="18"/>
        </w:rPr>
        <w:t xml:space="preserve">    "idempotentHint": true,</w:t>
      </w:r>
      <w:r>
        <w:br/>
      </w:r>
      <w:r>
        <w:rPr>
          <w:rFonts w:ascii="Consolas" w:cs="Consolas" w:eastAsia="Consolas" w:hAnsi="Consolas"/>
          <w:sz w:val="18"/>
          <w:szCs w:val="18"/>
        </w:rPr>
        <w:t xml:space="preserve">    "openWorldHint":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1"/>
        <w:spacing w:after="140" w:before="280"/>
      </w:pPr>
      <w:r>
        <w:t xml:space="preserve">3. Inputs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200"/>
      </w:tblGrid>
      <w:tr>
        <w:tc>
          <w:tcPr>
            <w:tcW w:type="dxa" w:w="2000"/>
            <w:shd w:fill="E7E6E6" w:val="clear"/>
          </w:tcPr>
          <w:p>
            <w:r>
              <w:rPr>
                <w:rFonts w:ascii="Calibri" w:cs="Calibri" w:eastAsia="Calibri" w:hAnsi="Calibri"/>
                <w:b/>
                <w:bCs/>
                <w:sz w:val="20"/>
                <w:szCs w:val="20"/>
              </w:rPr>
              <w:t xml:space="preserve">Field</w:t>
            </w:r>
          </w:p>
        </w:tc>
        <w:tc>
          <w:tcPr>
            <w:tcW w:type="dxa" w:w="1800"/>
            <w:shd w:fill="E7E6E6" w:val="clear"/>
          </w:tcPr>
          <w:p>
            <w:r>
              <w:rPr>
                <w:rFonts w:ascii="Calibri" w:cs="Calibri" w:eastAsia="Calibri" w:hAnsi="Calibri"/>
                <w:b/>
                <w:bCs/>
                <w:sz w:val="20"/>
                <w:szCs w:val="20"/>
              </w:rPr>
              <w:t xml:space="preserve">Type</w:t>
            </w:r>
          </w:p>
        </w:tc>
        <w:tc>
          <w:tcPr>
            <w:tcW w:type="dxa" w:w="1400"/>
            <w:shd w:fill="E7E6E6" w:val="clear"/>
          </w:tcPr>
          <w:p>
            <w:r>
              <w:rPr>
                <w:rFonts w:ascii="Calibri" w:cs="Calibri" w:eastAsia="Calibri" w:hAnsi="Calibri"/>
                <w:b/>
                <w:bCs/>
                <w:sz w:val="20"/>
                <w:szCs w:val="20"/>
              </w:rPr>
              <w:t xml:space="preserve">Required</w:t>
            </w:r>
          </w:p>
        </w:tc>
        <w:tc>
          <w:tcPr>
            <w:tcW w:type="dxa" w:w="4200"/>
            <w:shd w:fill="E7E6E6" w:val="clear"/>
          </w:tcPr>
          <w:p>
            <w:r>
              <w:rPr>
                <w:rFonts w:ascii="Calibri" w:cs="Calibri" w:eastAsia="Calibri" w:hAnsi="Calibri"/>
                <w:b/>
                <w:bCs/>
                <w:sz w:val="20"/>
                <w:szCs w:val="20"/>
              </w:rPr>
              <w:t xml:space="preserve">Description</w:t>
            </w:r>
          </w:p>
        </w:tc>
      </w:tr>
      <w:tr>
        <w:tc>
          <w:tcPr>
            <w:tcW w:type="dxa" w:w="2000"/>
          </w:tcPr>
          <w:p>
            <w:r>
              <w:rPr>
                <w:rFonts w:ascii="Calibri" w:cs="Calibri" w:eastAsia="Calibri" w:hAnsi="Calibri"/>
                <w:b w:val="false"/>
                <w:bCs w:val="false"/>
                <w:sz w:val="20"/>
                <w:szCs w:val="20"/>
              </w:rPr>
              <w:t xml:space="preserve">area_code</w:t>
            </w:r>
          </w:p>
        </w:tc>
        <w:tc>
          <w:tcPr>
            <w:tcW w:type="dxa" w:w="1800"/>
          </w:tcPr>
          <w:p>
            <w:r>
              <w:rPr>
                <w:rFonts w:ascii="Calibri" w:cs="Calibri" w:eastAsia="Calibri" w:hAnsi="Calibri"/>
                <w:b w:val="false"/>
                <w:bCs w:val="false"/>
                <w:sz w:val="20"/>
                <w:szCs w:val="20"/>
              </w:rPr>
              <w:t xml:space="preserve">string</w:t>
            </w:r>
          </w:p>
        </w:tc>
        <w:tc>
          <w:tcPr>
            <w:tcW w:type="dxa" w:w="1400"/>
          </w:tcPr>
          <w:p>
            <w:r>
              <w:rPr>
                <w:rFonts w:ascii="Calibri" w:cs="Calibri" w:eastAsia="Calibri" w:hAnsi="Calibri"/>
                <w:b w:val="false"/>
                <w:bCs w:val="false"/>
                <w:sz w:val="20"/>
                <w:szCs w:val="20"/>
              </w:rPr>
              <w:t xml:space="preserve">Yes</w:t>
            </w:r>
          </w:p>
        </w:tc>
        <w:tc>
          <w:tcPr>
            <w:tcW w:type="dxa" w:w="4200"/>
          </w:tcPr>
          <w:p>
            <w:r>
              <w:rPr>
                <w:rFonts w:ascii="Calibri" w:cs="Calibri" w:eastAsia="Calibri" w:hAnsi="Calibri"/>
                <w:b w:val="false"/>
                <w:bCs w:val="false"/>
                <w:sz w:val="20"/>
                <w:szCs w:val="20"/>
              </w:rPr>
              <w:t xml:space="preserve">Service area identifier tied to the customer's registered address.</w:t>
            </w:r>
          </w:p>
        </w:tc>
      </w:tr>
      <w:tr>
        <w:tc>
          <w:tcPr>
            <w:tcW w:type="dxa" w:w="2000"/>
          </w:tcPr>
          <w:p>
            <w:r>
              <w:rPr>
                <w:rFonts w:ascii="Calibri" w:cs="Calibri" w:eastAsia="Calibri" w:hAnsi="Calibri"/>
                <w:b w:val="false"/>
                <w:bCs w:val="false"/>
                <w:sz w:val="20"/>
                <w:szCs w:val="20"/>
              </w:rPr>
              <w:t xml:space="preserve">service_type</w:t>
            </w:r>
          </w:p>
        </w:tc>
        <w:tc>
          <w:tcPr>
            <w:tcW w:type="dxa" w:w="1800"/>
          </w:tcPr>
          <w:p>
            <w:r>
              <w:rPr>
                <w:rFonts w:ascii="Calibri" w:cs="Calibri" w:eastAsia="Calibri" w:hAnsi="Calibri"/>
                <w:b w:val="false"/>
                <w:bCs w:val="false"/>
                <w:sz w:val="20"/>
                <w:szCs w:val="20"/>
              </w:rPr>
              <w:t xml:space="preserve">string (enum)</w:t>
            </w:r>
          </w:p>
        </w:tc>
        <w:tc>
          <w:tcPr>
            <w:tcW w:type="dxa" w:w="1400"/>
          </w:tcPr>
          <w:p>
            <w:r>
              <w:rPr>
                <w:rFonts w:ascii="Calibri" w:cs="Calibri" w:eastAsia="Calibri" w:hAnsi="Calibri"/>
                <w:b w:val="false"/>
                <w:bCs w:val="false"/>
                <w:sz w:val="20"/>
                <w:szCs w:val="20"/>
              </w:rPr>
              <w:t xml:space="preserve">Yes</w:t>
            </w:r>
          </w:p>
        </w:tc>
        <w:tc>
          <w:tcPr>
            <w:tcW w:type="dxa" w:w="4200"/>
          </w:tcPr>
          <w:p>
            <w:r>
              <w:rPr>
                <w:rFonts w:ascii="Calibri" w:cs="Calibri" w:eastAsia="Calibri" w:hAnsi="Calibri"/>
                <w:b w:val="false"/>
                <w:bCs w:val="false"/>
                <w:sz w:val="20"/>
                <w:szCs w:val="20"/>
              </w:rPr>
              <w:t xml:space="preserve">"electricity" or "water". Determines which outage feed is checked.</w:t>
            </w:r>
          </w:p>
        </w:tc>
      </w:tr>
    </w:tbl>
    <w:p>
      <w:pPr>
        <w:spacing w:after="120"/>
      </w:pPr>
      <w:r>
        <w:rPr>
          <w:rFonts w:ascii="Calibri" w:cs="Calibri" w:eastAsia="Calibri" w:hAnsi="Calibri"/>
        </w:rPr>
        <w:t xml:space="preserve">Both fields are supplied by the model as tool_call arguments and are treated as untrusted input (src/agent.py labels the customer message “untrusted data”; the same trust level applies to any value the model derives from it). src/orchestrator.py revalidates that both required fields are present before the tool runs, and tools.py independently revalidates type and enum membership, raising ValueError on anything else. This double validation means a hallucinating or adversarial model cannot force an out-of-contract call to execute.</w:t>
      </w:r>
    </w:p>
    <w:p>
      <w:pPr>
        <w:pStyle w:val="Heading1"/>
        <w:spacing w:after="140" w:before="280"/>
      </w:pPr>
      <w:r>
        <w:t xml:space="preserve">4. Outputs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c>
          <w:tcPr>
            <w:tcW w:type="dxa" w:w="2600"/>
            <w:shd w:fill="E7E6E6" w:val="clear"/>
          </w:tcPr>
          <w:p>
            <w:r>
              <w:rPr>
                <w:rFonts w:ascii="Calibri" w:cs="Calibri" w:eastAsia="Calibri" w:hAnsi="Calibri"/>
                <w:b/>
                <w:bCs/>
                <w:sz w:val="20"/>
                <w:szCs w:val="20"/>
              </w:rPr>
              <w:t xml:space="preserve">Field</w:t>
            </w:r>
          </w:p>
        </w:tc>
        <w:tc>
          <w:tcPr>
            <w:tcW w:type="dxa" w:w="1800"/>
            <w:shd w:fill="E7E6E6" w:val="clear"/>
          </w:tcPr>
          <w:p>
            <w:r>
              <w:rPr>
                <w:rFonts w:ascii="Calibri" w:cs="Calibri" w:eastAsia="Calibri" w:hAnsi="Calibri"/>
                <w:b/>
                <w:bCs/>
                <w:sz w:val="20"/>
                <w:szCs w:val="20"/>
              </w:rPr>
              <w:t xml:space="preserve">Type</w:t>
            </w:r>
          </w:p>
        </w:tc>
        <w:tc>
          <w:tcPr>
            <w:tcW w:type="dxa" w:w="5000"/>
            <w:shd w:fill="E7E6E6" w:val="clear"/>
          </w:tcPr>
          <w:p>
            <w:r>
              <w:rPr>
                <w:rFonts w:ascii="Calibri" w:cs="Calibri" w:eastAsia="Calibri" w:hAnsi="Calibri"/>
                <w:b/>
                <w:bCs/>
                <w:sz w:val="20"/>
                <w:szCs w:val="20"/>
              </w:rPr>
              <w:t xml:space="preserve">Description</w:t>
            </w:r>
          </w:p>
        </w:tc>
      </w:tr>
      <w:tr>
        <w:tc>
          <w:tcPr>
            <w:tcW w:type="dxa" w:w="2600"/>
          </w:tcPr>
          <w:p>
            <w:r>
              <w:rPr>
                <w:rFonts w:ascii="Calibri" w:cs="Calibri" w:eastAsia="Calibri" w:hAnsi="Calibri"/>
                <w:b w:val="false"/>
                <w:bCs w:val="false"/>
                <w:sz w:val="20"/>
                <w:szCs w:val="20"/>
              </w:rPr>
              <w:t xml:space="preserve">outage_active</w:t>
            </w:r>
          </w:p>
        </w:tc>
        <w:tc>
          <w:tcPr>
            <w:tcW w:type="dxa" w:w="1800"/>
          </w:tcPr>
          <w:p>
            <w:r>
              <w:rPr>
                <w:rFonts w:ascii="Calibri" w:cs="Calibri" w:eastAsia="Calibri" w:hAnsi="Calibri"/>
                <w:b w:val="false"/>
                <w:bCs w:val="false"/>
                <w:sz w:val="20"/>
                <w:szCs w:val="20"/>
              </w:rPr>
              <w:t xml:space="preserve">boolean</w:t>
            </w:r>
          </w:p>
        </w:tc>
        <w:tc>
          <w:tcPr>
            <w:tcW w:type="dxa" w:w="5000"/>
          </w:tcPr>
          <w:p>
            <w:r>
              <w:rPr>
                <w:rFonts w:ascii="Calibri" w:cs="Calibri" w:eastAsia="Calibri" w:hAnsi="Calibri"/>
                <w:b w:val="false"/>
                <w:bCs w:val="false"/>
                <w:sz w:val="20"/>
                <w:szCs w:val="20"/>
              </w:rPr>
              <w:t xml:space="preserve">True if a known outage is currently logged for this area/service.</w:t>
            </w:r>
          </w:p>
        </w:tc>
      </w:tr>
      <w:tr>
        <w:tc>
          <w:tcPr>
            <w:tcW w:type="dxa" w:w="2600"/>
          </w:tcPr>
          <w:p>
            <w:r>
              <w:rPr>
                <w:rFonts w:ascii="Calibri" w:cs="Calibri" w:eastAsia="Calibri" w:hAnsi="Calibri"/>
                <w:b w:val="false"/>
                <w:bCs w:val="false"/>
                <w:sz w:val="20"/>
                <w:szCs w:val="20"/>
              </w:rPr>
              <w:t xml:space="preserve">estimated_restoration</w:t>
            </w:r>
          </w:p>
        </w:tc>
        <w:tc>
          <w:tcPr>
            <w:tcW w:type="dxa" w:w="1800"/>
          </w:tcPr>
          <w:p>
            <w:r>
              <w:rPr>
                <w:rFonts w:ascii="Calibri" w:cs="Calibri" w:eastAsia="Calibri" w:hAnsi="Calibri"/>
                <w:b w:val="false"/>
                <w:bCs w:val="false"/>
                <w:sz w:val="20"/>
                <w:szCs w:val="20"/>
              </w:rPr>
              <w:t xml:space="preserve">string | null</w:t>
            </w:r>
          </w:p>
        </w:tc>
        <w:tc>
          <w:tcPr>
            <w:tcW w:type="dxa" w:w="5000"/>
          </w:tcPr>
          <w:p>
            <w:r>
              <w:rPr>
                <w:rFonts w:ascii="Calibri" w:cs="Calibri" w:eastAsia="Calibri" w:hAnsi="Calibri"/>
                <w:b w:val="false"/>
                <w:bCs w:val="false"/>
                <w:sz w:val="20"/>
                <w:szCs w:val="20"/>
              </w:rPr>
              <w:t xml:space="preserve">Estimated restoration time if known; null if not yet estimated.</w:t>
            </w:r>
          </w:p>
        </w:tc>
      </w:tr>
      <w:tr>
        <w:tc>
          <w:tcPr>
            <w:tcW w:type="dxa" w:w="2600"/>
          </w:tcPr>
          <w:p>
            <w:r>
              <w:rPr>
                <w:rFonts w:ascii="Calibri" w:cs="Calibri" w:eastAsia="Calibri" w:hAnsi="Calibri"/>
                <w:b w:val="false"/>
                <w:bCs w:val="false"/>
                <w:sz w:val="20"/>
                <w:szCs w:val="20"/>
              </w:rPr>
              <w:t xml:space="preserve">affected_area_description</w:t>
            </w:r>
          </w:p>
        </w:tc>
        <w:tc>
          <w:tcPr>
            <w:tcW w:type="dxa" w:w="1800"/>
          </w:tcPr>
          <w:p>
            <w:r>
              <w:rPr>
                <w:rFonts w:ascii="Calibri" w:cs="Calibri" w:eastAsia="Calibri" w:hAnsi="Calibri"/>
                <w:b w:val="false"/>
                <w:bCs w:val="false"/>
                <w:sz w:val="20"/>
                <w:szCs w:val="20"/>
              </w:rPr>
              <w:t xml:space="preserve">string</w:t>
            </w:r>
          </w:p>
        </w:tc>
        <w:tc>
          <w:tcPr>
            <w:tcW w:type="dxa" w:w="5000"/>
          </w:tcPr>
          <w:p>
            <w:r>
              <w:rPr>
                <w:rFonts w:ascii="Calibri" w:cs="Calibri" w:eastAsia="Calibri" w:hAnsi="Calibri"/>
                <w:b w:val="false"/>
                <w:bCs w:val="false"/>
                <w:sz w:val="20"/>
                <w:szCs w:val="20"/>
              </w:rPr>
              <w:t xml:space="preserve">Human-readable description of the affected zone.</w:t>
            </w:r>
          </w:p>
        </w:tc>
      </w:tr>
    </w:tbl>
    <w:p>
      <w:pPr>
        <w:spacing w:after="120"/>
      </w:pPr>
      <w:r>
        <w:rPr>
          <w:rFonts w:ascii="Calibri" w:cs="Calibri" w:eastAsia="Calibri" w:hAnsi="Calibri"/>
        </w:rPr>
        <w:t xml:space="preserve">An MCP tool result returns structured data in a structuredContent field alongside a human-readable content block, and signals failure with isError: true rather than a transport-level error. Expressed that way:</w:t>
      </w:r>
    </w:p>
    <w:p>
      <w:pPr>
        <w:pStyle w:val="Heading2"/>
        <w:spacing w:after="100" w:before="220"/>
      </w:pPr>
      <w:r>
        <w:t xml:space="preserve">Successful result</w:t>
      </w:r>
    </w:p>
    <w:p>
      <w:pPr>
        <w:shd w:fill="F2F2F2" w:val="clear"/>
        <w:spacing w:after="160" w:before="8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"content": [</w:t>
      </w:r>
      <w:r>
        <w:br/>
      </w:r>
      <w:r>
        <w:rPr>
          <w:rFonts w:ascii="Consolas" w:cs="Consolas" w:eastAsia="Consolas" w:hAnsi="Consolas"/>
          <w:sz w:val="18"/>
          <w:szCs w:val="18"/>
        </w:rPr>
        <w:t xml:space="preserve">    { "type": "text", "text": "No outage reported for area NDA"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"structuredContent": {</w:t>
      </w:r>
      <w:r>
        <w:br/>
      </w:r>
      <w:r>
        <w:rPr>
          <w:rFonts w:ascii="Consolas" w:cs="Consolas" w:eastAsia="Consolas" w:hAnsi="Consolas"/>
          <w:sz w:val="18"/>
          <w:szCs w:val="18"/>
        </w:rPr>
        <w:t xml:space="preserve">    "outage_active": false,</w:t>
      </w:r>
      <w:r>
        <w:br/>
      </w:r>
      <w:r>
        <w:rPr>
          <w:rFonts w:ascii="Consolas" w:cs="Consolas" w:eastAsia="Consolas" w:hAnsi="Consolas"/>
          <w:sz w:val="18"/>
          <w:szCs w:val="18"/>
        </w:rPr>
        <w:t xml:space="preserve">    "estimated_restoration": null,</w:t>
      </w:r>
      <w:r>
        <w:br/>
      </w:r>
      <w:r>
        <w:rPr>
          <w:rFonts w:ascii="Consolas" w:cs="Consolas" w:eastAsia="Consolas" w:hAnsi="Consolas"/>
          <w:sz w:val="18"/>
          <w:szCs w:val="18"/>
        </w:rPr>
        <w:t xml:space="preserve">    "affected_area_description": "No outage reported for area NDA"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"isError": false</w:t>
      </w:r>
      <w:r>
        <w:br/>
      </w:r>
      <w:r>
        <w:rPr>
          <w:rFonts w:ascii="Consolas" w:cs="Consolas" w:eastAsia="Consolas" w:hAnsi="Consolas"/>
          <w:sz w:val="18"/>
          <w:szCs w:val="18"/>
        </w:rPr>
        <w:t xml:space="preserve">}</w:t>
      </w:r>
    </w:p>
    <w:p>
      <w:pPr>
        <w:pStyle w:val="Heading2"/>
        <w:spacing w:after="100" w:before="220"/>
      </w:pPr>
      <w:r>
        <w:t xml:space="preserve">Failure result (missing parameter)</w:t>
      </w:r>
    </w:p>
    <w:p>
      <w:pPr>
        <w:shd w:fill="F2F2F2" w:val="clear"/>
        <w:spacing w:after="160" w:before="8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"content": [</w:t>
      </w:r>
      <w:r>
        <w:br/>
      </w:r>
      <w:r>
        <w:rPr>
          <w:rFonts w:ascii="Consolas" w:cs="Consolas" w:eastAsia="Consolas" w:hAnsi="Consolas"/>
          <w:sz w:val="18"/>
          <w:szCs w:val="18"/>
        </w:rPr>
        <w:t xml:space="preserve">    { "type": "text", "text": "Missing required parameter: area_code"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"isError": true</w:t>
      </w:r>
      <w:r>
        <w:br/>
      </w:r>
      <w:r>
        <w:rPr>
          <w:rFonts w:ascii="Consolas" w:cs="Consolas" w:eastAsia="Consolas" w:hAnsi="Consolas"/>
          <w:sz w:val="18"/>
          <w:szCs w:val="18"/>
        </w:rPr>
        <w:t xml:space="preserve">}</w:t>
      </w:r>
    </w:p>
    <w:p>
      <w:pPr>
        <w:spacing w:after="120"/>
      </w:pPr>
      <w:r>
        <w:rPr>
          <w:rFonts w:ascii="Calibri" w:cs="Calibri" w:eastAsia="Calibri" w:hAnsi="Calibri"/>
        </w:rPr>
        <w:t xml:space="preserve">This failure path was exercised for real in the Week 4 evidence (FA-01, FA-02: missing/empty area_code) and the simulated-outage-feed-down case (FA-07), both in evidence/traces/week4_failure_authorization_results.csv. Known gap, carried forward from that evidence: neither src/orchestrator.py nor this specification currently validates a returned result against outputSchema before passing it on — a malformed structuredContent would still be reported as isError: false today. This is unresolved and is restated here rather than hidden.</w:t>
      </w:r>
    </w:p>
    <w:p>
      <w:pPr>
        <w:pStyle w:val="Heading1"/>
        <w:spacing w:after="140" w:before="280"/>
      </w:pPr>
      <w:r>
        <w:t xml:space="preserve">5.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900"/>
      </w:tblGrid>
      <w:tr>
        <w:tc>
          <w:tcPr>
            <w:tcW w:type="dxa" w:w="2800"/>
            <w:shd w:fill="E7E6E6" w:val="clear"/>
          </w:tcPr>
          <w:p>
            <w:r>
              <w:rPr>
                <w:rFonts w:ascii="Calibri" w:cs="Calibri" w:eastAsia="Calibri" w:hAnsi="Calibri"/>
                <w:b/>
                <w:bCs/>
                <w:sz w:val="20"/>
                <w:szCs w:val="20"/>
              </w:rPr>
              <w:t xml:space="preserve">Caller</w:t>
            </w:r>
          </w:p>
        </w:tc>
        <w:tc>
          <w:tcPr>
            <w:tcW w:type="dxa" w:w="1700"/>
            <w:shd w:fill="E7E6E6" w:val="clear"/>
          </w:tcPr>
          <w:p>
            <w:r>
              <w:rPr>
                <w:rFonts w:ascii="Calibri" w:cs="Calibri" w:eastAsia="Calibri" w:hAnsi="Calibri"/>
                <w:b/>
                <w:bCs/>
                <w:sz w:val="20"/>
                <w:szCs w:val="20"/>
              </w:rPr>
              <w:t xml:space="preserve">Allowed?</w:t>
            </w:r>
          </w:p>
        </w:tc>
        <w:tc>
          <w:tcPr>
            <w:tcW w:type="dxa" w:w="4900"/>
            <w:shd w:fill="E7E6E6" w:val="clear"/>
          </w:tcPr>
          <w:p>
            <w:r>
              <w:rPr>
                <w:rFonts w:ascii="Calibri" w:cs="Calibri" w:eastAsia="Calibri" w:hAnsi="Calibri"/>
                <w:b/>
                <w:bCs/>
                <w:sz w:val="20"/>
                <w:szCs w:val="20"/>
              </w:rPr>
              <w:t xml:space="preserve">Basis</w:t>
            </w:r>
          </w:p>
        </w:tc>
      </w:tr>
      <w:tr>
        <w:tc>
          <w:tcPr>
            <w:tcW w:type="dxa" w:w="2800"/>
          </w:tcPr>
          <w:p>
            <w:r>
              <w:rPr>
                <w:rFonts w:ascii="Calibri" w:cs="Calibri" w:eastAsia="Calibri" w:hAnsi="Calibri"/>
                <w:b w:val="false"/>
                <w:bCs w:val="false"/>
                <w:sz w:val="20"/>
                <w:szCs w:val="20"/>
              </w:rPr>
              <w:t xml:space="preserve">src/bounded_agent.py, via src/orchestrator.py, inside an active run_bounded_agent() call</w:t>
            </w:r>
          </w:p>
        </w:tc>
        <w:tc>
          <w:tcPr>
            <w:tcW w:type="dxa" w:w="1700"/>
          </w:tcPr>
          <w:p>
            <w:r>
              <w:rPr>
                <w:rFonts w:ascii="Calibri" w:cs="Calibri" w:eastAsia="Calibri" w:hAnsi="Calibri"/>
                <w:b w:val="false"/>
                <w:bCs w:val="false"/>
                <w:sz w:val="20"/>
                <w:szCs w:val="20"/>
              </w:rPr>
              <w:t xml:space="preserve">Yes, autonomously</w:t>
            </w:r>
          </w:p>
        </w:tc>
        <w:tc>
          <w:tcPr>
            <w:tcW w:type="dxa" w:w="4900"/>
          </w:tcPr>
          <w:p>
            <w:r>
              <w:rPr>
                <w:rFonts w:ascii="Calibri" w:cs="Calibri" w:eastAsia="Calibri" w:hAnsi="Calibri"/>
                <w:b w:val="false"/>
                <w:bCs w:val="false"/>
                <w:sz w:val="20"/>
                <w:szCs w:val="20"/>
              </w:rPr>
              <w:t xml:space="preserve">Week 1 AI Boundary Matrix permits autonomous action for read-only retrieval; Week 4 catalogue documents the same for this tool</w:t>
            </w:r>
          </w:p>
        </w:tc>
      </w:tr>
      <w:tr>
        <w:tc>
          <w:tcPr>
            <w:tcW w:type="dxa" w:w="2800"/>
          </w:tcPr>
          <w:p>
            <w:r>
              <w:rPr>
                <w:rFonts w:ascii="Calibri" w:cs="Calibri" w:eastAsia="Calibri" w:hAnsi="Calibri"/>
                <w:b w:val="false"/>
                <w:bCs w:val="false"/>
                <w:sz w:val="20"/>
                <w:szCs w:val="20"/>
              </w:rPr>
              <w:t xml:space="preserve">Any caller outside an active bounded-agent run</w:t>
            </w:r>
          </w:p>
        </w:tc>
        <w:tc>
          <w:tcPr>
            <w:tcW w:type="dxa" w:w="1700"/>
          </w:tcPr>
          <w:p>
            <w:r>
              <w:rPr>
                <w:rFonts w:ascii="Calibri" w:cs="Calibri" w:eastAsia="Calibri" w:hAnsi="Calibri"/>
                <w:b w:val="false"/>
                <w:bCs w:val="false"/>
                <w:sz w:val="20"/>
                <w:szCs w:val="20"/>
              </w:rPr>
              <w:t xml:space="preserve">No</w:t>
            </w:r>
          </w:p>
        </w:tc>
        <w:tc>
          <w:tcPr>
            <w:tcW w:type="dxa" w:w="4900"/>
          </w:tcPr>
          <w:p>
            <w:r>
              <w:rPr>
                <w:rFonts w:ascii="Calibri" w:cs="Calibri" w:eastAsia="Calibri" w:hAnsi="Calibri"/>
                <w:b w:val="false"/>
                <w:bCs w:val="false"/>
                <w:sz w:val="20"/>
                <w:szCs w:val="20"/>
              </w:rPr>
              <w:t xml:space="preserve">No code path exists to invoke tools.py directly; the Week 5 contract scopes all tool activity to one run_bounded_agent() call</w:t>
            </w:r>
          </w:p>
        </w:tc>
      </w:tr>
      <w:tr>
        <w:tc>
          <w:tcPr>
            <w:tcW w:type="dxa" w:w="2800"/>
          </w:tcPr>
          <w:p>
            <w:r>
              <w:rPr>
                <w:rFonts w:ascii="Calibri" w:cs="Calibri" w:eastAsia="Calibri" w:hAnsi="Calibri"/>
                <w:b w:val="false"/>
                <w:bCs w:val="false"/>
                <w:sz w:val="20"/>
                <w:szCs w:val="20"/>
              </w:rPr>
              <w:t xml:space="preserve">Customer (direct)</w:t>
            </w:r>
          </w:p>
        </w:tc>
        <w:tc>
          <w:tcPr>
            <w:tcW w:type="dxa" w:w="1700"/>
          </w:tcPr>
          <w:p>
            <w:r>
              <w:rPr>
                <w:rFonts w:ascii="Calibri" w:cs="Calibri" w:eastAsia="Calibri" w:hAnsi="Calibri"/>
                <w:b w:val="false"/>
                <w:bCs w:val="false"/>
                <w:sz w:val="20"/>
                <w:szCs w:val="20"/>
              </w:rPr>
              <w:t xml:space="preserve">No</w:t>
            </w:r>
          </w:p>
        </w:tc>
        <w:tc>
          <w:tcPr>
            <w:tcW w:type="dxa" w:w="4900"/>
          </w:tcPr>
          <w:p>
            <w:r>
              <w:rPr>
                <w:rFonts w:ascii="Calibri" w:cs="Calibri" w:eastAsia="Calibri" w:hAnsi="Calibri"/>
                <w:b w:val="false"/>
                <w:bCs w:val="false"/>
                <w:sz w:val="20"/>
                <w:szCs w:val="20"/>
              </w:rPr>
              <w:t xml:space="preserve">No customer-facing entry point to the tool layer exists in this prototype</w:t>
            </w:r>
          </w:p>
        </w:tc>
      </w:tr>
      <w:tr>
        <w:tc>
          <w:tcPr>
            <w:tcW w:type="dxa" w:w="2800"/>
          </w:tcPr>
          <w:p>
            <w:r>
              <w:rPr>
                <w:rFonts w:ascii="Calibri" w:cs="Calibri" w:eastAsia="Calibri" w:hAnsi="Calibri"/>
                <w:b w:val="false"/>
                <w:bCs w:val="false"/>
                <w:sz w:val="20"/>
                <w:szCs w:val="20"/>
              </w:rPr>
              <w:t xml:space="preserve">src/memory.py</w:t>
            </w:r>
          </w:p>
        </w:tc>
        <w:tc>
          <w:tcPr>
            <w:tcW w:type="dxa" w:w="1700"/>
          </w:tcPr>
          <w:p>
            <w:r>
              <w:rPr>
                <w:rFonts w:ascii="Calibri" w:cs="Calibri" w:eastAsia="Calibri" w:hAnsi="Calibri"/>
                <w:b w:val="false"/>
                <w:bCs w:val="false"/>
                <w:sz w:val="20"/>
                <w:szCs w:val="20"/>
              </w:rPr>
              <w:t xml:space="preserve">No</w:t>
            </w:r>
          </w:p>
        </w:tc>
        <w:tc>
          <w:tcPr>
            <w:tcW w:type="dxa" w:w="4900"/>
          </w:tcPr>
          <w:p>
            <w:r>
              <w:rPr>
                <w:rFonts w:ascii="Calibri" w:cs="Calibri" w:eastAsia="Calibri" w:hAnsi="Calibri"/>
                <w:b w:val="false"/>
                <w:bCs w:val="false"/>
                <w:sz w:val="20"/>
                <w:szCs w:val="20"/>
              </w:rPr>
              <w:t xml:space="preserve">Memory Design and Data Handling Note §5: the application layer, not the model or any tool, performs memory reads/writes; get_outage_status has no access to case memory</w:t>
            </w:r>
          </w:p>
        </w:tc>
      </w:tr>
      <w:tr>
        <w:tc>
          <w:tcPr>
            <w:tcW w:type="dxa" w:w="2800"/>
          </w:tcPr>
          <w:p>
            <w:r>
              <w:rPr>
                <w:rFonts w:ascii="Calibri" w:cs="Calibri" w:eastAsia="Calibri" w:hAnsi="Calibri"/>
                <w:b w:val="false"/>
                <w:bCs w:val="false"/>
                <w:sz w:val="20"/>
                <w:szCs w:val="20"/>
              </w:rPr>
              <w:t xml:space="preserve">Human help-desk agent</w:t>
            </w:r>
          </w:p>
        </w:tc>
        <w:tc>
          <w:tcPr>
            <w:tcW w:type="dxa" w:w="1700"/>
          </w:tcPr>
          <w:p>
            <w:r>
              <w:rPr>
                <w:rFonts w:ascii="Calibri" w:cs="Calibri" w:eastAsia="Calibri" w:hAnsi="Calibri"/>
                <w:b w:val="false"/>
                <w:bCs w:val="false"/>
                <w:sz w:val="20"/>
                <w:szCs w:val="20"/>
              </w:rPr>
              <w:t xml:space="preserve">Indirect only, via the agent's tool_calls_made/tool_results record</w:t>
            </w:r>
          </w:p>
        </w:tc>
        <w:tc>
          <w:tcPr>
            <w:tcW w:type="dxa" w:w="4900"/>
          </w:tcPr>
          <w:p>
            <w:r>
              <w:rPr>
                <w:rFonts w:ascii="Calibri" w:cs="Calibri" w:eastAsia="Calibri" w:hAnsi="Calibri"/>
                <w:b w:val="false"/>
                <w:bCs w:val="false"/>
                <w:sz w:val="20"/>
                <w:szCs w:val="20"/>
              </w:rPr>
              <w:t xml:space="preserve">The tool itself has no separate human-triggered invocation path in this prototype</w:t>
            </w:r>
          </w:p>
        </w:tc>
      </w:tr>
    </w:tbl>
    <w:p>
      <w:pPr>
        <w:spacing w:after="120"/>
      </w:pPr>
      <w:r>
        <w:rPr>
          <w:rFonts w:ascii="Calibri" w:cs="Calibri" w:eastAsia="Calibri" w:hAnsi="Calibri"/>
        </w:rPr>
        <w:t xml:space="preserve">No human approval gate applies to this specific tool (unlike draft_ticket), because it cannot alter customer or system data — it can only retrieve current status. Every invocation is still bounded: it can only occur while iteration_count &lt; 3 (Week 6 state model §1.3; Week 5 Agent Task Contract), and every call and its result is recorded in tool_calls_made, tool_results, and the per-iteration trace, so authorization is enforced by code structure and is independently auditable after the fact.</w:t>
      </w:r>
    </w:p>
    <w:p>
      <w:pPr>
        <w:pStyle w:val="Heading1"/>
        <w:spacing w:after="140" w:before="280"/>
      </w:pPr>
      <w:r>
        <w:t xml:space="preserve">6. Security Boundary</w:t>
      </w:r>
    </w:p>
    <w:p>
      <w:pPr>
        <w:pStyle w:val="ListParagraph"/>
        <w:numPr>
          <w:ilvl w:val="0"/>
          <w:numId w:val="1"/>
        </w:numPr>
        <w:spacing w:after="60"/>
      </w:pPr>
      <w:r>
        <w:rPr>
          <w:rFonts w:ascii="Calibri" w:cs="Calibri" w:eastAsia="Calibri" w:hAnsi="Calibri"/>
        </w:rPr>
        <w:t xml:space="preserve">Data exposure: the tool returns only area-level outage status already appropriate to disclose to the customer asking about it. It never touches billing data, account numbers, or any field the Memory Design and Data Handling Note lists as “not stored” for the project overall.</w:t>
      </w:r>
    </w:p>
    <w:p>
      <w:pPr>
        <w:pStyle w:val="ListParagraph"/>
        <w:numPr>
          <w:ilvl w:val="0"/>
          <w:numId w:val="1"/>
        </w:numPr>
        <w:spacing w:after="60"/>
      </w:pPr>
      <w:r>
        <w:rPr>
          <w:rFonts w:ascii="Calibri" w:cs="Calibri" w:eastAsia="Calibri" w:hAnsi="Calibri"/>
        </w:rPr>
        <w:t xml:space="preserve">Input trust boundary: arguments originate from the model's tool_calls output, which is untrusted by the same reasoning src/agent.py already applies to the raw customer message. The tool layer (not the model) is the enforcement point: it revalidates type and enum membership independently of whatever the model claims.</w:t>
      </w:r>
    </w:p>
    <w:p>
      <w:pPr>
        <w:pStyle w:val="ListParagraph"/>
        <w:numPr>
          <w:ilvl w:val="0"/>
          <w:numId w:val="1"/>
        </w:numPr>
        <w:spacing w:after="60"/>
      </w:pPr>
      <w:r>
        <w:rPr>
          <w:rFonts w:ascii="Calibri" w:cs="Calibri" w:eastAsia="Calibri" w:hAnsi="Calibri"/>
        </w:rPr>
        <w:t xml:space="preserve">Output trust boundary (gap): results are not currently revalidated against outputSchema before being merged into the state returned to the human agent. If this capability were exposed through a real network-facing MCP server, an upstream compromise or a buggy backend could return a malformed structuredContent that the orchestrator would still report as a success. This is the same unresolved finding documented in the Week 4 and Week 5 evidence and is repeated here because it applies directly to this capability.</w:t>
      </w:r>
    </w:p>
    <w:p>
      <w:pPr>
        <w:pStyle w:val="ListParagraph"/>
        <w:numPr>
          <w:ilvl w:val="0"/>
          <w:numId w:val="1"/>
        </w:numPr>
        <w:spacing w:after="60"/>
      </w:pPr>
      <w:r>
        <w:rPr>
          <w:rFonts w:ascii="Calibri" w:cs="Calibri" w:eastAsia="Calibri" w:hAnsi="Calibri"/>
        </w:rPr>
        <w:t xml:space="preserve">Process/network boundary: today this capability is an in-process Python function call, not a listening MCP server — there is no network socket, no transport-level authentication, and no client/server handshake to secure. Treating it as a real external MCP endpoint would additionally require: transport security (TLS), server-side authentication of the calling client (distinct from validating the arguments themselves), and rate limiting per Week 6's own guidance for tool safeguards. None of this exists yet; it is listed as what would be required, not what is implemented, consistent with this deliverable being the “document” half of the Week 6 OR-clause rather than the “implement an external integration” half.</w:t>
      </w:r>
    </w:p>
    <w:p>
      <w:pPr>
        <w:pStyle w:val="ListParagraph"/>
        <w:numPr>
          <w:ilvl w:val="0"/>
          <w:numId w:val="1"/>
        </w:numPr>
        <w:spacing w:after="60"/>
      </w:pPr>
      <w:r>
        <w:rPr>
          <w:rFonts w:ascii="Calibri" w:cs="Calibri" w:eastAsia="Calibri" w:hAnsi="Calibri"/>
        </w:rPr>
        <w:t xml:space="preserve">Blast radius if misused: because the tool is read-only and idempotent (annotations above), the worst case of an unauthorized or malformed call is an incorrect status being shown to the human agent — not data loss, financial exposure, or an irreversible action. This is a materially smaller blast radius than draft_ticket, which is a second reason this tool was chosen for the specification.</w:t>
      </w:r>
    </w:p>
    <w:p>
      <w:pPr>
        <w:pStyle w:val="Heading1"/>
        <w:spacing w:after="140" w:before="280"/>
      </w:pPr>
      <w:r>
        <w:t xml:space="preserve">7. Relationship to Existing Project Documentation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E7E6E6" w:val="clear"/>
          </w:tcPr>
          <w:p>
            <w:r>
              <w:rPr>
                <w:rFonts w:ascii="Calibri" w:cs="Calibri" w:eastAsia="Calibri" w:hAnsi="Calibri"/>
                <w:b/>
                <w:bCs/>
                <w:sz w:val="20"/>
                <w:szCs w:val="20"/>
              </w:rPr>
              <w:t xml:space="preserve">Document</w:t>
            </w:r>
          </w:p>
        </w:tc>
        <w:tc>
          <w:tcPr>
            <w:tcW w:type="dxa" w:w="5800"/>
            <w:shd w:fill="E7E6E6" w:val="clear"/>
          </w:tcPr>
          <w:p>
            <w:r>
              <w:rPr>
                <w:rFonts w:ascii="Calibri" w:cs="Calibri" w:eastAsia="Calibri" w:hAnsi="Calibri"/>
                <w:b/>
                <w:bCs/>
                <w:sz w:val="20"/>
                <w:szCs w:val="20"/>
              </w:rPr>
              <w:t xml:space="preserve">What it already establishes about this tool</w:t>
            </w:r>
          </w:p>
        </w:tc>
      </w:tr>
      <w:tr>
        <w:tc>
          <w:tcPr>
            <w:tcW w:type="dxa" w:w="3600"/>
          </w:tcPr>
          <w:p>
            <w:r>
              <w:rPr>
                <w:rFonts w:ascii="Calibri" w:cs="Calibri" w:eastAsia="Calibri" w:hAnsi="Calibri"/>
                <w:b w:val="false"/>
                <w:bCs w:val="false"/>
                <w:sz w:val="20"/>
                <w:szCs w:val="20"/>
              </w:rPr>
              <w:t xml:space="preserve">docs/requirements/Tool_Catalogue_and_Schemas.docx (Week 4)</w:t>
            </w:r>
          </w:p>
        </w:tc>
        <w:tc>
          <w:tcPr>
            <w:tcW w:type="dxa" w:w="5800"/>
          </w:tcPr>
          <w:p>
            <w:r>
              <w:rPr>
                <w:rFonts w:ascii="Calibri" w:cs="Calibri" w:eastAsia="Calibri" w:hAnsi="Calibri"/>
                <w:b w:val="false"/>
                <w:bCs w:val="false"/>
                <w:sz w:val="20"/>
                <w:szCs w:val="20"/>
              </w:rPr>
              <w:t xml:space="preserve">Original purpose, when to call it, authorization rationale, and documented failure behaviour</w:t>
            </w:r>
          </w:p>
        </w:tc>
      </w:tr>
      <w:tr>
        <w:tc>
          <w:tcPr>
            <w:tcW w:type="dxa" w:w="3600"/>
          </w:tcPr>
          <w:p>
            <w:r>
              <w:rPr>
                <w:rFonts w:ascii="Calibri" w:cs="Calibri" w:eastAsia="Calibri" w:hAnsi="Calibri"/>
                <w:b w:val="false"/>
                <w:bCs w:val="false"/>
                <w:sz w:val="20"/>
                <w:szCs w:val="20"/>
              </w:rPr>
              <w:t xml:space="preserve">docs/requirements/Agent_Task_Contract for week 5.docx</w:t>
            </w:r>
          </w:p>
        </w:tc>
        <w:tc>
          <w:tcPr>
            <w:tcW w:type="dxa" w:w="5800"/>
          </w:tcPr>
          <w:p>
            <w:r>
              <w:rPr>
                <w:rFonts w:ascii="Calibri" w:cs="Calibri" w:eastAsia="Calibri" w:hAnsi="Calibri"/>
                <w:b w:val="false"/>
                <w:bCs w:val="false"/>
                <w:sz w:val="20"/>
                <w:szCs w:val="20"/>
              </w:rPr>
              <w:t xml:space="preserve">Tool permission matrix and the MAX_ITERATIONS=3 bound this tool operates under</w:t>
            </w:r>
          </w:p>
        </w:tc>
      </w:tr>
      <w:tr>
        <w:tc>
          <w:tcPr>
            <w:tcW w:type="dxa" w:w="3600"/>
          </w:tcPr>
          <w:p>
            <w:r>
              <w:rPr>
                <w:rFonts w:ascii="Calibri" w:cs="Calibri" w:eastAsia="Calibri" w:hAnsi="Calibri"/>
                <w:b w:val="false"/>
                <w:bCs w:val="false"/>
                <w:sz w:val="20"/>
                <w:szCs w:val="20"/>
              </w:rPr>
              <w:t xml:space="preserve">docs/requirements/Week6_Workflow_State_Model.docx</w:t>
            </w:r>
          </w:p>
        </w:tc>
        <w:tc>
          <w:tcPr>
            <w:tcW w:type="dxa" w:w="5800"/>
          </w:tcPr>
          <w:p>
            <w:r>
              <w:rPr>
                <w:rFonts w:ascii="Calibri" w:cs="Calibri" w:eastAsia="Calibri" w:hAnsi="Calibri"/>
                <w:b w:val="false"/>
                <w:bCs w:val="false"/>
                <w:sz w:val="20"/>
                <w:szCs w:val="20"/>
              </w:rPr>
              <w:t xml:space="preserve">tool_calls_made and tool_results fields that record every invocation of this tool for the current run</w:t>
            </w:r>
          </w:p>
        </w:tc>
      </w:tr>
      <w:tr>
        <w:tc>
          <w:tcPr>
            <w:tcW w:type="dxa" w:w="3600"/>
          </w:tcPr>
          <w:p>
            <w:r>
              <w:rPr>
                <w:rFonts w:ascii="Calibri" w:cs="Calibri" w:eastAsia="Calibri" w:hAnsi="Calibri"/>
                <w:b w:val="false"/>
                <w:bCs w:val="false"/>
                <w:sz w:val="20"/>
                <w:szCs w:val="20"/>
              </w:rPr>
              <w:t xml:space="preserve">evidence/traces/week4_failure_authorization_results.csv (FA-01, FA-02, FA-07)</w:t>
            </w:r>
          </w:p>
        </w:tc>
        <w:tc>
          <w:tcPr>
            <w:tcW w:type="dxa" w:w="5800"/>
          </w:tcPr>
          <w:p>
            <w:r>
              <w:rPr>
                <w:rFonts w:ascii="Calibri" w:cs="Calibri" w:eastAsia="Calibri" w:hAnsi="Calibri"/>
                <w:b w:val="false"/>
                <w:bCs w:val="false"/>
                <w:sz w:val="20"/>
                <w:szCs w:val="20"/>
              </w:rPr>
              <w:t xml:space="preserve">Real, executed test evidence for the missing-parameter and simulated-outage-feed-down failure paths described in section 4</w:t>
            </w:r>
          </w:p>
        </w:tc>
      </w:tr>
    </w:tbl>
    <w:p>
      <w:pPr>
        <w:spacing w:after="120"/>
      </w:pPr>
      <w:r>
        <w:rPr>
          <w:rFonts w:ascii="Calibri" w:cs="Calibri" w:eastAsia="Calibri" w:hAnsi="Calibri"/>
        </w:rPr>
        <w:t xml:space="preserve">This specification does not replace any of the above; it adds the MCP-shaped framing (formal input/output JSON Schema, annotations, and an explicit security-boundary analysis) that none of the earlier documents were written to provide.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2026-10-14T15:53:47.197Z</dcterms:created>
  <dcterms:modified xsi:type="dcterms:W3CDTF">2026-10-14T15:53:47.209Z</dcterms:modified>
</cp:coreProperties>
</file>

<file path=docProps/custom.xml><?xml version="1.0" encoding="utf-8"?>
<Properties xmlns="http://schemas.openxmlformats.org/officeDocument/2006/custom-properties" xmlns:vt="http://schemas.openxmlformats.org/officeDocument/2006/docPropsVTypes"/>
</file>