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7512"/>
          <w:sz w:val="76"/>
        </w:rPr>
        <w:t>FENCEBOUND</w:t>
      </w:r>
    </w:p>
    <w:p>
      <w:pPr>
        <w:jc w:val="center"/>
      </w:pPr>
      <w:r>
        <w:rPr>
          <w:b/>
          <w:color w:val="242424"/>
          <w:sz w:val="60"/>
        </w:rPr>
        <w:t>Development Bible</w:t>
      </w:r>
    </w:p>
    <w:p>
      <w:pPr>
        <w:jc w:val="center"/>
      </w:pPr>
      <w:r>
        <w:t>Revision 25</w:t>
      </w:r>
    </w:p>
    <w:p>
      <w:pPr>
        <w:jc w:val="center"/>
      </w:pPr>
      <w:r>
        <w:rPr>
          <w:i/>
        </w:rPr>
        <w:t>Authoritative engineering manual for the FenceBound software ecosystem</w:t>
      </w:r>
    </w:p>
    <w:p/>
    <w:p/>
    <w:p/>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vAlign w:val="center"/>
            <w:shd w:fill="E87512"/>
          </w:tcPr>
          <w:p>
            <w:r>
              <w:rPr>
                <w:sz w:val="18"/>
              </w:rPr>
            </w:r>
            <w:r>
              <w:rPr>
                <w:b/>
                <w:color w:val="FFFFFF"/>
                <w:sz w:val="18"/>
              </w:rPr>
              <w:t>Field</w:t>
            </w:r>
          </w:p>
        </w:tc>
        <w:tc>
          <w:tcPr>
            <w:tcW w:type="dxa" w:w="6768"/>
            <w:vAlign w:val="center"/>
            <w:shd w:fill="E87512"/>
          </w:tcPr>
          <w:p>
            <w:r>
              <w:rPr>
                <w:sz w:val="18"/>
              </w:rPr>
            </w:r>
            <w:r>
              <w:rPr>
                <w:b/>
                <w:color w:val="FFFFFF"/>
                <w:sz w:val="18"/>
              </w:rPr>
              <w:t>Value</w:t>
            </w:r>
          </w:p>
        </w:tc>
      </w:tr>
      <w:tr>
        <w:tc>
          <w:tcPr>
            <w:tcW w:type="dxa" w:w="3024"/>
            <w:vAlign w:val="center"/>
            <w:shd w:fill="F7F3EE"/>
          </w:tcPr>
          <w:p>
            <w:r>
              <w:rPr>
                <w:sz w:val="18"/>
              </w:rPr>
            </w:r>
            <w:r>
              <w:rPr>
                <w:b w:val="0"/>
                <w:sz w:val="17"/>
              </w:rPr>
              <w:t>Document status</w:t>
            </w:r>
          </w:p>
        </w:tc>
        <w:tc>
          <w:tcPr>
            <w:tcW w:type="dxa" w:w="6768"/>
            <w:vAlign w:val="center"/>
            <w:shd w:fill="F7F3EE"/>
          </w:tcPr>
          <w:p>
            <w:r>
              <w:rPr>
                <w:sz w:val="18"/>
              </w:rPr>
            </w:r>
            <w:r>
              <w:rPr>
                <w:b w:val="0"/>
                <w:sz w:val="17"/>
              </w:rPr>
              <w:t>Working canonical revision</w:t>
            </w:r>
          </w:p>
        </w:tc>
      </w:tr>
      <w:tr>
        <w:tc>
          <w:tcPr>
            <w:tcW w:type="dxa" w:w="3024"/>
            <w:vAlign w:val="center"/>
          </w:tcPr>
          <w:p>
            <w:r>
              <w:rPr>
                <w:sz w:val="18"/>
              </w:rPr>
            </w:r>
            <w:r>
              <w:rPr>
                <w:b w:val="0"/>
                <w:sz w:val="17"/>
              </w:rPr>
              <w:t>Supersedes</w:t>
            </w:r>
          </w:p>
        </w:tc>
        <w:tc>
          <w:tcPr>
            <w:tcW w:type="dxa" w:w="6768"/>
            <w:vAlign w:val="center"/>
          </w:tcPr>
          <w:p>
            <w:r>
              <w:t>FenceBound Development Bible Revision 23</w:t>
            </w:r>
          </w:p>
        </w:tc>
      </w:tr>
      <w:tr>
        <w:tc>
          <w:tcPr>
            <w:tcW w:type="dxa" w:w="3024"/>
            <w:vAlign w:val="center"/>
            <w:shd w:fill="F7F3EE"/>
          </w:tcPr>
          <w:p>
            <w:r>
              <w:rPr>
                <w:sz w:val="18"/>
              </w:rPr>
            </w:r>
            <w:r>
              <w:rPr>
                <w:b w:val="0"/>
                <w:sz w:val="17"/>
              </w:rPr>
              <w:t>CAD baseline</w:t>
            </w:r>
          </w:p>
        </w:tc>
        <w:tc>
          <w:tcPr>
            <w:tcW w:type="dxa" w:w="6768"/>
            <w:vAlign w:val="center"/>
            <w:shd w:fill="F7F3EE"/>
          </w:tcPr>
          <w:p>
            <w:r>
              <w:rPr>
                <w:sz w:val="18"/>
              </w:rPr>
              <w:t>FenceboundCAD v5.3.1</w:t>
            </w:r>
          </w:p>
        </w:tc>
      </w:tr>
      <w:tr>
        <w:tc>
          <w:tcPr>
            <w:tcW w:type="dxa" w:w="3024"/>
            <w:vAlign w:val="center"/>
          </w:tcPr>
          <w:p>
            <w:r>
              <w:rPr>
                <w:sz w:val="18"/>
              </w:rPr>
            </w:r>
            <w:r>
              <w:rPr>
                <w:b w:val="0"/>
                <w:sz w:val="17"/>
              </w:rPr>
              <w:t>Rate Card baseline</w:t>
            </w:r>
          </w:p>
        </w:tc>
        <w:tc>
          <w:tcPr>
            <w:tcW w:type="dxa" w:w="6768"/>
            <w:vAlign w:val="center"/>
          </w:tcPr>
          <w:p>
            <w:r>
              <w:rPr>
                <w:sz w:val="18"/>
              </w:rPr>
            </w:r>
            <w:r>
              <w:rPr>
                <w:b w:val="0"/>
                <w:sz w:val="17"/>
              </w:rPr>
              <w:t>FenceboundRateCard v2.0, known compatibility drift</w:t>
            </w:r>
          </w:p>
        </w:tc>
      </w:tr>
      <w:tr>
        <w:tc>
          <w:tcPr>
            <w:tcW w:type="dxa" w:w="3024"/>
            <w:vAlign w:val="center"/>
            <w:shd w:fill="F7F3EE"/>
          </w:tcPr>
          <w:p>
            <w:r>
              <w:rPr>
                <w:sz w:val="18"/>
              </w:rPr>
            </w:r>
            <w:r>
              <w:rPr>
                <w:b w:val="0"/>
                <w:sz w:val="17"/>
              </w:rPr>
              <w:t>FenceScraper baseline</w:t>
            </w:r>
          </w:p>
        </w:tc>
        <w:tc>
          <w:tcPr>
            <w:tcW w:type="dxa" w:w="6768"/>
            <w:vAlign w:val="center"/>
            <w:shd w:fill="F7F3EE"/>
          </w:tcPr>
          <w:p>
            <w:r>
              <w:rPr>
                <w:sz w:val="18"/>
              </w:rPr>
              <w:t>FenceScraper v2.5</w:t>
            </w:r>
          </w:p>
        </w:tc>
      </w:tr>
      <w:tr>
        <w:tc>
          <w:tcPr>
            <w:tcW w:type="dxa" w:w="3024"/>
            <w:vAlign w:val="center"/>
          </w:tcPr>
          <w:p>
            <w:r>
              <w:rPr>
                <w:sz w:val="18"/>
              </w:rPr>
            </w:r>
            <w:r>
              <w:rPr>
                <w:b w:val="0"/>
                <w:sz w:val="17"/>
              </w:rPr>
              <w:t>Date</w:t>
            </w:r>
          </w:p>
        </w:tc>
        <w:tc>
          <w:tcPr>
            <w:tcW w:type="dxa" w:w="6768"/>
            <w:vAlign w:val="center"/>
          </w:tcPr>
          <w:p>
            <w:r>
              <w:rPr>
                <w:sz w:val="18"/>
              </w:rPr>
              <w:t>July 2026</w:t>
            </w:r>
          </w:p>
        </w:tc>
      </w:tr>
      <w:tr>
        <w:tc>
          <w:tcPr>
            <w:tcW w:type="dxa" w:w="3024"/>
            <w:vAlign w:val="center"/>
            <w:shd w:fill="F7F3EE"/>
          </w:tcPr>
          <w:p>
            <w:r>
              <w:rPr>
                <w:sz w:val="18"/>
              </w:rPr>
            </w:r>
            <w:r>
              <w:rPr>
                <w:b w:val="0"/>
                <w:sz w:val="17"/>
              </w:rPr>
              <w:t>Owner</w:t>
            </w:r>
          </w:p>
        </w:tc>
        <w:tc>
          <w:tcPr>
            <w:tcW w:type="dxa" w:w="6768"/>
            <w:vAlign w:val="center"/>
            <w:shd w:fill="F7F3EE"/>
          </w:tcPr>
          <w:p>
            <w:r>
              <w:rPr>
                <w:sz w:val="18"/>
              </w:rPr>
            </w:r>
            <w:r>
              <w:rPr>
                <w:b w:val="0"/>
                <w:sz w:val="17"/>
              </w:rPr>
              <w:t>Justin Edwards (Brillo)</w:t>
            </w:r>
          </w:p>
        </w:tc>
      </w:tr>
      <w:tr>
        <w:tc>
          <w:tcPr>
            <w:tcW w:type="dxa" w:w="3024"/>
            <w:vAlign w:val="center"/>
          </w:tcPr>
          <w:p>
            <w:r>
              <w:rPr>
                <w:sz w:val="18"/>
              </w:rPr>
            </w:r>
            <w:r>
              <w:rPr>
                <w:b w:val="0"/>
                <w:sz w:val="17"/>
              </w:rPr>
              <w:t>Software brand</w:t>
            </w:r>
          </w:p>
        </w:tc>
        <w:tc>
          <w:tcPr>
            <w:tcW w:type="dxa" w:w="6768"/>
            <w:vAlign w:val="center"/>
          </w:tcPr>
          <w:p>
            <w:r>
              <w:rPr>
                <w:sz w:val="18"/>
              </w:rPr>
            </w:r>
            <w:r>
              <w:rPr>
                <w:b w:val="0"/>
                <w:sz w:val="17"/>
              </w:rPr>
              <w:t>FenceBound</w:t>
            </w:r>
          </w:p>
        </w:tc>
      </w:tr>
      <w:tr>
        <w:tc>
          <w:tcPr>
            <w:tcW w:type="dxa" w:w="3024"/>
            <w:vAlign w:val="center"/>
            <w:shd w:fill="F7F3EE"/>
          </w:tcPr>
          <w:p>
            <w:r>
              <w:rPr>
                <w:sz w:val="18"/>
              </w:rPr>
            </w:r>
            <w:r>
              <w:rPr>
                <w:b w:val="0"/>
                <w:sz w:val="17"/>
              </w:rPr>
              <w:t>Contracting business</w:t>
            </w:r>
          </w:p>
        </w:tc>
        <w:tc>
          <w:tcPr>
            <w:tcW w:type="dxa" w:w="6768"/>
            <w:vAlign w:val="center"/>
            <w:shd w:fill="F7F3EE"/>
          </w:tcPr>
          <w:p>
            <w:r>
              <w:rPr>
                <w:sz w:val="18"/>
              </w:rPr>
            </w:r>
            <w:r>
              <w:rPr>
                <w:b w:val="0"/>
                <w:sz w:val="17"/>
              </w:rPr>
              <w:t>Far-Out Fencing Co.</w:t>
            </w:r>
          </w:p>
        </w:tc>
      </w:tr>
    </w:tbl>
    <w:p/>
    <w:tbl>
      <w:tblPr>
        <w:tblW w:type="auto" w:w="0"/>
        <w:jc w:val="center"/>
        <w:tblLook w:firstColumn="1" w:firstRow="1" w:lastColumn="0" w:lastRow="0" w:noHBand="0" w:noVBand="1" w:val="04A0"/>
      </w:tblPr>
      <w:tblGrid>
        <w:gridCol w:w="10224"/>
      </w:tblGrid>
      <w:tr>
        <w:tc>
          <w:tcPr>
            <w:tcW w:type="dxa" w:w="10224"/>
            <w:shd w:fill="EAF4EA"/>
          </w:tcPr>
          <w:p>
            <w:r>
              <w:rPr>
                <w:b/>
                <w:color w:val="2E7D32"/>
                <w:sz w:val="18"/>
              </w:rPr>
              <w:t xml:space="preserve">SOURCE OF TRUTH  </w:t>
            </w:r>
            <w:r>
              <w:rPr>
                <w:sz w:val="18"/>
              </w:rPr>
              <w:t>This document is authoritative for project intent, architecture, constraints, status, and priorities. Code remains authoritative for current runtime behavior. When the two disagree, the discrepancy must be recorded and resolved with evidence, never silently guessed.</w:t>
            </w:r>
          </w:p>
        </w:tc>
      </w:tr>
    </w:tbl>
    <w:p/>
    <w:p>
      <w:r/>
    </w:p>
    <w:p>
      <w:pPr>
        <w:pStyle w:val="Heading1"/>
      </w:pPr>
      <w:r>
        <w:t>Document Control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440"/>
            <w:vAlign w:val="center"/>
            <w:shd w:fill="E87512"/>
          </w:tcPr>
          <w:p>
            <w:r>
              <w:rPr>
                <w:sz w:val="18"/>
              </w:rPr>
            </w:r>
            <w:r>
              <w:rPr>
                <w:b/>
                <w:color w:val="FFFFFF"/>
                <w:sz w:val="18"/>
              </w:rPr>
              <w:t>Revision</w:t>
            </w:r>
          </w:p>
        </w:tc>
        <w:tc>
          <w:tcPr>
            <w:tcW w:type="dxa" w:w="1440"/>
            <w:vAlign w:val="center"/>
            <w:shd w:fill="E87512"/>
          </w:tcPr>
          <w:p>
            <w:r>
              <w:rPr>
                <w:sz w:val="18"/>
              </w:rPr>
            </w:r>
            <w:r>
              <w:rPr>
                <w:b/>
                <w:color w:val="FFFFFF"/>
                <w:sz w:val="18"/>
              </w:rPr>
              <w:t>Date</w:t>
            </w:r>
          </w:p>
        </w:tc>
        <w:tc>
          <w:tcPr>
            <w:tcW w:type="dxa" w:w="1584"/>
            <w:vAlign w:val="center"/>
            <w:shd w:fill="E87512"/>
          </w:tcPr>
          <w:p>
            <w:r>
              <w:rPr>
                <w:sz w:val="18"/>
              </w:rPr>
            </w:r>
            <w:r>
              <w:rPr>
                <w:b/>
                <w:color w:val="FFFFFF"/>
                <w:sz w:val="18"/>
              </w:rPr>
              <w:t>Status</w:t>
            </w:r>
          </w:p>
        </w:tc>
        <w:tc>
          <w:tcPr>
            <w:tcW w:type="dxa" w:w="5760"/>
            <w:vAlign w:val="center"/>
            <w:shd w:fill="E87512"/>
          </w:tcPr>
          <w:p>
            <w:r>
              <w:rPr>
                <w:sz w:val="18"/>
              </w:rPr>
            </w:r>
            <w:r>
              <w:rPr>
                <w:b/>
                <w:color w:val="FFFFFF"/>
                <w:sz w:val="18"/>
              </w:rPr>
              <w:t>Summary</w:t>
            </w:r>
          </w:p>
        </w:tc>
      </w:tr>
      <w:tr>
        <w:tc>
          <w:tcPr>
            <w:tcW w:type="dxa" w:w="1440"/>
            <w:vAlign w:val="center"/>
            <w:shd w:fill="F7F3EE"/>
          </w:tcPr>
          <w:p>
            <w:r>
              <w:rPr>
                <w:sz w:val="18"/>
              </w:rPr>
            </w:r>
            <w:r>
              <w:rPr>
                <w:b w:val="0"/>
                <w:sz w:val="17"/>
              </w:rPr>
              <w:t>v5.3 legacy</w:t>
            </w:r>
          </w:p>
        </w:tc>
        <w:tc>
          <w:tcPr>
            <w:tcW w:type="dxa" w:w="1440"/>
            <w:vAlign w:val="center"/>
            <w:shd w:fill="F7F3EE"/>
          </w:tcPr>
          <w:p>
            <w:r>
              <w:rPr>
                <w:sz w:val="18"/>
              </w:rPr>
            </w:r>
            <w:r>
              <w:rPr>
                <w:b w:val="0"/>
                <w:sz w:val="17"/>
              </w:rPr>
              <w:t>July 2026</w:t>
            </w:r>
          </w:p>
        </w:tc>
        <w:tc>
          <w:tcPr>
            <w:tcW w:type="dxa" w:w="1584"/>
            <w:vAlign w:val="center"/>
            <w:shd w:fill="F7F3EE"/>
          </w:tcPr>
          <w:p>
            <w:r>
              <w:rPr>
                <w:sz w:val="18"/>
              </w:rPr>
            </w:r>
            <w:r>
              <w:rPr>
                <w:b w:val="0"/>
                <w:sz w:val="17"/>
              </w:rPr>
              <w:t>Superseded</w:t>
            </w:r>
          </w:p>
        </w:tc>
        <w:tc>
          <w:tcPr>
            <w:tcW w:type="dxa" w:w="5760"/>
            <w:vAlign w:val="center"/>
            <w:shd w:fill="F7F3EE"/>
          </w:tcPr>
          <w:p>
            <w:r>
              <w:rPr>
                <w:sz w:val="18"/>
              </w:rPr>
            </w:r>
            <w:r>
              <w:rPr>
                <w:b w:val="0"/>
                <w:sz w:val="17"/>
              </w:rPr>
              <w:t>CAD-focused session handoff containing current facts, historical narrative, and stale sections.</w:t>
            </w:r>
          </w:p>
        </w:tc>
      </w:tr>
      <w:tr>
        <w:tc>
          <w:tcPr>
            <w:tcW w:type="dxa" w:w="1440"/>
            <w:vAlign w:val="center"/>
          </w:tcPr>
          <w:p>
            <w:r>
              <w:rPr>
                <w:sz w:val="18"/>
              </w:rPr>
              <w:t>Revision 18</w:t>
            </w:r>
          </w:p>
        </w:tc>
        <w:tc>
          <w:tcPr>
            <w:tcW w:type="dxa" w:w="1440"/>
            <w:vAlign w:val="center"/>
          </w:tcPr>
          <w:p>
            <w:r>
              <w:rPr>
                <w:sz w:val="18"/>
              </w:rPr>
            </w:r>
            <w:r>
              <w:rPr>
                <w:b w:val="0"/>
                <w:sz w:val="17"/>
              </w:rPr>
              <w:t>July 2026</w:t>
            </w:r>
          </w:p>
        </w:tc>
        <w:tc>
          <w:tcPr>
            <w:tcW w:type="dxa" w:w="1584"/>
            <w:vAlign w:val="center"/>
          </w:tcPr>
          <w:p>
            <w:r>
              <w:rPr>
                <w:sz w:val="18"/>
              </w:rPr>
              <w:t>Superseded</w:t>
            </w:r>
          </w:p>
        </w:tc>
        <w:tc>
          <w:tcPr>
            <w:tcW w:type="dxa" w:w="5760"/>
            <w:vAlign w:val="center"/>
          </w:tcPr>
          <w:p>
            <w:r>
              <w:rPr>
                <w:sz w:val="18"/>
              </w:rPr>
              <w:t>Established the ecosystem-level engineering manual, evidence model, integration contracts, debt register, and business dependency separation.</w:t>
            </w:r>
          </w:p>
        </w:tc>
      </w:tr>
      <w:tr>
        <w:tc>
          <w:tcPr>
            <w:tcW w:type="dxa" w:w="2556"/>
          </w:tcPr>
          <w:p>
            <w:r>
              <w:rPr>
                <w:sz w:val="18"/>
              </w:rPr>
              <w:t>Revision 19</w:t>
            </w:r>
          </w:p>
        </w:tc>
        <w:tc>
          <w:tcPr>
            <w:tcW w:type="dxa" w:w="2556"/>
          </w:tcPr>
          <w:p>
            <w:r>
              <w:rPr>
                <w:sz w:val="18"/>
              </w:rPr>
              <w:t>July 2026</w:t>
            </w:r>
          </w:p>
        </w:tc>
        <w:tc>
          <w:tcPr>
            <w:tcW w:type="dxa" w:w="2556"/>
          </w:tcPr>
          <w:p>
            <w:r>
              <w:rPr>
                <w:sz w:val="18"/>
              </w:rPr>
              <w:t>Superseded</w:t>
            </w:r>
          </w:p>
        </w:tc>
        <w:tc>
          <w:tcPr>
            <w:tcW w:type="dxa" w:w="2556"/>
          </w:tcPr>
          <w:p>
            <w:r>
              <w:rPr>
                <w:sz w:val="18"/>
              </w:rPr>
              <w:t>Added commercial positioning, plan-to-bid workflow, interoperability order, commercial scope metadata, export classes, calibrated plan takeoff direction, and object-level revision strategy.</w:t>
            </w:r>
          </w:p>
        </w:tc>
      </w:tr>
      <w:tr>
        <w:tc>
          <w:tcPr>
            <w:tcW w:type="dxa" w:w="2556"/>
          </w:tcPr>
          <w:p>
            <w:r>
              <w:rPr>
                <w:sz w:val="18"/>
              </w:rPr>
              <w:t>Revision 20</w:t>
            </w:r>
          </w:p>
        </w:tc>
        <w:tc>
          <w:tcPr>
            <w:tcW w:type="dxa" w:w="2556"/>
          </w:tcPr>
          <w:p>
            <w:r>
              <w:rPr>
                <w:sz w:val="18"/>
              </w:rPr>
              <w:t>July 2026</w:t>
            </w:r>
          </w:p>
        </w:tc>
        <w:tc>
          <w:tcPr>
            <w:tcW w:type="dxa" w:w="2556"/>
          </w:tcPr>
          <w:p>
            <w:r>
              <w:rPr>
                <w:sz w:val="18"/>
              </w:rPr>
              <w:t>Superseded</w:t>
            </w:r>
          </w:p>
        </w:tc>
        <w:tc>
          <w:tcPr>
            <w:tcW w:type="dxa" w:w="2556"/>
          </w:tcPr>
          <w:p>
            <w:r>
              <w:rPr>
                <w:sz w:val="18"/>
              </w:rPr>
              <w:t>Closed TD-011 by revoking the cost-price export object URL in FenceboundCAD v5.3.1; updated runtime baseline and verification records.</w:t>
            </w:r>
          </w:p>
        </w:tc>
      </w:tr>
      <w:tr>
        <w:tc>
          <w:tcPr>
            <w:tcW w:type="dxa" w:w="2556"/>
          </w:tcPr>
          <w:p>
            <w:r>
              <w:rPr>
                <w:sz w:val="18"/>
              </w:rPr>
              <w:t>Revision 21</w:t>
            </w:r>
          </w:p>
        </w:tc>
        <w:tc>
          <w:tcPr>
            <w:tcW w:type="dxa" w:w="2556"/>
          </w:tcPr>
          <w:p>
            <w:r>
              <w:rPr>
                <w:sz w:val="18"/>
              </w:rPr>
              <w:t>July 2026</w:t>
            </w:r>
          </w:p>
        </w:tc>
        <w:tc>
          <w:tcPr>
            <w:tcW w:type="dxa" w:w="2556"/>
          </w:tcPr>
          <w:p>
            <w:r>
              <w:rPr>
                <w:sz w:val="18"/>
              </w:rPr>
              <w:t>Superseded</w:t>
            </w:r>
          </w:p>
        </w:tc>
        <w:tc>
          <w:tcPr>
            <w:tcW w:type="dxa" w:w="2556"/>
          </w:tcPr>
          <w:p>
            <w:r>
              <w:rPr>
                <w:sz w:val="18"/>
              </w:rPr>
              <w:t>Closed TD-006 by replacing untrusted FenceScraper HTML interpolation with DOM/textContent rendering and validating external URLs in FenceScraper v2.1.</w:t>
            </w:r>
          </w:p>
        </w:tc>
      </w:tr>
      <w:tr>
        <w:tc>
          <w:tcPr>
            <w:tcW w:type="dxa" w:w="2556"/>
          </w:tcPr>
          <w:p>
            <w:r>
              <w:rPr>
                <w:sz w:val="18"/>
              </w:rPr>
              <w:t>Revision 22</w:t>
            </w:r>
          </w:p>
        </w:tc>
        <w:tc>
          <w:tcPr>
            <w:tcW w:type="dxa" w:w="2556"/>
          </w:tcPr>
          <w:p>
            <w:r>
              <w:rPr>
                <w:sz w:val="18"/>
              </w:rPr>
              <w:t>July 2026</w:t>
            </w:r>
          </w:p>
        </w:tc>
        <w:tc>
          <w:tcPr>
            <w:tcW w:type="dxa" w:w="2556"/>
          </w:tcPr>
          <w:p>
            <w:r>
              <w:t>Superseded</w:t>
            </w:r>
          </w:p>
        </w:tc>
        <w:tc>
          <w:tcPr>
            <w:tcW w:type="dxa" w:w="2556"/>
          </w:tcPr>
          <w:p>
            <w:r>
              <w:rPr>
                <w:sz w:val="18"/>
              </w:rPr>
              <w:t>Closed TD-007 by parallelizing source execution, adding request timeouts, source-specific failure handling, and NC IPS parser validation in FenceScraper v2.2.</w:t>
            </w:r>
          </w:p>
        </w:tc>
      </w:tr>
      <w:tr>
        <w:tc>
          <w:tcPr>
            <w:tcW w:type="dxa" w:w="2556"/>
          </w:tcPr>
          <w:p>
            <w:r>
              <w:t>Revision 23</w:t>
            </w:r>
          </w:p>
        </w:tc>
        <w:tc>
          <w:tcPr>
            <w:tcW w:type="dxa" w:w="2556"/>
          </w:tcPr>
          <w:p>
            <w:r>
              <w:t>July 2026</w:t>
            </w:r>
          </w:p>
        </w:tc>
        <w:tc>
          <w:tcPr>
            <w:tcW w:type="dxa" w:w="2556"/>
          </w:tcPr>
          <w:p>
            <w:r>
              <w:t>Superseded</w:t>
            </w:r>
          </w:p>
        </w:tc>
        <w:tc>
          <w:tcPr>
            <w:tcW w:type="dxa" w:w="2556"/>
          </w:tcPr>
          <w:p>
            <w:r>
              <w:t>Locked FenceScraper Level 1 as a deterministic, vendor-independent source connector and normalization engine; removed Anthropic as a core dependency; added optional provider-neutral intelligence as future work.</w:t>
            </w:r>
          </w:p>
        </w:tc>
      </w:tr>
      <w:tr>
        <w:tc>
          <w:tcPr>
            <w:tcW w:type="dxa" w:w="2556"/>
          </w:tcPr>
          <w:p>
            <w:r>
              <w:t xml:space="preserve">Revision 24</w:t>
            </w:r>
          </w:p>
        </w:tc>
        <w:tc>
          <w:tcPr>
            <w:tcW w:type="dxa" w:w="2556"/>
          </w:tcPr>
          <w:p>
            <w:r>
              <w:t xml:space="preserve">July 2026</w:t>
            </w:r>
          </w:p>
        </w:tc>
        <w:tc>
          <w:tcPr>
            <w:tcW w:type="dxa" w:w="2556"/>
          </w:tcPr>
          <w:p>
            <w:r>
              <w:t xml:space="preserve">Superseded</w:t>
            </w:r>
          </w:p>
        </w:tc>
        <w:tc>
          <w:tcPr>
            <w:tcW w:type="dxa" w:w="2556"/>
          </w:tcPr>
          <w:p>
            <w:r>
              <w:t xml:space="preserve">Recorded FenceScraper v2.3–v2.4 bid-tab parser and competitor-price normalizer (deterministic, gated against the real L260616 fixture). Closed TD-018 and TD-019; added TD-020 (RSMeans benchmark view) with its observed-market slice built and gated. Bumped FenceScraper baseline to v2.4.</w:t>
            </w:r>
          </w:p>
        </w:tc>
      </w:tr>
      <w:tr>
        <w:tc>
          <w:tcPr>
            <w:tcW w:type="dxa" w:w="2556"/>
          </w:tcPr>
          <w:p>
            <w:r>
              <w:t xml:space="preserve">Revision 25</w:t>
            </w:r>
          </w:p>
        </w:tc>
        <w:tc>
          <w:tcPr>
            <w:tcW w:type="dxa" w:w="2556"/>
          </w:tcPr>
          <w:p>
            <w:r>
              <w:t xml:space="preserve">July 2026</w:t>
            </w:r>
          </w:p>
        </w:tc>
        <w:tc>
          <w:tcPr>
            <w:tcW w:type="dxa" w:w="2556"/>
          </w:tcPr>
          <w:p>
            <w:r>
              <w:t xml:space="preserve">Current</w:t>
            </w:r>
          </w:p>
        </w:tc>
        <w:tc>
          <w:tcPr>
            <w:tcW w:type="dxa" w:w="2556"/>
          </w:tcPr>
          <w:p>
            <w:r>
              <w:t xml:space="preserve">Verified the full 100-county NCDOT division map against NCDOT primary sources (County/Division/District Guide, cross-checked with the 2026-01-28 Division Traffic Engineer list); corrected Halifax to Division 4 and Richmond to Division 8 (Division 10 home region is five counties: Anson, Cabarrus, Mecklenburg, Stanly, Union). Closed TD-021 (relevance word-boundary matching). Stamped FenceScraper v2.5. The RSMeans CSI MasterFormat crosswalk remains unverified by design, scheduled with the RSMeans import under TD-020.</w:t>
            </w:r>
          </w:p>
        </w:tc>
      </w:tr>
    </w:tbl>
    <w:p/>
    <w:p>
      <w:pPr>
        <w:pStyle w:val="Heading2"/>
      </w:pPr>
      <w:r>
        <w:t>Revision 23 Change Log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728"/>
            <w:vAlign w:val="center"/>
            <w:shd w:fill="E87512"/>
          </w:tcPr>
          <w:p>
            <w:r>
              <w:rPr>
                <w:sz w:val="18"/>
              </w:rPr>
            </w:r>
            <w:r>
              <w:rPr>
                <w:b/>
                <w:color w:val="FFFFFF"/>
                <w:sz w:val="18"/>
              </w:rPr>
              <w:t>Category</w:t>
            </w:r>
          </w:p>
        </w:tc>
        <w:tc>
          <w:tcPr>
            <w:tcW w:type="dxa" w:w="8496"/>
            <w:vAlign w:val="center"/>
            <w:shd w:fill="E87512"/>
          </w:tcPr>
          <w:p>
            <w:r>
              <w:rPr>
                <w:sz w:val="18"/>
              </w:rPr>
            </w:r>
            <w:r>
              <w:rPr>
                <w:b/>
                <w:color w:val="FFFFFF"/>
                <w:sz w:val="18"/>
              </w:rPr>
              <w:t>Change</w:t>
            </w:r>
          </w:p>
        </w:tc>
      </w:tr>
      <w:tr>
        <w:tc>
          <w:tcPr>
            <w:tcW w:type="dxa" w:w="1728"/>
            <w:vAlign w:val="center"/>
            <w:shd w:fill="F7F3EE"/>
          </w:tcPr>
          <w:p>
            <w:r>
              <w:rPr>
                <w:sz w:val="18"/>
              </w:rPr>
            </w:r>
            <w:r>
              <w:rPr>
                <w:b w:val="0"/>
                <w:sz w:val="17"/>
              </w:rPr>
              <w:t>Added</w:t>
            </w:r>
          </w:p>
        </w:tc>
        <w:tc>
          <w:tcPr>
            <w:tcW w:type="dxa" w:w="8496"/>
            <w:vAlign w:val="center"/>
            <w:shd w:fill="F7F3EE"/>
          </w:tcPr>
          <w:p>
            <w:r>
              <w:rPr>
                <w:sz w:val="18"/>
              </w:rPr>
            </w:r>
            <w:r>
              <w:rPr>
                <w:b w:val="0"/>
                <w:sz w:val="17"/>
              </w:rPr>
              <w:t>Independent DevBible revisioning; engineering principles; evidence labels; compatibility matrix; technical-debt register; business dependency register; AI/developer onboarding; ADRs.</w:t>
            </w:r>
          </w:p>
        </w:tc>
      </w:tr>
      <w:tr>
        <w:tc>
          <w:tcPr>
            <w:tcW w:type="dxa" w:w="1728"/>
            <w:vAlign w:val="center"/>
          </w:tcPr>
          <w:p>
            <w:r>
              <w:rPr>
                <w:sz w:val="18"/>
              </w:rPr>
            </w:r>
            <w:r>
              <w:rPr>
                <w:b w:val="0"/>
                <w:sz w:val="17"/>
              </w:rPr>
              <w:t>Changed</w:t>
            </w:r>
          </w:p>
        </w:tc>
        <w:tc>
          <w:tcPr>
            <w:tcW w:type="dxa" w:w="8496"/>
            <w:vAlign w:val="center"/>
          </w:tcPr>
          <w:p>
            <w:r>
              <w:rPr>
                <w:sz w:val="18"/>
              </w:rPr>
            </w:r>
            <w:r>
              <w:rPr>
                <w:b w:val="0"/>
                <w:sz w:val="17"/>
              </w:rPr>
              <w:t>Reframed the document from a CAD session diary into a FenceBound ecosystem engineering manual.</w:t>
            </w:r>
          </w:p>
        </w:tc>
      </w:tr>
      <w:tr>
        <w:tc>
          <w:tcPr>
            <w:tcW w:type="dxa" w:w="1728"/>
            <w:vAlign w:val="center"/>
            <w:shd w:fill="F7F3EE"/>
          </w:tcPr>
          <w:p>
            <w:r>
              <w:rPr>
                <w:sz w:val="18"/>
              </w:rPr>
            </w:r>
            <w:r>
              <w:rPr>
                <w:b w:val="0"/>
                <w:sz w:val="17"/>
              </w:rPr>
              <w:t>Corrected</w:t>
            </w:r>
          </w:p>
        </w:tc>
        <w:tc>
          <w:tcPr>
            <w:tcW w:type="dxa" w:w="8496"/>
            <w:vAlign w:val="center"/>
            <w:shd w:fill="F7F3EE"/>
          </w:tcPr>
          <w:p>
            <w:r>
              <w:rPr>
                <w:sz w:val="18"/>
              </w:rPr>
            </w:r>
            <w:r>
              <w:rPr>
                <w:b w:val="0"/>
                <w:sz w:val="17"/>
              </w:rPr>
              <w:t>Marked Rate Card/CAD price-file compatibility as broken pending schema normalization; removed claim that files move freely.</w:t>
            </w:r>
          </w:p>
        </w:tc>
      </w:tr>
      <w:tr>
        <w:tc>
          <w:tcPr>
            <w:tcW w:type="dxa" w:w="1728"/>
            <w:vAlign w:val="center"/>
          </w:tcPr>
          <w:p>
            <w:r>
              <w:rPr>
                <w:sz w:val="18"/>
              </w:rPr>
            </w:r>
            <w:r>
              <w:rPr>
                <w:b w:val="0"/>
                <w:sz w:val="17"/>
              </w:rPr>
              <w:t>Corrected</w:t>
            </w:r>
          </w:p>
        </w:tc>
        <w:tc>
          <w:tcPr>
            <w:tcW w:type="dxa" w:w="8496"/>
            <w:vAlign w:val="center"/>
          </w:tcPr>
          <w:p>
            <w:r>
              <w:rPr>
                <w:sz w:val="18"/>
              </w:rPr>
            </w:r>
            <w:r>
              <w:rPr>
                <w:b w:val="0"/>
                <w:sz w:val="17"/>
              </w:rPr>
              <w:t>Reclassified pricing values as provisional business data, not production-ready market truth.</w:t>
            </w:r>
          </w:p>
        </w:tc>
      </w:tr>
      <w:tr>
        <w:tc>
          <w:tcPr>
            <w:tcW w:type="dxa" w:w="1728"/>
            <w:vAlign w:val="center"/>
            <w:shd w:fill="F7F3EE"/>
          </w:tcPr>
          <w:p>
            <w:r>
              <w:rPr>
                <w:sz w:val="18"/>
              </w:rPr>
            </w:r>
            <w:r>
              <w:rPr>
                <w:b w:val="0"/>
                <w:sz w:val="17"/>
              </w:rPr>
              <w:t>Corrected</w:t>
            </w:r>
          </w:p>
        </w:tc>
        <w:tc>
          <w:tcPr>
            <w:tcW w:type="dxa" w:w="8496"/>
            <w:vAlign w:val="center"/>
            <w:shd w:fill="F7F3EE"/>
          </w:tcPr>
          <w:p>
            <w:r>
              <w:rPr>
                <w:sz w:val="18"/>
              </w:rPr>
            </w:r>
            <w:r>
              <w:rPr>
                <w:b w:val="0"/>
                <w:sz w:val="17"/>
              </w:rPr>
              <w:t>Terrain pricing is implemented through condition controls; numeric slope percentage remains informational unless later wired to a formula.</w:t>
            </w:r>
          </w:p>
        </w:tc>
      </w:tr>
      <w:tr>
        <w:tc>
          <w:tcPr>
            <w:tcW w:type="dxa" w:w="1728"/>
            <w:vAlign w:val="center"/>
          </w:tcPr>
          <w:p>
            <w:r>
              <w:rPr>
                <w:sz w:val="18"/>
              </w:rPr>
            </w:r>
            <w:r>
              <w:rPr>
                <w:b w:val="0"/>
                <w:sz w:val="17"/>
              </w:rPr>
              <w:t>Corrected</w:t>
            </w:r>
          </w:p>
        </w:tc>
        <w:tc>
          <w:tcPr>
            <w:tcW w:type="dxa" w:w="8496"/>
            <w:vAlign w:val="center"/>
          </w:tcPr>
          <w:p>
            <w:r>
              <w:rPr>
                <w:sz w:val="18"/>
              </w:rPr>
            </w:r>
            <w:r>
              <w:rPr>
                <w:b w:val="0"/>
                <w:sz w:val="17"/>
              </w:rPr>
              <w:t>FenceScraper rebuild is complete as a prototype, not an outstanding rebuild task.</w:t>
            </w:r>
          </w:p>
        </w:tc>
      </w:tr>
      <w:tr>
        <w:tc>
          <w:tcPr>
            <w:tcW w:type="dxa" w:w="1728"/>
            <w:vAlign w:val="center"/>
            <w:shd w:fill="F7F3EE"/>
          </w:tcPr>
          <w:p>
            <w:r>
              <w:rPr>
                <w:sz w:val="18"/>
              </w:rPr>
            </w:r>
            <w:r>
              <w:rPr>
                <w:b w:val="0"/>
                <w:sz w:val="17"/>
              </w:rPr>
              <w:t>Archived</w:t>
            </w:r>
          </w:p>
        </w:tc>
        <w:tc>
          <w:tcPr>
            <w:tcW w:type="dxa" w:w="8496"/>
            <w:vAlign w:val="center"/>
            <w:shd w:fill="F7F3EE"/>
          </w:tcPr>
          <w:p>
            <w:r>
              <w:rPr>
                <w:sz w:val="18"/>
              </w:rPr>
            </w:r>
            <w:r>
              <w:rPr>
                <w:b w:val="0"/>
                <w:sz w:val="17"/>
              </w:rPr>
              <w:t>Pre-v4.6 Floor/Market/Premium pricing tables and obsolete flat fence-type taxonomy.</w:t>
            </w:r>
          </w:p>
        </w:tc>
      </w:tr>
      <w:tr>
        <w:tc>
          <w:tcPr>
            <w:tcW w:type="dxa" w:w="1728"/>
            <w:vAlign w:val="center"/>
          </w:tcPr>
          <w:p>
            <w:r>
              <w:rPr>
                <w:sz w:val="18"/>
              </w:rPr>
            </w:r>
            <w:r>
              <w:rPr>
                <w:b w:val="0"/>
                <w:sz w:val="17"/>
              </w:rPr>
              <w:t>Preserved</w:t>
            </w:r>
          </w:p>
        </w:tc>
        <w:tc>
          <w:tcPr>
            <w:tcW w:type="dxa" w:w="8496"/>
            <w:vAlign w:val="center"/>
          </w:tcPr>
          <w:p>
            <w:r>
              <w:rPr>
                <w:sz w:val="18"/>
              </w:rPr>
            </w:r>
            <w:r>
              <w:rPr>
                <w:b w:val="0"/>
                <w:sz w:val="17"/>
              </w:rPr>
              <w:t>Historical release narrative remains summarized in the archive.</w:t>
            </w:r>
          </w:p>
        </w:tc>
      </w:tr>
      <w:tr>
        <w:tc>
          <w:tcPr>
            <w:tcW w:type="dxa" w:w="5112"/>
          </w:tcPr>
          <w:p>
            <w:r>
              <w:rPr>
                <w:sz w:val="18"/>
              </w:rPr>
              <w:t>Changed</w:t>
            </w:r>
          </w:p>
        </w:tc>
        <w:tc>
          <w:tcPr>
            <w:tcW w:type="dxa" w:w="5112"/>
          </w:tcPr>
          <w:p>
            <w:r>
              <w:rPr>
                <w:sz w:val="18"/>
              </w:rPr>
              <w:t>Refined roadmap priorities: archived gate clearance zone and phase zones, reclassified Apple Pencil work as precision optimization, and replaced numeric slope-percentage pricing linkage with a slope-policy definition.</w:t>
            </w:r>
          </w:p>
        </w:tc>
      </w:tr>
      <w:tr>
        <w:tc>
          <w:tcPr>
            <w:tcW w:type="dxa" w:w="5112"/>
          </w:tcPr>
          <w:p>
            <w:r>
              <w:rPr>
                <w:sz w:val="18"/>
              </w:rPr>
              <w:t>Added</w:t>
            </w:r>
          </w:p>
        </w:tc>
        <w:tc>
          <w:tcPr>
            <w:tcW w:type="dxa" w:w="5112"/>
          </w:tcPr>
          <w:p>
            <w:r>
              <w:rPr>
                <w:sz w:val="18"/>
              </w:rPr>
              <w:t>Competitive position: AutoCAD for formal editable drafting, Bluebeam for PDF-centered construction review, and FenceBound for converting fence scope into buildable and priceable work.</w:t>
            </w:r>
          </w:p>
        </w:tc>
      </w:tr>
      <w:tr>
        <w:tc>
          <w:tcPr>
            <w:tcW w:type="dxa" w:w="5112"/>
          </w:tcPr>
          <w:p>
            <w:r>
              <w:rPr>
                <w:sz w:val="18"/>
              </w:rPr>
              <w:t>Added</w:t>
            </w:r>
          </w:p>
        </w:tc>
        <w:tc>
          <w:tcPr>
            <w:tcW w:type="dxa" w:w="5112"/>
          </w:tcPr>
          <w:p>
            <w:r>
              <w:rPr>
                <w:sz w:val="18"/>
              </w:rPr>
              <w:t>Commercial workflow model from source plan through calibrated takeoff, scope classification, estimate, proposal, addenda, and installer packet.</w:t>
            </w:r>
          </w:p>
        </w:tc>
      </w:tr>
      <w:tr>
        <w:tc>
          <w:tcPr>
            <w:tcW w:type="dxa" w:w="5112"/>
          </w:tcPr>
          <w:p>
            <w:r>
              <w:rPr>
                <w:sz w:val="18"/>
              </w:rPr>
              <w:t>Added</w:t>
            </w:r>
          </w:p>
        </w:tc>
        <w:tc>
          <w:tcPr>
            <w:tcW w:type="dxa" w:w="5112"/>
          </w:tcPr>
          <w:p>
            <w:r>
              <w:rPr>
                <w:sz w:val="18"/>
              </w:rPr>
              <w:t>Commercial scope metadata contract covering source sheet, revision, scope class, phase, alternate, gate schedule ID, and unresolved scope.</w:t>
            </w:r>
          </w:p>
        </w:tc>
      </w:tr>
      <w:tr>
        <w:tc>
          <w:tcPr>
            <w:tcW w:type="dxa" w:w="5112"/>
          </w:tcPr>
          <w:p>
            <w:r>
              <w:rPr>
                <w:sz w:val="18"/>
              </w:rPr>
              <w:t>Added</w:t>
            </w:r>
          </w:p>
        </w:tc>
        <w:tc>
          <w:tcPr>
            <w:tcW w:type="dxa" w:w="5112"/>
          </w:tcPr>
          <w:p>
            <w:r>
              <w:rPr>
                <w:sz w:val="18"/>
              </w:rPr>
              <w:t>Interoperability priority ladder: professional PDF outputs, calibrated PDF/image underlay, CSV, markup-compatible PDF behavior, restrained DXF export, then selective import.</w:t>
            </w:r>
          </w:p>
        </w:tc>
      </w:tr>
      <w:tr>
        <w:tc>
          <w:tcPr>
            <w:tcW w:type="dxa" w:w="5112"/>
          </w:tcPr>
          <w:p>
            <w:r>
              <w:rPr>
                <w:sz w:val="18"/>
              </w:rPr>
              <w:t>Changed</w:t>
            </w:r>
          </w:p>
        </w:tc>
        <w:tc>
          <w:tcPr>
            <w:tcW w:type="dxa" w:w="5112"/>
          </w:tcPr>
          <w:p>
            <w:r>
              <w:rPr>
                <w:sz w:val="18"/>
              </w:rPr>
              <w:t>Roadmap reorganized into stabilization, export professionalization, commercial plan takeoff, object-level revision control, restrained DXF, and downstream workflow phases.</w:t>
            </w:r>
          </w:p>
        </w:tc>
      </w:tr>
      <w:tr>
        <w:tc>
          <w:tcPr>
            <w:tcW w:type="dxa" w:w="5112"/>
          </w:tcPr>
          <w:p>
            <w:r>
              <w:rPr>
                <w:sz w:val="18"/>
              </w:rPr>
              <w:t>Added</w:t>
            </w:r>
          </w:p>
        </w:tc>
        <w:tc>
          <w:tcPr>
            <w:tcW w:type="dxa" w:w="5112"/>
          </w:tcPr>
          <w:p>
            <w:r>
              <w:rPr>
                <w:sz w:val="18"/>
              </w:rPr>
              <w:t>Architecture decisions for standards cooperation, calibrated plan underlays, and object-level scope comparison.</w:t>
            </w:r>
          </w:p>
        </w:tc>
      </w:tr>
      <w:tr>
        <w:tc>
          <w:tcPr>
            <w:tcW w:type="dxa" w:w="5112"/>
          </w:tcPr>
          <w:p>
            <w:r>
              <w:rPr>
                <w:sz w:val="18"/>
              </w:rPr>
              <w:t>Added</w:t>
            </w:r>
          </w:p>
        </w:tc>
        <w:tc>
          <w:tcPr>
            <w:tcW w:type="dxa" w:w="5112"/>
          </w:tcPr>
          <w:p>
            <w:r>
              <w:rPr>
                <w:sz w:val="18"/>
              </w:rPr>
              <w:t>Technical debt entries for export-class separation, plan calibration, commercial metadata, and revision comparison.</w:t>
            </w:r>
          </w:p>
        </w:tc>
      </w:tr>
      <w:tr>
        <w:tc>
          <w:tcPr>
            <w:tcW w:type="dxa" w:w="5112"/>
          </w:tcPr>
          <w:p>
            <w:r>
              <w:rPr>
                <w:sz w:val="18"/>
              </w:rPr>
              <w:t>Fixed</w:t>
            </w:r>
          </w:p>
        </w:tc>
        <w:tc>
          <w:tcPr>
            <w:tcW w:type="dxa" w:w="5112"/>
          </w:tcPr>
          <w:p>
            <w:r>
              <w:rPr>
                <w:sz w:val="18"/>
              </w:rPr>
              <w:t>FenceboundCAD cost-price JSON export now revokes its generated object URL after the download trigger, closing TD-011 and preventing repeated-export resource leakage.</w:t>
            </w:r>
          </w:p>
        </w:tc>
      </w:tr>
      <w:tr>
        <w:tc>
          <w:tcPr>
            <w:tcW w:type="dxa" w:w="5112"/>
          </w:tcPr>
          <w:p>
            <w:r>
              <w:rPr>
                <w:sz w:val="18"/>
              </w:rPr>
              <w:t>Fixed</w:t>
            </w:r>
          </w:p>
        </w:tc>
        <w:tc>
          <w:tcPr>
            <w:tcW w:type="dxa" w:w="5112"/>
          </w:tcPr>
          <w:p>
            <w:r>
              <w:rPr>
                <w:sz w:val="18"/>
              </w:rPr>
              <w:t>FenceScraper result cards and progress logs now render untrusted source data through textContent and DOM nodes; external links accept only HTTP/HTTPS URLs and use noopener/noreferrer, closing TD-006.</w:t>
            </w:r>
          </w:p>
        </w:tc>
      </w:tr>
      <w:tr>
        <w:tc>
          <w:tcPr>
            <w:tcW w:type="dxa" w:w="5112"/>
          </w:tcPr>
          <w:p>
            <w:r>
              <w:rPr>
                <w:sz w:val="18"/>
              </w:rPr>
              <w:t>Fixed</w:t>
            </w:r>
          </w:p>
        </w:tc>
        <w:tc>
          <w:tcPr>
            <w:tcW w:type="dxa" w:w="5112"/>
          </w:tcPr>
          <w:p>
            <w:r>
              <w:rPr>
                <w:sz w:val="18"/>
              </w:rPr>
              <w:t>FenceScraper source reliability: scans now run enabled sources concurrently with Promise.allSettled, apply explicit request timeouts, isolate source failures, and validate NC IPS proxy responses and parsed table structure.</w:t>
            </w:r>
          </w:p>
        </w:tc>
      </w:tr>
      <w:tr>
        <w:tc>
          <w:tcPr>
            <w:tcW w:type="dxa" w:w="5112"/>
          </w:tcPr>
          <w:p>
            <w:r>
              <w:t>Changed</w:t>
            </w:r>
          </w:p>
        </w:tc>
        <w:tc>
          <w:tcPr>
            <w:tcW w:type="dxa" w:w="5112"/>
          </w:tcPr>
          <w:p>
            <w:r>
              <w:t>FenceScraper architecture is now vendor-independent at its core: source connectors, deterministic parsing, normalization, validation, deduplication, relevance scoring, persistence, and export must operate without an LLM API.</w:t>
            </w:r>
          </w:p>
        </w:tc>
      </w:tr>
      <w:tr>
        <w:tc>
          <w:tcPr>
            <w:tcW w:type="dxa" w:w="5112"/>
          </w:tcPr>
          <w:p>
            <w:r>
              <w:t>Accepted</w:t>
            </w:r>
          </w:p>
        </w:tc>
        <w:tc>
          <w:tcPr>
            <w:tcW w:type="dxa" w:w="5112"/>
          </w:tcPr>
          <w:p>
            <w:r>
              <w:t>Level 1 FenceScraper architecture: conventional software and source-specific connectors are the production foundation. AI is not required for core discovery or verification.</w:t>
            </w:r>
          </w:p>
        </w:tc>
      </w:tr>
      <w:tr>
        <w:tc>
          <w:tcPr>
            <w:tcW w:type="dxa" w:w="5112"/>
          </w:tcPr>
          <w:p>
            <w:r>
              <w:t>Added</w:t>
            </w:r>
          </w:p>
        </w:tc>
        <w:tc>
          <w:tcPr>
            <w:tcW w:type="dxa" w:w="5112"/>
          </w:tcPr>
          <w:p>
            <w:r>
              <w:t>Level 2 future item: a provider-neutral optional intelligence interface may support local models or interchangeable remote providers for difficult extraction, classification, and summarization.</w:t>
            </w:r>
          </w:p>
        </w:tc>
      </w:tr>
      <w:tr>
        <w:tc>
          <w:tcPr>
            <w:tcW w:type="dxa" w:w="5112"/>
          </w:tcPr>
          <w:p>
            <w:r>
              <w:t>Superseded</w:t>
            </w:r>
          </w:p>
        </w:tc>
        <w:tc>
          <w:tcPr>
            <w:tcW w:type="dxa" w:w="5112"/>
          </w:tcPr>
          <w:p>
            <w:r>
              <w:t>The prior Anthropic-specific service-boundary proposal and browser-key remediation are no longer the governing architecture.</w:t>
            </w:r>
          </w:p>
        </w:tc>
      </w:tr>
    </w:tbl>
    <w:p/>
    <w:p>
      <w:pPr>
        <w:pStyle w:val="Heading2"/>
      </w:pPr>
      <w:r>
        <w:t>Evidence Labels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vAlign w:val="center"/>
            <w:shd w:fill="E87512"/>
          </w:tcPr>
          <w:p>
            <w:r>
              <w:rPr>
                <w:sz w:val="18"/>
              </w:rPr>
            </w:r>
            <w:r>
              <w:rPr>
                <w:b/>
                <w:color w:val="FFFFFF"/>
                <w:sz w:val="18"/>
              </w:rPr>
              <w:t>Label</w:t>
            </w:r>
          </w:p>
        </w:tc>
        <w:tc>
          <w:tcPr>
            <w:tcW w:type="dxa" w:w="8208"/>
            <w:vAlign w:val="center"/>
            <w:shd w:fill="E87512"/>
          </w:tcPr>
          <w:p>
            <w:r>
              <w:rPr>
                <w:sz w:val="18"/>
              </w:rPr>
            </w:r>
            <w:r>
              <w:rPr>
                <w:b/>
                <w:color w:val="FFFFFF"/>
                <w:sz w:val="18"/>
              </w:rPr>
              <w:t>Meaning</w:t>
            </w:r>
          </w:p>
        </w:tc>
      </w:tr>
      <w:tr>
        <w:tc>
          <w:tcPr>
            <w:tcW w:type="dxa" w:w="2016"/>
            <w:vAlign w:val="center"/>
            <w:shd w:fill="F7F3EE"/>
          </w:tcPr>
          <w:p>
            <w:r>
              <w:rPr>
                <w:sz w:val="18"/>
              </w:rPr>
            </w:r>
            <w:r>
              <w:rPr>
                <w:b w:val="0"/>
                <w:sz w:val="17"/>
              </w:rPr>
              <w:t>Verified</w:t>
            </w:r>
          </w:p>
        </w:tc>
        <w:tc>
          <w:tcPr>
            <w:tcW w:type="dxa" w:w="8208"/>
            <w:vAlign w:val="center"/>
            <w:shd w:fill="F7F3EE"/>
          </w:tcPr>
          <w:p>
            <w:r>
              <w:rPr>
                <w:sz w:val="18"/>
              </w:rPr>
            </w:r>
            <w:r>
              <w:rPr>
                <w:b w:val="0"/>
                <w:sz w:val="17"/>
              </w:rPr>
              <w:t>Confirmed in the supplied current code or explicit owner instruction.</w:t>
            </w:r>
          </w:p>
        </w:tc>
      </w:tr>
      <w:tr>
        <w:tc>
          <w:tcPr>
            <w:tcW w:type="dxa" w:w="2016"/>
            <w:vAlign w:val="center"/>
          </w:tcPr>
          <w:p>
            <w:r>
              <w:rPr>
                <w:sz w:val="18"/>
              </w:rPr>
            </w:r>
            <w:r>
              <w:rPr>
                <w:b w:val="0"/>
                <w:sz w:val="17"/>
              </w:rPr>
              <w:t>Documented</w:t>
            </w:r>
          </w:p>
        </w:tc>
        <w:tc>
          <w:tcPr>
            <w:tcW w:type="dxa" w:w="8208"/>
            <w:vAlign w:val="center"/>
          </w:tcPr>
          <w:p>
            <w:r>
              <w:rPr>
                <w:sz w:val="18"/>
              </w:rPr>
            </w:r>
            <w:r>
              <w:rPr>
                <w:b w:val="0"/>
                <w:sz w:val="17"/>
              </w:rPr>
              <w:t>Present in legacy documentation but not independently re-verified in this revision.</w:t>
            </w:r>
          </w:p>
        </w:tc>
      </w:tr>
      <w:tr>
        <w:tc>
          <w:tcPr>
            <w:tcW w:type="dxa" w:w="2016"/>
            <w:vAlign w:val="center"/>
            <w:shd w:fill="F7F3EE"/>
          </w:tcPr>
          <w:p>
            <w:r>
              <w:rPr>
                <w:sz w:val="18"/>
              </w:rPr>
            </w:r>
            <w:r>
              <w:rPr>
                <w:b w:val="0"/>
                <w:sz w:val="17"/>
              </w:rPr>
              <w:t>Provisional</w:t>
            </w:r>
          </w:p>
        </w:tc>
        <w:tc>
          <w:tcPr>
            <w:tcW w:type="dxa" w:w="8208"/>
            <w:vAlign w:val="center"/>
            <w:shd w:fill="F7F3EE"/>
          </w:tcPr>
          <w:p>
            <w:r>
              <w:rPr>
                <w:sz w:val="18"/>
              </w:rPr>
            </w:r>
            <w:r>
              <w:rPr>
                <w:b w:val="0"/>
                <w:sz w:val="17"/>
              </w:rPr>
              <w:t>Intentionally temporary, estimated, or dependent on unavailable commercial data.</w:t>
            </w:r>
          </w:p>
        </w:tc>
      </w:tr>
      <w:tr>
        <w:tc>
          <w:tcPr>
            <w:tcW w:type="dxa" w:w="2016"/>
            <w:vAlign w:val="center"/>
          </w:tcPr>
          <w:p>
            <w:r>
              <w:rPr>
                <w:sz w:val="18"/>
              </w:rPr>
            </w:r>
            <w:r>
              <w:rPr>
                <w:b w:val="0"/>
                <w:sz w:val="17"/>
              </w:rPr>
              <w:t>Needs Verification</w:t>
            </w:r>
          </w:p>
        </w:tc>
        <w:tc>
          <w:tcPr>
            <w:tcW w:type="dxa" w:w="8208"/>
            <w:vAlign w:val="center"/>
          </w:tcPr>
          <w:p>
            <w:r>
              <w:rPr>
                <w:sz w:val="18"/>
              </w:rPr>
            </w:r>
            <w:r>
              <w:rPr>
                <w:b w:val="0"/>
                <w:sz w:val="17"/>
              </w:rPr>
              <w:t>Insufficient evidence or conflicting evidence exists.</w:t>
            </w:r>
          </w:p>
        </w:tc>
      </w:tr>
      <w:tr>
        <w:tc>
          <w:tcPr>
            <w:tcW w:type="dxa" w:w="2016"/>
            <w:vAlign w:val="center"/>
            <w:shd w:fill="F7F3EE"/>
          </w:tcPr>
          <w:p>
            <w:r>
              <w:rPr>
                <w:sz w:val="18"/>
              </w:rPr>
            </w:r>
            <w:r>
              <w:rPr>
                <w:b w:val="0"/>
                <w:sz w:val="17"/>
              </w:rPr>
              <w:t>Archived</w:t>
            </w:r>
          </w:p>
        </w:tc>
        <w:tc>
          <w:tcPr>
            <w:tcW w:type="dxa" w:w="8208"/>
            <w:vAlign w:val="center"/>
            <w:shd w:fill="F7F3EE"/>
          </w:tcPr>
          <w:p>
            <w:r>
              <w:rPr>
                <w:sz w:val="18"/>
              </w:rPr>
            </w:r>
            <w:r>
              <w:rPr>
                <w:b w:val="0"/>
                <w:sz w:val="17"/>
              </w:rPr>
              <w:t>Historical information retained for context but not current guidance.</w:t>
            </w:r>
          </w:p>
        </w:tc>
      </w:tr>
    </w:tbl>
    <w:p/>
    <w:p>
      <w:r/>
    </w:p>
    <w:p>
      <w:pPr>
        <w:pStyle w:val="Heading1"/>
      </w:pPr>
      <w:r>
        <w:t>Table of Contents</w:t>
      </w:r>
    </w:p>
    <w:p>
      <w:r/>
    </w:p>
    <w:p>
      <w:r/>
    </w:p>
    <w:p>
      <w:pPr>
        <w:pStyle w:val="Heading1"/>
      </w:pPr>
      <w:r>
        <w:t>1. Executive Summary</w:t>
      </w:r>
    </w:p>
    <w:p>
      <w:r>
        <w:t>FenceBound is an offline-first software ecosystem for fence estimating, layout, material takeoff, pricing, proposal generation, and bid discovery. Its primary live product is FenceboundCAD, a single-file vanilla JavaScript application optimized for iPad field use. Supporting tools include the Rate Card, FenceScraper, Distributor Reference, and client-facing price guide.</w:t>
      </w:r>
    </w:p>
    <w:tbl>
      <w:tblPr>
        <w:tblW w:type="auto" w:w="0"/>
        <w:jc w:val="center"/>
        <w:tblLook w:firstColumn="1" w:firstRow="1" w:lastColumn="0" w:lastRow="0" w:noHBand="0" w:noVBand="1" w:val="04A0"/>
      </w:tblPr>
      <w:tblGrid>
        <w:gridCol w:w="10224"/>
      </w:tblGrid>
      <w:tr>
        <w:tc>
          <w:tcPr>
            <w:tcW w:type="dxa" w:w="10224"/>
            <w:shd w:fill="FFF4E5"/>
          </w:tcPr>
          <w:p>
            <w:r>
              <w:rPr>
                <w:b/>
                <w:color w:val="C77800"/>
                <w:sz w:val="18"/>
              </w:rPr>
              <w:t xml:space="preserve">CURRENT PRIORITY  </w:t>
            </w:r>
            <w:r>
              <w:rPr>
                <w:sz w:val="18"/>
              </w:rPr>
              <w:t>Stabilize documentation and integration contracts before expanding visible features. Verified distributor pricing cannot be completed until commercial accounts and negotiated buy costs are available.</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E87512"/>
          </w:tcPr>
          <w:p>
            <w:r>
              <w:rPr>
                <w:sz w:val="18"/>
              </w:rPr>
            </w:r>
            <w:r>
              <w:rPr>
                <w:b/>
                <w:color w:val="FFFFFF"/>
                <w:sz w:val="18"/>
              </w:rPr>
              <w:t>Component</w:t>
            </w:r>
          </w:p>
        </w:tc>
        <w:tc>
          <w:tcPr>
            <w:tcW w:type="dxa" w:w="2160"/>
            <w:vAlign w:val="center"/>
            <w:shd w:fill="E87512"/>
          </w:tcPr>
          <w:p>
            <w:r>
              <w:rPr>
                <w:sz w:val="18"/>
              </w:rPr>
            </w:r>
            <w:r>
              <w:rPr>
                <w:b/>
                <w:color w:val="FFFFFF"/>
                <w:sz w:val="18"/>
              </w:rPr>
              <w:t>Current status</w:t>
            </w:r>
          </w:p>
        </w:tc>
        <w:tc>
          <w:tcPr>
            <w:tcW w:type="dxa" w:w="5760"/>
            <w:vAlign w:val="center"/>
            <w:shd w:fill="E87512"/>
          </w:tcPr>
          <w:p>
            <w:r>
              <w:t>Revision 25 position</w:t>
            </w:r>
          </w:p>
        </w:tc>
      </w:tr>
      <w:tr>
        <w:tc>
          <w:tcPr>
            <w:tcW w:type="dxa" w:w="2304"/>
            <w:vAlign w:val="center"/>
            <w:shd w:fill="F7F3EE"/>
          </w:tcPr>
          <w:p>
            <w:r>
              <w:rPr>
                <w:sz w:val="18"/>
              </w:rPr>
              <w:t>FenceboundCAD v5.3.1</w:t>
            </w:r>
          </w:p>
        </w:tc>
        <w:tc>
          <w:tcPr>
            <w:tcW w:type="dxa" w:w="2160"/>
            <w:vAlign w:val="center"/>
            <w:shd w:fill="F7F3EE"/>
          </w:tcPr>
          <w:p>
            <w:r>
              <w:rPr>
                <w:sz w:val="18"/>
              </w:rPr>
            </w:r>
            <w:r>
              <w:rPr>
                <w:b w:val="0"/>
                <w:sz w:val="17"/>
              </w:rPr>
              <w:t>Field beta / strongest component</w:t>
            </w:r>
          </w:p>
        </w:tc>
        <w:tc>
          <w:tcPr>
            <w:tcW w:type="dxa" w:w="5760"/>
            <w:vAlign w:val="center"/>
            <w:shd w:fill="F7F3EE"/>
          </w:tcPr>
          <w:p>
            <w:r>
              <w:rPr>
                <w:sz w:val="18"/>
              </w:rPr>
              <w:t>Core drawing, BOM, persistence, pricing, and export systems are implemented. v5.3.1 closes the remaining object-URL cleanup defect in cost-price export.</w:t>
            </w:r>
          </w:p>
        </w:tc>
      </w:tr>
      <w:tr>
        <w:tc>
          <w:tcPr>
            <w:tcW w:type="dxa" w:w="2304"/>
            <w:vAlign w:val="center"/>
          </w:tcPr>
          <w:p>
            <w:r>
              <w:rPr>
                <w:sz w:val="18"/>
              </w:rPr>
            </w:r>
            <w:r>
              <w:rPr>
                <w:b w:val="0"/>
                <w:sz w:val="17"/>
              </w:rPr>
              <w:t>FenceboundRateCard v2.0</w:t>
            </w:r>
          </w:p>
        </w:tc>
        <w:tc>
          <w:tcPr>
            <w:tcW w:type="dxa" w:w="2160"/>
            <w:vAlign w:val="center"/>
          </w:tcPr>
          <w:p>
            <w:r>
              <w:rPr>
                <w:sz w:val="18"/>
              </w:rPr>
            </w:r>
            <w:r>
              <w:rPr>
                <w:b w:val="0"/>
                <w:sz w:val="17"/>
              </w:rPr>
              <w:t>Functional but stale</w:t>
            </w:r>
          </w:p>
        </w:tc>
        <w:tc>
          <w:tcPr>
            <w:tcW w:type="dxa" w:w="5760"/>
            <w:vAlign w:val="center"/>
          </w:tcPr>
          <w:p>
            <w:r>
              <w:rPr>
                <w:sz w:val="18"/>
              </w:rPr>
            </w:r>
            <w:r>
              <w:rPr>
                <w:b w:val="0"/>
                <w:sz w:val="17"/>
              </w:rPr>
              <w:t>Must be updated to v5.3 taxonomy, BOM, fasteners, and a compatible pricing schema.</w:t>
            </w:r>
          </w:p>
        </w:tc>
      </w:tr>
      <w:tr>
        <w:tc>
          <w:tcPr>
            <w:tcW w:type="dxa" w:w="2304"/>
            <w:vAlign w:val="center"/>
            <w:shd w:fill="F7F3EE"/>
          </w:tcPr>
          <w:p>
            <w:r>
              <w:rPr>
                <w:sz w:val="18"/>
              </w:rPr>
              <w:t>FenceScraper v2.2</w:t>
            </w:r>
          </w:p>
        </w:tc>
        <w:tc>
          <w:tcPr>
            <w:tcW w:type="dxa" w:w="2160"/>
            <w:vAlign w:val="center"/>
            <w:shd w:fill="F7F3EE"/>
          </w:tcPr>
          <w:p>
            <w:r>
              <w:t>Prototype transitioning to deterministic connector architecture</w:t>
            </w:r>
          </w:p>
        </w:tc>
        <w:tc>
          <w:tcPr>
            <w:tcW w:type="dxa" w:w="5760"/>
            <w:vAlign w:val="center"/>
            <w:shd w:fill="F7F3EE"/>
          </w:tcPr>
          <w:p>
            <w:r>
              <w:t>Core discovery must not depend on Anthropic or any LLM. Build source connectors, deterministic parsing, normalized opportunity records, validation, deduplication, scoring, persistence, and export first. Optional AI enrichment is future work.</w:t>
            </w:r>
          </w:p>
        </w:tc>
      </w:tr>
      <w:tr>
        <w:tc>
          <w:tcPr>
            <w:tcW w:type="dxa" w:w="2304"/>
            <w:vAlign w:val="center"/>
          </w:tcPr>
          <w:p>
            <w:r>
              <w:rPr>
                <w:sz w:val="18"/>
              </w:rPr>
            </w:r>
            <w:r>
              <w:rPr>
                <w:b w:val="0"/>
                <w:sz w:val="17"/>
              </w:rPr>
              <w:t>Distributor Reference</w:t>
            </w:r>
          </w:p>
        </w:tc>
        <w:tc>
          <w:tcPr>
            <w:tcW w:type="dxa" w:w="2160"/>
            <w:vAlign w:val="center"/>
          </w:tcPr>
          <w:p>
            <w:r>
              <w:rPr>
                <w:sz w:val="18"/>
              </w:rPr>
            </w:r>
            <w:r>
              <w:rPr>
                <w:b w:val="0"/>
                <w:sz w:val="17"/>
              </w:rPr>
              <w:t>Living reference</w:t>
            </w:r>
          </w:p>
        </w:tc>
        <w:tc>
          <w:tcPr>
            <w:tcW w:type="dxa" w:w="5760"/>
            <w:vAlign w:val="center"/>
          </w:tcPr>
          <w:p>
            <w:r>
              <w:rPr>
                <w:sz w:val="18"/>
              </w:rPr>
            </w:r>
            <w:r>
              <w:rPr>
                <w:b w:val="0"/>
                <w:sz w:val="17"/>
              </w:rPr>
              <w:t>Useful vendor map; commercial prices remain provisional until account access.</w:t>
            </w:r>
          </w:p>
        </w:tc>
      </w:tr>
      <w:tr>
        <w:tc>
          <w:tcPr>
            <w:tcW w:type="dxa" w:w="2304"/>
            <w:vAlign w:val="center"/>
            <w:shd w:fill="F7F3EE"/>
          </w:tcPr>
          <w:p>
            <w:r>
              <w:rPr>
                <w:sz w:val="18"/>
              </w:rPr>
            </w:r>
            <w:r>
              <w:rPr>
                <w:b w:val="0"/>
                <w:sz w:val="17"/>
              </w:rPr>
              <w:t>Client Price Guide</w:t>
            </w:r>
          </w:p>
        </w:tc>
        <w:tc>
          <w:tcPr>
            <w:tcW w:type="dxa" w:w="2160"/>
            <w:vAlign w:val="center"/>
            <w:shd w:fill="F7F3EE"/>
          </w:tcPr>
          <w:p>
            <w:r>
              <w:rPr>
                <w:sz w:val="18"/>
              </w:rPr>
            </w:r>
            <w:r>
              <w:rPr>
                <w:b w:val="0"/>
                <w:sz w:val="17"/>
              </w:rPr>
              <w:t>Presentation artifact</w:t>
            </w:r>
          </w:p>
        </w:tc>
        <w:tc>
          <w:tcPr>
            <w:tcW w:type="dxa" w:w="5760"/>
            <w:vAlign w:val="center"/>
            <w:shd w:fill="F7F3EE"/>
          </w:tcPr>
          <w:p>
            <w:r>
              <w:rPr>
                <w:sz w:val="18"/>
              </w:rPr>
            </w:r>
            <w:r>
              <w:rPr>
                <w:b w:val="0"/>
                <w:sz w:val="17"/>
              </w:rPr>
              <w:t>Must not be treated as authoritative until generated from the repaired pricing engine.</w:t>
            </w:r>
          </w:p>
        </w:tc>
      </w:tr>
      <w:tr>
        <w:tc>
          <w:tcPr>
            <w:tcW w:type="dxa" w:w="2304"/>
            <w:vAlign w:val="center"/>
          </w:tcPr>
          <w:p>
            <w:r>
              <w:t>DevBible Revision 25</w:t>
            </w:r>
          </w:p>
        </w:tc>
        <w:tc>
          <w:tcPr>
            <w:tcW w:type="dxa" w:w="2160"/>
            <w:vAlign w:val="center"/>
          </w:tcPr>
          <w:p>
            <w:r>
              <w:rPr>
                <w:sz w:val="18"/>
              </w:rPr>
            </w:r>
            <w:r>
              <w:rPr>
                <w:b w:val="0"/>
                <w:sz w:val="17"/>
              </w:rPr>
              <w:t>Canonical manual</w:t>
            </w:r>
          </w:p>
        </w:tc>
        <w:tc>
          <w:tcPr>
            <w:tcW w:type="dxa" w:w="5760"/>
            <w:vAlign w:val="center"/>
          </w:tcPr>
          <w:p>
            <w:r>
              <w:t>Authoritative project intent, constraints, status, and evidence register.</w:t>
            </w:r>
          </w:p>
        </w:tc>
      </w:tr>
    </w:tbl>
    <w:p/>
    <w:p>
      <w:pPr>
        <w:pStyle w:val="Heading2"/>
      </w:pPr>
      <w:r>
        <w:t>1.1 North Star</w:t>
      </w:r>
    </w:p>
    <w:p>
      <w:r>
        <w:t xml:space="preserve">FenceBound’s end-state is a drawing-driven estimating system that can turn a field description or drawing into geometry, specs, BOM, cost, margin-safe quote, and executable client paperwork with minimal manual translation. Every major feature should move the product toward that chain of outcomes while keeping field use streamlined, simple to navigate, and grounded in the actual drawing of the job. For commercial use, the north-star interaction is: import plan, calibrate, trace fence, classify scope, generate BOM and price, export marked bid exhibit and proposal, revise from addenda, and issue the installer packet.</w:t>
      </w:r>
    </w:p>
    <w:p>
      <w:pPr>
        <w:pStyle w:val="Heading2"/>
      </w:pPr>
      <w:r>
        <w:t>1.2 Current Maturity</w:t>
      </w:r>
    </w:p>
    <w:p>
      <w:pPr>
        <w:pStyle w:val="ListBullet"/>
      </w:pPr>
      <w:r>
        <w:t>CAD engine: feature-rich field beta, suitable for controlled use and continued validation.</w:t>
      </w:r>
    </w:p>
    <w:p>
      <w:pPr>
        <w:pStyle w:val="ListBullet"/>
      </w:pPr>
      <w:r>
        <w:t>Pricing engine: structurally functional; economic inputs remain provisional.</w:t>
      </w:r>
    </w:p>
    <w:p>
      <w:pPr>
        <w:pStyle w:val="ListBullet"/>
      </w:pPr>
      <w:r>
        <w:t>Commercial readiness: blocked by legal, insurance, distributor-account, and equipment dependencies.</w:t>
      </w:r>
    </w:p>
    <w:p>
      <w:pPr>
        <w:pStyle w:val="ListBullet"/>
      </w:pPr>
      <w:r>
        <w:t>Integration: fragmented. Data contracts and duplicated calculations are the main software risk.</w:t>
      </w:r>
    </w:p>
    <w:p>
      <w:pPr>
        <w:pStyle w:val="ListBullet"/>
      </w:pPr>
      <w:r>
        <w:t>Documentation: Revision 19 establishes a stable center of gravity for future work.</w:t>
      </w:r>
    </w:p>
    <w:p>
      <w:r/>
    </w:p>
    <w:p>
      <w:pPr>
        <w:pStyle w:val="Heading2"/>
      </w:pPr>
      <w:r>
        <w:t>1.3 Competitive Position and Industry Fit</w:t>
      </w:r>
    </w:p>
    <w:p>
      <w:pPr/>
      <w:r>
        <w:t>FenceBound does not compete by becoming a smaller general-purpose CAD platform or a Bluebeam clone. It occupies the fence-specific layer between plan context and executable work.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E87512"/>
          </w:tcPr>
          <w:p>
            <w:r>
              <w:rPr>
                <w:sz w:val="18"/>
              </w:rPr>
              <w:t>Platform</w:t>
            </w:r>
          </w:p>
        </w:tc>
        <w:tc>
          <w:tcPr>
            <w:tcW w:type="dxa" w:w="2160"/>
            <w:vAlign w:val="center"/>
            <w:shd w:fill="E87512"/>
          </w:tcPr>
          <w:p>
            <w:r>
              <w:rPr>
                <w:sz w:val="18"/>
              </w:rPr>
              <w:t>Best when</w:t>
            </w:r>
          </w:p>
        </w:tc>
        <w:tc>
          <w:tcPr>
            <w:tcW w:type="dxa" w:w="5760"/>
            <w:vAlign w:val="center"/>
            <w:shd w:fill="E87512"/>
          </w:tcPr>
          <w:p>
            <w:r>
              <w:rPr>
                <w:sz w:val="18"/>
              </w:rPr>
              <w:t>FenceBound relationship</w:t>
            </w:r>
          </w:p>
        </w:tc>
      </w:tr>
      <w:tr>
        <w:tc>
          <w:tcPr>
            <w:tcW w:type="dxa" w:w="3408"/>
          </w:tcPr>
          <w:p>
            <w:r>
              <w:rPr>
                <w:sz w:val="18"/>
              </w:rPr>
              <w:t>AutoCAD / DWG workflows</w:t>
            </w:r>
          </w:p>
        </w:tc>
        <w:tc>
          <w:tcPr>
            <w:tcW w:type="dxa" w:w="3408"/>
          </w:tcPr>
          <w:p>
            <w:r>
              <w:rPr>
                <w:sz w:val="18"/>
              </w:rPr>
              <w:t>The drawing itself is the professional product: precise drafting, editable geometry, shop drawings, coordination, and as-builts.</w:t>
            </w:r>
          </w:p>
        </w:tc>
        <w:tc>
          <w:tcPr>
            <w:tcW w:type="dxa" w:w="3408"/>
          </w:tcPr>
          <w:p>
            <w:r>
              <w:rPr>
                <w:sz w:val="18"/>
              </w:rPr>
              <w:t>Cooperate through professional PDF now and restrained DXF export later. Do not imitate general-purpose drafting breadth.</w:t>
            </w:r>
          </w:p>
        </w:tc>
      </w:tr>
      <w:tr>
        <w:tc>
          <w:tcPr>
            <w:tcW w:type="dxa" w:w="3408"/>
          </w:tcPr>
          <w:p>
            <w:r>
              <w:rPr>
                <w:sz w:val="18"/>
              </w:rPr>
              <w:t>Bluebeam / PDF workflows</w:t>
            </w:r>
          </w:p>
        </w:tc>
        <w:tc>
          <w:tcPr>
            <w:tcW w:type="dxa" w:w="3408"/>
          </w:tcPr>
          <w:p>
            <w:r>
              <w:rPr>
                <w:sz w:val="18"/>
              </w:rPr>
              <w:t>The construction document is the workplace: plan review, calibrated takeoff, addenda, markups, comparisons, and shared scope communication.</w:t>
            </w:r>
          </w:p>
        </w:tc>
        <w:tc>
          <w:tcPr>
            <w:tcW w:type="dxa" w:w="3408"/>
          </w:tcPr>
          <w:p>
            <w:r>
              <w:rPr>
                <w:sz w:val="18"/>
              </w:rPr>
              <w:t>Accept PDF plan context, produce polite markup-compatible PDFs, and add calibrated tracing without rebuilding document management.</w:t>
            </w:r>
          </w:p>
        </w:tc>
      </w:tr>
      <w:tr>
        <w:tc>
          <w:tcPr>
            <w:tcW w:type="dxa" w:w="3408"/>
          </w:tcPr>
          <w:p>
            <w:r>
              <w:rPr>
                <w:sz w:val="18"/>
              </w:rPr>
              <w:t>FenceBound</w:t>
            </w:r>
          </w:p>
        </w:tc>
        <w:tc>
          <w:tcPr>
            <w:tcW w:type="dxa" w:w="3408"/>
          </w:tcPr>
          <w:p>
            <w:r>
              <w:rPr>
                <w:sz w:val="18"/>
              </w:rPr>
              <w:t>Fence geometry must become a fence system, BOM, labor budget, price, proposal, scope exhibit, and installer packet.</w:t>
            </w:r>
          </w:p>
        </w:tc>
        <w:tc>
          <w:tcPr>
            <w:tcW w:type="dxa" w:w="3408"/>
          </w:tcPr>
          <w:p>
            <w:r>
              <w:rPr>
                <w:sz w:val="18"/>
              </w:rPr>
              <w:t>Own the fence-specific scope intelligence and keep geometry, quantities, assumptions, pricing, and outputs tied to one job record.</w:t>
            </w:r>
          </w:p>
        </w:tc>
      </w:tr>
    </w:tbl>
    <w:p>
      <w:pPr>
        <w:pStyle w:val="Heading3"/>
      </w:pPr>
      <w:r>
        <w:t>POSITIONING RULE</w:t>
      </w:r>
    </w:p>
    <w:p>
      <w:pPr/>
      <w:r>
        <w:t>Bluebeam or another PDF viewer may provide plan context. FenceBound interprets and prices fence scope. AutoCAD or DXF handles formal editable geometry only when the deliverable requires it. Standards are cooperation targets before they are displacement targets.</w:t>
      </w:r>
    </w:p>
    <w:p>
      <w:pPr>
        <w:pStyle w:val="Heading2"/>
      </w:pPr>
      <w:r>
        <w:t>1.4 Commercial Plan-to-Work Workflow</w:t>
      </w:r>
    </w:p>
    <w:p>
      <w:pPr/>
      <w:r>
        <w:t>The governing professional workflow is:</w:t>
      </w:r>
    </w:p>
    <w:p>
      <w:pPr>
        <w:pStyle w:val="CodeBlock"/>
      </w:pPr>
      <w:r>
        <w:t>Plan set intake → governing sheet and revision identification → calibration → fence tracing → scope classification → gate and system assignment → BOM and labor → price → clarifications and exclusions → proposal and scope exhibit → addendum comparison → installer packet or as-built record.</w:t>
      </w:r>
    </w:p>
    <w:p>
      <w:pPr/>
      <w:r>
        <w:t>The product must attach features to this workflow. A feature that does not reduce translation, field time, bid risk, or uncertainty should not outrank work that strengthens this chain.</w:t>
      </w:r>
    </w:p>
    <w:p>
      <w:pPr>
        <w:pStyle w:val="Heading1"/>
      </w:pPr>
      <w:r>
        <w:t>2. Entity Map and Brand Boundaries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E87512"/>
          </w:tcPr>
          <w:p>
            <w:r>
              <w:rPr>
                <w:sz w:val="18"/>
              </w:rPr>
            </w:r>
            <w:r>
              <w:rPr>
                <w:b/>
                <w:color w:val="FFFFFF"/>
                <w:sz w:val="18"/>
              </w:rPr>
              <w:t>Attribute</w:t>
            </w:r>
          </w:p>
        </w:tc>
        <w:tc>
          <w:tcPr>
            <w:tcW w:type="dxa" w:w="3888"/>
            <w:vAlign w:val="center"/>
            <w:shd w:fill="E87512"/>
          </w:tcPr>
          <w:p>
            <w:r>
              <w:rPr>
                <w:sz w:val="18"/>
              </w:rPr>
            </w:r>
            <w:r>
              <w:rPr>
                <w:b/>
                <w:color w:val="FFFFFF"/>
                <w:sz w:val="18"/>
              </w:rPr>
              <w:t>Far-Out Fencing Co.</w:t>
            </w:r>
          </w:p>
        </w:tc>
        <w:tc>
          <w:tcPr>
            <w:tcW w:type="dxa" w:w="3888"/>
            <w:vAlign w:val="center"/>
            <w:shd w:fill="E87512"/>
          </w:tcPr>
          <w:p>
            <w:r>
              <w:rPr>
                <w:sz w:val="18"/>
              </w:rPr>
            </w:r>
            <w:r>
              <w:rPr>
                <w:b/>
                <w:color w:val="FFFFFF"/>
                <w:sz w:val="18"/>
              </w:rPr>
              <w:t>FenceBound</w:t>
            </w:r>
          </w:p>
        </w:tc>
      </w:tr>
      <w:tr>
        <w:tc>
          <w:tcPr>
            <w:tcW w:type="dxa" w:w="2016"/>
            <w:vAlign w:val="center"/>
            <w:shd w:fill="F7F3EE"/>
          </w:tcPr>
          <w:p>
            <w:r>
              <w:rPr>
                <w:sz w:val="18"/>
              </w:rPr>
            </w:r>
            <w:r>
              <w:rPr>
                <w:b w:val="0"/>
                <w:sz w:val="17"/>
              </w:rPr>
              <w:t>Role</w:t>
            </w:r>
          </w:p>
        </w:tc>
        <w:tc>
          <w:tcPr>
            <w:tcW w:type="dxa" w:w="3888"/>
            <w:vAlign w:val="center"/>
            <w:shd w:fill="F7F3EE"/>
          </w:tcPr>
          <w:p>
            <w:r>
              <w:rPr>
                <w:sz w:val="18"/>
              </w:rPr>
            </w:r>
            <w:r>
              <w:rPr>
                <w:b w:val="0"/>
                <w:sz w:val="17"/>
              </w:rPr>
              <w:t>Field contracting business</w:t>
            </w:r>
          </w:p>
        </w:tc>
        <w:tc>
          <w:tcPr>
            <w:tcW w:type="dxa" w:w="3888"/>
            <w:vAlign w:val="center"/>
            <w:shd w:fill="F7F3EE"/>
          </w:tcPr>
          <w:p>
            <w:r>
              <w:rPr>
                <w:sz w:val="18"/>
              </w:rPr>
            </w:r>
            <w:r>
              <w:rPr>
                <w:b w:val="0"/>
                <w:sz w:val="17"/>
              </w:rPr>
              <w:t>Software brand</w:t>
            </w:r>
          </w:p>
        </w:tc>
      </w:tr>
      <w:tr>
        <w:tc>
          <w:tcPr>
            <w:tcW w:type="dxa" w:w="2016"/>
            <w:vAlign w:val="center"/>
          </w:tcPr>
          <w:p>
            <w:r>
              <w:rPr>
                <w:sz w:val="18"/>
              </w:rPr>
            </w:r>
            <w:r>
              <w:rPr>
                <w:b w:val="0"/>
                <w:sz w:val="17"/>
              </w:rPr>
              <w:t>Primary product</w:t>
            </w:r>
          </w:p>
        </w:tc>
        <w:tc>
          <w:tcPr>
            <w:tcW w:type="dxa" w:w="3888"/>
            <w:vAlign w:val="center"/>
          </w:tcPr>
          <w:p>
            <w:r>
              <w:rPr>
                <w:sz w:val="18"/>
              </w:rPr>
            </w:r>
            <w:r>
              <w:rPr>
                <w:b w:val="0"/>
                <w:sz w:val="17"/>
              </w:rPr>
              <w:t>Fence installation labor and materials</w:t>
            </w:r>
          </w:p>
        </w:tc>
        <w:tc>
          <w:tcPr>
            <w:tcW w:type="dxa" w:w="3888"/>
            <w:vAlign w:val="center"/>
          </w:tcPr>
          <w:p>
            <w:r>
              <w:rPr>
                <w:sz w:val="18"/>
              </w:rPr>
            </w:r>
            <w:r>
              <w:rPr>
                <w:b w:val="0"/>
                <w:sz w:val="17"/>
              </w:rPr>
              <w:t>Fence software tools</w:t>
            </w:r>
          </w:p>
        </w:tc>
      </w:tr>
      <w:tr>
        <w:tc>
          <w:tcPr>
            <w:tcW w:type="dxa" w:w="2016"/>
            <w:vAlign w:val="center"/>
            <w:shd w:fill="F7F3EE"/>
          </w:tcPr>
          <w:p>
            <w:r>
              <w:rPr>
                <w:sz w:val="18"/>
              </w:rPr>
            </w:r>
            <w:r>
              <w:rPr>
                <w:b w:val="0"/>
                <w:sz w:val="17"/>
              </w:rPr>
              <w:t>Audience</w:t>
            </w:r>
          </w:p>
        </w:tc>
        <w:tc>
          <w:tcPr>
            <w:tcW w:type="dxa" w:w="3888"/>
            <w:vAlign w:val="center"/>
            <w:shd w:fill="F7F3EE"/>
          </w:tcPr>
          <w:p>
            <w:r>
              <w:rPr>
                <w:sz w:val="18"/>
              </w:rPr>
            </w:r>
            <w:r>
              <w:rPr>
                <w:b w:val="0"/>
                <w:sz w:val="17"/>
              </w:rPr>
              <w:t>Residential, commercial, municipal, and GC clients</w:t>
            </w:r>
          </w:p>
        </w:tc>
        <w:tc>
          <w:tcPr>
            <w:tcW w:type="dxa" w:w="3888"/>
            <w:vAlign w:val="center"/>
            <w:shd w:fill="F7F3EE"/>
          </w:tcPr>
          <w:p>
            <w:r>
              <w:rPr>
                <w:sz w:val="18"/>
              </w:rPr>
            </w:r>
            <w:r>
              <w:rPr>
                <w:b w:val="0"/>
                <w:sz w:val="17"/>
              </w:rPr>
              <w:t>Fence contractors and estimators</w:t>
            </w:r>
          </w:p>
        </w:tc>
      </w:tr>
      <w:tr>
        <w:tc>
          <w:tcPr>
            <w:tcW w:type="dxa" w:w="2016"/>
            <w:vAlign w:val="center"/>
          </w:tcPr>
          <w:p>
            <w:r>
              <w:rPr>
                <w:sz w:val="18"/>
              </w:rPr>
            </w:r>
            <w:r>
              <w:rPr>
                <w:b w:val="0"/>
                <w:sz w:val="17"/>
              </w:rPr>
              <w:t>Client-facing documents</w:t>
            </w:r>
          </w:p>
        </w:tc>
        <w:tc>
          <w:tcPr>
            <w:tcW w:type="dxa" w:w="3888"/>
            <w:vAlign w:val="center"/>
          </w:tcPr>
          <w:p>
            <w:r>
              <w:rPr>
                <w:sz w:val="18"/>
              </w:rPr>
            </w:r>
            <w:r>
              <w:rPr>
                <w:b w:val="0"/>
                <w:sz w:val="17"/>
              </w:rPr>
              <w:t>Yes</w:t>
            </w:r>
          </w:p>
        </w:tc>
        <w:tc>
          <w:tcPr>
            <w:tcW w:type="dxa" w:w="3888"/>
            <w:vAlign w:val="center"/>
          </w:tcPr>
          <w:p>
            <w:r>
              <w:rPr>
                <w:sz w:val="18"/>
              </w:rPr>
            </w:r>
            <w:r>
              <w:rPr>
                <w:b w:val="0"/>
                <w:sz w:val="17"/>
              </w:rPr>
              <w:t>Software branding only unless licensing context</w:t>
            </w:r>
          </w:p>
        </w:tc>
      </w:tr>
      <w:tr>
        <w:tc>
          <w:tcPr>
            <w:tcW w:type="dxa" w:w="2016"/>
            <w:vAlign w:val="center"/>
            <w:shd w:fill="F7F3EE"/>
          </w:tcPr>
          <w:p>
            <w:r>
              <w:rPr>
                <w:sz w:val="18"/>
              </w:rPr>
            </w:r>
            <w:r>
              <w:rPr>
                <w:b w:val="0"/>
                <w:sz w:val="17"/>
              </w:rPr>
              <w:t>Current entity status</w:t>
            </w:r>
          </w:p>
        </w:tc>
        <w:tc>
          <w:tcPr>
            <w:tcW w:type="dxa" w:w="3888"/>
            <w:vAlign w:val="center"/>
            <w:shd w:fill="F7F3EE"/>
          </w:tcPr>
          <w:p>
            <w:r>
              <w:rPr>
                <w:sz w:val="18"/>
              </w:rPr>
            </w:r>
            <w:r>
              <w:rPr>
                <w:b w:val="0"/>
                <w:sz w:val="17"/>
              </w:rPr>
              <w:t>Sole operator transitioning toward LLC</w:t>
            </w:r>
          </w:p>
        </w:tc>
        <w:tc>
          <w:tcPr>
            <w:tcW w:type="dxa" w:w="3888"/>
            <w:vAlign w:val="center"/>
            <w:shd w:fill="F7F3EE"/>
          </w:tcPr>
          <w:p>
            <w:r>
              <w:rPr>
                <w:sz w:val="18"/>
              </w:rPr>
            </w:r>
            <w:r>
              <w:rPr>
                <w:b w:val="0"/>
                <w:sz w:val="17"/>
              </w:rPr>
              <w:t>Software identity; no separate entity documented</w:t>
            </w:r>
          </w:p>
        </w:tc>
      </w:tr>
      <w:tr>
        <w:tc>
          <w:tcPr>
            <w:tcW w:type="dxa" w:w="2016"/>
            <w:vAlign w:val="center"/>
          </w:tcPr>
          <w:p>
            <w:r>
              <w:rPr>
                <w:sz w:val="18"/>
              </w:rPr>
            </w:r>
            <w:r>
              <w:rPr>
                <w:b w:val="0"/>
                <w:sz w:val="17"/>
              </w:rPr>
              <w:t>Primary URL / contact</w:t>
            </w:r>
          </w:p>
        </w:tc>
        <w:tc>
          <w:tcPr>
            <w:tcW w:type="dxa" w:w="3888"/>
            <w:vAlign w:val="center"/>
          </w:tcPr>
          <w:p>
            <w:r>
              <w:rPr>
                <w:sz w:val="18"/>
              </w:rPr>
            </w:r>
            <w:r>
              <w:rPr>
                <w:b w:val="0"/>
                <w:sz w:val="17"/>
              </w:rPr>
              <w:t>Far-Out contact details</w:t>
            </w:r>
          </w:p>
        </w:tc>
        <w:tc>
          <w:tcPr>
            <w:tcW w:type="dxa" w:w="3888"/>
            <w:vAlign w:val="center"/>
          </w:tcPr>
          <w:p>
            <w:r>
              <w:rPr>
                <w:sz w:val="18"/>
              </w:rPr>
            </w:r>
            <w:r>
              <w:rPr>
                <w:b w:val="0"/>
                <w:sz w:val="17"/>
              </w:rPr>
              <w:t>fenceboundcad.netlify.app</w:t>
            </w:r>
          </w:p>
        </w:tc>
      </w:tr>
    </w:tbl>
    <w:p/>
    <w:tbl>
      <w:tblPr>
        <w:tblW w:type="auto" w:w="0"/>
        <w:jc w:val="center"/>
        <w:tblLook w:firstColumn="1" w:firstRow="1" w:lastColumn="0" w:lastRow="0" w:noHBand="0" w:noVBand="1" w:val="04A0"/>
      </w:tblPr>
      <w:tblGrid>
        <w:gridCol w:w="10224"/>
      </w:tblGrid>
      <w:tr>
        <w:tc>
          <w:tcPr>
            <w:tcW w:type="dxa" w:w="10224"/>
            <w:shd w:fill="FCE8E6"/>
          </w:tcPr>
          <w:p>
            <w:r>
              <w:rPr>
                <w:b/>
                <w:color w:val="B3261E"/>
                <w:sz w:val="18"/>
              </w:rPr>
              <w:t xml:space="preserve">BRAND RULE  </w:t>
            </w:r>
            <w:r>
              <w:rPr>
                <w:sz w:val="18"/>
              </w:rPr>
              <w:t>Far-Out Fencing Co. appears on client estimates, contracts, work orders, and installation documents. FenceBound appears in application UI, software documentation, and licensing discussions. Do not merge the identities.</w:t>
            </w:r>
          </w:p>
        </w:tc>
      </w:tr>
    </w:tbl>
    <w:p/>
    <w:p>
      <w:pPr>
        <w:pStyle w:val="Heading2"/>
      </w:pPr>
      <w:r>
        <w:t>2.1 Ecosystem Inventory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92"/>
            <w:vAlign w:val="center"/>
            <w:shd w:fill="E87512"/>
          </w:tcPr>
          <w:p>
            <w:r>
              <w:rPr>
                <w:sz w:val="18"/>
              </w:rPr>
            </w:r>
            <w:r>
              <w:rPr>
                <w:b/>
                <w:color w:val="FFFFFF"/>
                <w:sz w:val="18"/>
              </w:rPr>
              <w:t>Artifact</w:t>
            </w:r>
          </w:p>
        </w:tc>
        <w:tc>
          <w:tcPr>
            <w:tcW w:type="dxa" w:w="1584"/>
            <w:vAlign w:val="center"/>
            <w:shd w:fill="E87512"/>
          </w:tcPr>
          <w:p>
            <w:r>
              <w:rPr>
                <w:sz w:val="18"/>
              </w:rPr>
            </w:r>
            <w:r>
              <w:rPr>
                <w:b/>
                <w:color w:val="FFFFFF"/>
                <w:sz w:val="18"/>
              </w:rPr>
              <w:t>Owner</w:t>
            </w:r>
          </w:p>
        </w:tc>
        <w:tc>
          <w:tcPr>
            <w:tcW w:type="dxa" w:w="4032"/>
            <w:vAlign w:val="center"/>
            <w:shd w:fill="E87512"/>
          </w:tcPr>
          <w:p>
            <w:r>
              <w:rPr>
                <w:sz w:val="18"/>
              </w:rPr>
            </w:r>
            <w:r>
              <w:rPr>
                <w:b/>
                <w:color w:val="FFFFFF"/>
                <w:sz w:val="18"/>
              </w:rPr>
              <w:t>Purpose</w:t>
            </w:r>
          </w:p>
        </w:tc>
        <w:tc>
          <w:tcPr>
            <w:tcW w:type="dxa" w:w="2304"/>
            <w:vAlign w:val="center"/>
            <w:shd w:fill="E87512"/>
          </w:tcPr>
          <w:p>
            <w:r>
              <w:rPr>
                <w:sz w:val="18"/>
              </w:rPr>
            </w:r>
            <w:r>
              <w:rPr>
                <w:b/>
                <w:color w:val="FFFFFF"/>
                <w:sz w:val="18"/>
              </w:rPr>
              <w:t>Authority</w:t>
            </w:r>
          </w:p>
        </w:tc>
      </w:tr>
      <w:tr>
        <w:tc>
          <w:tcPr>
            <w:tcW w:type="dxa" w:w="2592"/>
            <w:vAlign w:val="center"/>
            <w:shd w:fill="F7F3EE"/>
          </w:tcPr>
          <w:p>
            <w:r>
              <w:rPr>
                <w:sz w:val="18"/>
              </w:rPr>
              <w:t>FenceboundCAD v5.3.1 HTML</w:t>
            </w:r>
          </w:p>
        </w:tc>
        <w:tc>
          <w:tcPr>
            <w:tcW w:type="dxa" w:w="1584"/>
            <w:vAlign w:val="center"/>
            <w:shd w:fill="F7F3EE"/>
          </w:tcPr>
          <w:p>
            <w:r>
              <w:rPr>
                <w:sz w:val="18"/>
              </w:rPr>
            </w:r>
            <w:r>
              <w:rPr>
                <w:b w:val="0"/>
                <w:sz w:val="17"/>
              </w:rPr>
              <w:t>FenceBound</w:t>
            </w:r>
          </w:p>
        </w:tc>
        <w:tc>
          <w:tcPr>
            <w:tcW w:type="dxa" w:w="4032"/>
            <w:vAlign w:val="center"/>
            <w:shd w:fill="F7F3EE"/>
          </w:tcPr>
          <w:p>
            <w:r>
              <w:rPr>
                <w:sz w:val="18"/>
              </w:rPr>
            </w:r>
            <w:r>
              <w:rPr>
                <w:b w:val="0"/>
                <w:sz w:val="17"/>
              </w:rPr>
              <w:t>Drawing, BOM, pricing, persistence, PDF/PNG export</w:t>
            </w:r>
          </w:p>
        </w:tc>
        <w:tc>
          <w:tcPr>
            <w:tcW w:type="dxa" w:w="2304"/>
            <w:vAlign w:val="center"/>
            <w:shd w:fill="F7F3EE"/>
          </w:tcPr>
          <w:p>
            <w:r>
              <w:rPr>
                <w:sz w:val="18"/>
              </w:rPr>
            </w:r>
            <w:r>
              <w:rPr>
                <w:b w:val="0"/>
                <w:sz w:val="17"/>
              </w:rPr>
              <w:t>Runtime authority for CAD behavior</w:t>
            </w:r>
          </w:p>
        </w:tc>
      </w:tr>
      <w:tr>
        <w:tc>
          <w:tcPr>
            <w:tcW w:type="dxa" w:w="2592"/>
            <w:vAlign w:val="center"/>
          </w:tcPr>
          <w:p>
            <w:r>
              <w:rPr>
                <w:sz w:val="18"/>
              </w:rPr>
            </w:r>
            <w:r>
              <w:rPr>
                <w:b w:val="0"/>
                <w:sz w:val="17"/>
              </w:rPr>
              <w:t>FenceboundRateCard HTML</w:t>
            </w:r>
          </w:p>
        </w:tc>
        <w:tc>
          <w:tcPr>
            <w:tcW w:type="dxa" w:w="1584"/>
            <w:vAlign w:val="center"/>
          </w:tcPr>
          <w:p>
            <w:r>
              <w:rPr>
                <w:sz w:val="18"/>
              </w:rPr>
            </w:r>
            <w:r>
              <w:rPr>
                <w:b w:val="0"/>
                <w:sz w:val="17"/>
              </w:rPr>
              <w:t>FenceBound</w:t>
            </w:r>
          </w:p>
        </w:tc>
        <w:tc>
          <w:tcPr>
            <w:tcW w:type="dxa" w:w="4032"/>
            <w:vAlign w:val="center"/>
          </w:tcPr>
          <w:p>
            <w:r>
              <w:rPr>
                <w:sz w:val="18"/>
              </w:rPr>
            </w:r>
            <w:r>
              <w:rPr>
                <w:b w:val="0"/>
                <w:sz w:val="17"/>
              </w:rPr>
              <w:t>Standalone pricing reference and editor</w:t>
            </w:r>
          </w:p>
        </w:tc>
        <w:tc>
          <w:tcPr>
            <w:tcW w:type="dxa" w:w="2304"/>
            <w:vAlign w:val="center"/>
          </w:tcPr>
          <w:p>
            <w:r>
              <w:rPr>
                <w:sz w:val="18"/>
              </w:rPr>
            </w:r>
            <w:r>
              <w:rPr>
                <w:b w:val="0"/>
                <w:sz w:val="17"/>
              </w:rPr>
              <w:t>Not authoritative until synchronized</w:t>
            </w:r>
          </w:p>
        </w:tc>
      </w:tr>
      <w:tr>
        <w:tc>
          <w:tcPr>
            <w:tcW w:type="dxa" w:w="2592"/>
            <w:vAlign w:val="center"/>
            <w:shd w:fill="F7F3EE"/>
          </w:tcPr>
          <w:p>
            <w:r>
              <w:rPr>
                <w:sz w:val="18"/>
              </w:rPr>
            </w:r>
            <w:r>
              <w:rPr>
                <w:b w:val="0"/>
                <w:sz w:val="17"/>
              </w:rPr>
              <w:t>FenceScraper v2 HTML</w:t>
            </w:r>
          </w:p>
        </w:tc>
        <w:tc>
          <w:tcPr>
            <w:tcW w:type="dxa" w:w="1584"/>
            <w:vAlign w:val="center"/>
            <w:shd w:fill="F7F3EE"/>
          </w:tcPr>
          <w:p>
            <w:r>
              <w:rPr>
                <w:sz w:val="18"/>
              </w:rPr>
            </w:r>
            <w:r>
              <w:rPr>
                <w:b w:val="0"/>
                <w:sz w:val="17"/>
              </w:rPr>
              <w:t>FenceBound</w:t>
            </w:r>
          </w:p>
        </w:tc>
        <w:tc>
          <w:tcPr>
            <w:tcW w:type="dxa" w:w="4032"/>
            <w:vAlign w:val="center"/>
            <w:shd w:fill="F7F3EE"/>
          </w:tcPr>
          <w:p>
            <w:r>
              <w:t>Bid discovery prototype and future deterministic source-connector engine</w:t>
            </w:r>
          </w:p>
        </w:tc>
        <w:tc>
          <w:tcPr>
            <w:tcW w:type="dxa" w:w="2304"/>
            <w:vAlign w:val="center"/>
            <w:shd w:fill="F7F3EE"/>
          </w:tcPr>
          <w:p>
            <w:r>
              <w:rPr>
                <w:sz w:val="18"/>
              </w:rPr>
            </w:r>
            <w:r>
              <w:rPr>
                <w:b w:val="0"/>
                <w:sz w:val="17"/>
              </w:rPr>
              <w:t>Prototype behavior only</w:t>
            </w:r>
          </w:p>
        </w:tc>
      </w:tr>
      <w:tr>
        <w:tc>
          <w:tcPr>
            <w:tcW w:type="dxa" w:w="2592"/>
            <w:vAlign w:val="center"/>
          </w:tcPr>
          <w:p>
            <w:r>
              <w:rPr>
                <w:sz w:val="18"/>
              </w:rPr>
            </w:r>
            <w:r>
              <w:rPr>
                <w:b w:val="0"/>
                <w:sz w:val="17"/>
              </w:rPr>
              <w:t>Distributor Reference HTML</w:t>
            </w:r>
          </w:p>
        </w:tc>
        <w:tc>
          <w:tcPr>
            <w:tcW w:type="dxa" w:w="1584"/>
            <w:vAlign w:val="center"/>
          </w:tcPr>
          <w:p>
            <w:r>
              <w:rPr>
                <w:sz w:val="18"/>
              </w:rPr>
            </w:r>
            <w:r>
              <w:rPr>
                <w:b w:val="0"/>
                <w:sz w:val="17"/>
              </w:rPr>
              <w:t>Shared</w:t>
            </w:r>
          </w:p>
        </w:tc>
        <w:tc>
          <w:tcPr>
            <w:tcW w:type="dxa" w:w="4032"/>
            <w:vAlign w:val="center"/>
          </w:tcPr>
          <w:p>
            <w:r>
              <w:rPr>
                <w:sz w:val="18"/>
              </w:rPr>
            </w:r>
            <w:r>
              <w:rPr>
                <w:b w:val="0"/>
                <w:sz w:val="17"/>
              </w:rPr>
              <w:t>Vendor/account playbook</w:t>
            </w:r>
          </w:p>
        </w:tc>
        <w:tc>
          <w:tcPr>
            <w:tcW w:type="dxa" w:w="2304"/>
            <w:vAlign w:val="center"/>
          </w:tcPr>
          <w:p>
            <w:r>
              <w:rPr>
                <w:sz w:val="18"/>
              </w:rPr>
            </w:r>
            <w:r>
              <w:rPr>
                <w:b w:val="0"/>
                <w:sz w:val="17"/>
              </w:rPr>
              <w:t>Reference; prices provisional</w:t>
            </w:r>
          </w:p>
        </w:tc>
      </w:tr>
      <w:tr>
        <w:tc>
          <w:tcPr>
            <w:tcW w:type="dxa" w:w="2592"/>
            <w:vAlign w:val="center"/>
            <w:shd w:fill="F7F3EE"/>
          </w:tcPr>
          <w:p>
            <w:r>
              <w:rPr>
                <w:sz w:val="18"/>
              </w:rPr>
            </w:r>
            <w:r>
              <w:rPr>
                <w:b w:val="0"/>
                <w:sz w:val="17"/>
              </w:rPr>
              <w:t>Client Price Guide HTML</w:t>
            </w:r>
          </w:p>
        </w:tc>
        <w:tc>
          <w:tcPr>
            <w:tcW w:type="dxa" w:w="1584"/>
            <w:vAlign w:val="center"/>
            <w:shd w:fill="F7F3EE"/>
          </w:tcPr>
          <w:p>
            <w:r>
              <w:rPr>
                <w:sz w:val="18"/>
              </w:rPr>
            </w:r>
            <w:r>
              <w:rPr>
                <w:b w:val="0"/>
                <w:sz w:val="17"/>
              </w:rPr>
              <w:t>Far-Out</w:t>
            </w:r>
          </w:p>
        </w:tc>
        <w:tc>
          <w:tcPr>
            <w:tcW w:type="dxa" w:w="4032"/>
            <w:vAlign w:val="center"/>
            <w:shd w:fill="F7F3EE"/>
          </w:tcPr>
          <w:p>
            <w:r>
              <w:rPr>
                <w:sz w:val="18"/>
              </w:rPr>
            </w:r>
            <w:r>
              <w:rPr>
                <w:b w:val="0"/>
                <w:sz w:val="17"/>
              </w:rPr>
              <w:t>Customer-facing starting prices</w:t>
            </w:r>
          </w:p>
        </w:tc>
        <w:tc>
          <w:tcPr>
            <w:tcW w:type="dxa" w:w="2304"/>
            <w:vAlign w:val="center"/>
            <w:shd w:fill="F7F3EE"/>
          </w:tcPr>
          <w:p>
            <w:r>
              <w:rPr>
                <w:sz w:val="18"/>
              </w:rPr>
            </w:r>
            <w:r>
              <w:rPr>
                <w:b w:val="0"/>
                <w:sz w:val="17"/>
              </w:rPr>
              <w:t>Not authoritative for quoting</w:t>
            </w:r>
          </w:p>
        </w:tc>
      </w:tr>
      <w:tr>
        <w:tc>
          <w:tcPr>
            <w:tcW w:type="dxa" w:w="2592"/>
            <w:vAlign w:val="center"/>
          </w:tcPr>
          <w:p>
            <w:r>
              <w:t>Development Bible Revision 23</w:t>
            </w:r>
          </w:p>
        </w:tc>
        <w:tc>
          <w:tcPr>
            <w:tcW w:type="dxa" w:w="1584"/>
            <w:vAlign w:val="center"/>
          </w:tcPr>
          <w:p>
            <w:r>
              <w:rPr>
                <w:sz w:val="18"/>
              </w:rPr>
            </w:r>
            <w:r>
              <w:rPr>
                <w:b w:val="0"/>
                <w:sz w:val="17"/>
              </w:rPr>
              <w:t>FenceBound</w:t>
            </w:r>
          </w:p>
        </w:tc>
        <w:tc>
          <w:tcPr>
            <w:tcW w:type="dxa" w:w="4032"/>
            <w:vAlign w:val="center"/>
          </w:tcPr>
          <w:p>
            <w:r>
              <w:rPr>
                <w:sz w:val="18"/>
              </w:rPr>
            </w:r>
            <w:r>
              <w:rPr>
                <w:b w:val="0"/>
                <w:sz w:val="17"/>
              </w:rPr>
              <w:t>Architecture, decisions, constraints, roadmap</w:t>
            </w:r>
          </w:p>
        </w:tc>
        <w:tc>
          <w:tcPr>
            <w:tcW w:type="dxa" w:w="2304"/>
            <w:vAlign w:val="center"/>
          </w:tcPr>
          <w:p>
            <w:r>
              <w:rPr>
                <w:sz w:val="18"/>
              </w:rPr>
            </w:r>
            <w:r>
              <w:rPr>
                <w:b w:val="0"/>
                <w:sz w:val="17"/>
              </w:rPr>
              <w:t>Canonical project manual</w:t>
            </w:r>
          </w:p>
        </w:tc>
      </w:tr>
    </w:tbl>
    <w:p/>
    <w:p>
      <w:r/>
    </w:p>
    <w:p>
      <w:pPr>
        <w:pStyle w:val="Heading1"/>
      </w:pPr>
      <w:r>
        <w:t>3. Engineering Principles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vAlign w:val="center"/>
            <w:shd w:fill="E87512"/>
          </w:tcPr>
          <w:p>
            <w:r>
              <w:rPr>
                <w:sz w:val="18"/>
              </w:rPr>
            </w:r>
            <w:r>
              <w:rPr>
                <w:b/>
                <w:color w:val="FFFFFF"/>
                <w:sz w:val="18"/>
              </w:rPr>
              <w:t>Principle</w:t>
            </w:r>
          </w:p>
        </w:tc>
        <w:tc>
          <w:tcPr>
            <w:tcW w:type="dxa" w:w="7344"/>
            <w:vAlign w:val="center"/>
            <w:shd w:fill="E87512"/>
          </w:tcPr>
          <w:p>
            <w:r>
              <w:rPr>
                <w:sz w:val="18"/>
              </w:rPr>
            </w:r>
            <w:r>
              <w:rPr>
                <w:b/>
                <w:color w:val="FFFFFF"/>
                <w:sz w:val="18"/>
              </w:rPr>
              <w:t>Operational rule</w:t>
            </w:r>
          </w:p>
        </w:tc>
      </w:tr>
      <w:tr>
        <w:tc>
          <w:tcPr>
            <w:tcW w:type="dxa" w:w="2880"/>
            <w:vAlign w:val="center"/>
            <w:shd w:fill="F7F3EE"/>
          </w:tcPr>
          <w:p>
            <w:r>
              <w:rPr>
                <w:sz w:val="18"/>
              </w:rPr>
            </w:r>
            <w:r>
              <w:rPr>
                <w:b w:val="0"/>
                <w:sz w:val="17"/>
              </w:rPr>
              <w:t>Evidence before inference</w:t>
            </w:r>
          </w:p>
        </w:tc>
        <w:tc>
          <w:tcPr>
            <w:tcW w:type="dxa" w:w="7344"/>
            <w:vAlign w:val="center"/>
            <w:shd w:fill="F7F3EE"/>
          </w:tcPr>
          <w:p>
            <w:r>
              <w:rPr>
                <w:sz w:val="18"/>
              </w:rPr>
            </w:r>
            <w:r>
              <w:rPr>
                <w:b w:val="0"/>
                <w:sz w:val="17"/>
              </w:rPr>
              <w:t>When code, documentation, and history disagree, record verified facts and mark unresolved conclusions Needs Verification.</w:t>
            </w:r>
          </w:p>
        </w:tc>
      </w:tr>
      <w:tr>
        <w:tc>
          <w:tcPr>
            <w:tcW w:type="dxa" w:w="2880"/>
            <w:vAlign w:val="center"/>
          </w:tcPr>
          <w:p>
            <w:r>
              <w:rPr>
                <w:sz w:val="18"/>
              </w:rPr>
            </w:r>
            <w:r>
              <w:rPr>
                <w:b w:val="0"/>
                <w:sz w:val="17"/>
              </w:rPr>
              <w:t>Canonical documentation</w:t>
            </w:r>
          </w:p>
        </w:tc>
        <w:tc>
          <w:tcPr>
            <w:tcW w:type="dxa" w:w="7344"/>
            <w:vAlign w:val="center"/>
          </w:tcPr>
          <w:p>
            <w:r>
              <w:t>Revision 23 is the authority for project intent and constraints. It must be updated with every meaningful release.</w:t>
            </w:r>
          </w:p>
        </w:tc>
      </w:tr>
      <w:tr>
        <w:tc>
          <w:tcPr>
            <w:tcW w:type="dxa" w:w="2880"/>
            <w:vAlign w:val="center"/>
            <w:shd w:fill="F7F3EE"/>
          </w:tcPr>
          <w:p>
            <w:r>
              <w:rPr>
                <w:sz w:val="18"/>
              </w:rPr>
            </w:r>
            <w:r>
              <w:rPr>
                <w:b w:val="0"/>
                <w:sz w:val="17"/>
              </w:rPr>
              <w:t>Code defines runtime truth</w:t>
            </w:r>
          </w:p>
        </w:tc>
        <w:tc>
          <w:tcPr>
            <w:tcW w:type="dxa" w:w="7344"/>
            <w:vAlign w:val="center"/>
            <w:shd w:fill="F7F3EE"/>
          </w:tcPr>
          <w:p>
            <w:r>
              <w:rPr>
                <w:sz w:val="18"/>
              </w:rPr>
            </w:r>
            <w:r>
              <w:rPr>
                <w:b w:val="0"/>
                <w:sz w:val="17"/>
              </w:rPr>
              <w:t>For current behavior, inspect the actual supplied source. Documentation cannot overrule executed code.</w:t>
            </w:r>
          </w:p>
        </w:tc>
      </w:tr>
      <w:tr>
        <w:tc>
          <w:tcPr>
            <w:tcW w:type="dxa" w:w="2880"/>
            <w:vAlign w:val="center"/>
          </w:tcPr>
          <w:p>
            <w:r>
              <w:rPr>
                <w:sz w:val="18"/>
              </w:rPr>
            </w:r>
            <w:r>
              <w:rPr>
                <w:b w:val="0"/>
                <w:sz w:val="17"/>
              </w:rPr>
              <w:t>Single-file deployment is intentional</w:t>
            </w:r>
          </w:p>
        </w:tc>
        <w:tc>
          <w:tcPr>
            <w:tcW w:type="dxa" w:w="7344"/>
            <w:vAlign w:val="center"/>
          </w:tcPr>
          <w:p>
            <w:r>
              <w:rPr>
                <w:sz w:val="18"/>
              </w:rPr>
            </w:r>
            <w:r>
              <w:rPr>
                <w:b w:val="0"/>
                <w:sz w:val="17"/>
              </w:rPr>
              <w:t>FenceboundCAD remains one deployable HTML file with no build step unless an explicit ADR changes that constraint.</w:t>
            </w:r>
          </w:p>
        </w:tc>
      </w:tr>
      <w:tr>
        <w:tc>
          <w:tcPr>
            <w:tcW w:type="dxa" w:w="2880"/>
            <w:vAlign w:val="center"/>
            <w:shd w:fill="F7F3EE"/>
          </w:tcPr>
          <w:p>
            <w:r>
              <w:rPr>
                <w:sz w:val="18"/>
              </w:rPr>
            </w:r>
            <w:r>
              <w:rPr>
                <w:b w:val="0"/>
                <w:sz w:val="17"/>
              </w:rPr>
              <w:t>Vanilla JavaScript by design</w:t>
            </w:r>
          </w:p>
        </w:tc>
        <w:tc>
          <w:tcPr>
            <w:tcW w:type="dxa" w:w="7344"/>
            <w:vAlign w:val="center"/>
            <w:shd w:fill="F7F3EE"/>
          </w:tcPr>
          <w:p>
            <w:r>
              <w:rPr>
                <w:sz w:val="18"/>
              </w:rPr>
            </w:r>
            <w:r>
              <w:rPr>
                <w:b w:val="0"/>
                <w:sz w:val="17"/>
              </w:rPr>
              <w:t>Do not introduce a framework merely to modernize style. Complexity must buy measurable field value.</w:t>
            </w:r>
          </w:p>
        </w:tc>
      </w:tr>
      <w:tr>
        <w:tc>
          <w:tcPr>
            <w:tcW w:type="dxa" w:w="2880"/>
            <w:vAlign w:val="center"/>
          </w:tcPr>
          <w:p>
            <w:r>
              <w:rPr>
                <w:sz w:val="18"/>
              </w:rPr>
            </w:r>
            <w:r>
              <w:rPr>
                <w:b w:val="0"/>
                <w:sz w:val="17"/>
              </w:rPr>
              <w:t>Touch-first interaction</w:t>
            </w:r>
          </w:p>
        </w:tc>
        <w:tc>
          <w:tcPr>
            <w:tcW w:type="dxa" w:w="7344"/>
            <w:vAlign w:val="center"/>
          </w:tcPr>
          <w:p>
            <w:r>
              <w:rPr>
                <w:sz w:val="18"/>
              </w:rPr>
            </w:r>
            <w:r>
              <w:rPr>
                <w:b w:val="0"/>
                <w:sz w:val="17"/>
              </w:rPr>
              <w:t>iPad and touch behavior are primary. Mouse behavior is secondary but must remain functional.</w:t>
            </w:r>
          </w:p>
        </w:tc>
      </w:tr>
      <w:tr>
        <w:tc>
          <w:tcPr>
            <w:tcW w:type="dxa" w:w="2880"/>
            <w:vAlign w:val="center"/>
            <w:shd w:fill="F7F3EE"/>
          </w:tcPr>
          <w:p>
            <w:r>
              <w:rPr>
                <w:sz w:val="18"/>
              </w:rPr>
            </w:r>
            <w:r>
              <w:rPr>
                <w:b w:val="0"/>
                <w:sz w:val="17"/>
              </w:rPr>
              <w:t>User data outranks convenience</w:t>
            </w:r>
          </w:p>
        </w:tc>
        <w:tc>
          <w:tcPr>
            <w:tcW w:type="dxa" w:w="7344"/>
            <w:vAlign w:val="center"/>
            <w:shd w:fill="F7F3EE"/>
          </w:tcPr>
          <w:p>
            <w:r>
              <w:rPr>
                <w:sz w:val="18"/>
              </w:rPr>
            </w:r>
            <w:r>
              <w:rPr>
                <w:b w:val="0"/>
                <w:sz w:val="17"/>
              </w:rPr>
              <w:t>Saved jobs, quote assumptions, and historical prices must not change silently.</w:t>
            </w:r>
          </w:p>
        </w:tc>
      </w:tr>
      <w:tr>
        <w:tc>
          <w:tcPr>
            <w:tcW w:type="dxa" w:w="2880"/>
            <w:vAlign w:val="center"/>
          </w:tcPr>
          <w:p>
            <w:r>
              <w:rPr>
                <w:sz w:val="18"/>
              </w:rPr>
            </w:r>
            <w:r>
              <w:rPr>
                <w:b w:val="0"/>
                <w:sz w:val="17"/>
              </w:rPr>
              <w:t>Unknown inputs fail safely</w:t>
            </w:r>
          </w:p>
        </w:tc>
        <w:tc>
          <w:tcPr>
            <w:tcW w:type="dxa" w:w="7344"/>
            <w:vAlign w:val="center"/>
          </w:tcPr>
          <w:p>
            <w:r>
              <w:rPr>
                <w:sz w:val="18"/>
              </w:rPr>
            </w:r>
            <w:r>
              <w:rPr>
                <w:b w:val="0"/>
                <w:sz w:val="17"/>
              </w:rPr>
              <w:t>Imports, missing prices, malformed jobs, and unavailable services must produce visible warnings, not confident-looking output.</w:t>
            </w:r>
          </w:p>
        </w:tc>
      </w:tr>
      <w:tr>
        <w:tc>
          <w:tcPr>
            <w:tcW w:type="dxa" w:w="2880"/>
            <w:vAlign w:val="center"/>
            <w:shd w:fill="F7F3EE"/>
          </w:tcPr>
          <w:p>
            <w:r>
              <w:rPr>
                <w:sz w:val="18"/>
              </w:rPr>
            </w:r>
            <w:r>
              <w:rPr>
                <w:b w:val="0"/>
                <w:sz w:val="17"/>
              </w:rPr>
              <w:t>One source per business rule</w:t>
            </w:r>
          </w:p>
        </w:tc>
        <w:tc>
          <w:tcPr>
            <w:tcW w:type="dxa" w:w="7344"/>
            <w:vAlign w:val="center"/>
            <w:shd w:fill="F7F3EE"/>
          </w:tcPr>
          <w:p>
            <w:r>
              <w:rPr>
                <w:sz w:val="18"/>
              </w:rPr>
            </w:r>
            <w:r>
              <w:rPr>
                <w:b w:val="0"/>
                <w:sz w:val="17"/>
              </w:rPr>
              <w:t>Pricing formulas, type taxonomies, and schemas must not be copied between tools without tests and versioned contracts.</w:t>
            </w:r>
          </w:p>
        </w:tc>
      </w:tr>
      <w:tr>
        <w:tc>
          <w:tcPr>
            <w:tcW w:type="dxa" w:w="2880"/>
            <w:vAlign w:val="center"/>
          </w:tcPr>
          <w:p>
            <w:r>
              <w:rPr>
                <w:sz w:val="18"/>
              </w:rPr>
            </w:r>
            <w:r>
              <w:rPr>
                <w:b w:val="0"/>
                <w:sz w:val="17"/>
              </w:rPr>
              <w:t>Provisional means visible</w:t>
            </w:r>
          </w:p>
        </w:tc>
        <w:tc>
          <w:tcPr>
            <w:tcW w:type="dxa" w:w="7344"/>
            <w:vAlign w:val="center"/>
          </w:tcPr>
          <w:p>
            <w:r>
              <w:rPr>
                <w:sz w:val="18"/>
              </w:rPr>
            </w:r>
            <w:r>
              <w:rPr>
                <w:b w:val="0"/>
                <w:sz w:val="17"/>
              </w:rPr>
              <w:t>Estimated pricing and assumptions must be explicitly labeled and must never masquerade as verified distributor data.</w:t>
            </w:r>
          </w:p>
        </w:tc>
      </w:tr>
      <w:tr>
        <w:tc>
          <w:tcPr>
            <w:tcW w:type="dxa" w:w="2880"/>
            <w:vAlign w:val="center"/>
            <w:shd w:fill="F7F3EE"/>
          </w:tcPr>
          <w:p>
            <w:r>
              <w:rPr>
                <w:sz w:val="18"/>
              </w:rPr>
            </w:r>
            <w:r>
              <w:rPr>
                <w:b w:val="0"/>
                <w:sz w:val="17"/>
              </w:rPr>
              <w:t>History is archived, not interleaved</w:t>
            </w:r>
          </w:p>
        </w:tc>
        <w:tc>
          <w:tcPr>
            <w:tcW w:type="dxa" w:w="7344"/>
            <w:vAlign w:val="center"/>
            <w:shd w:fill="F7F3EE"/>
          </w:tcPr>
          <w:p>
            <w:r>
              <w:rPr>
                <w:sz w:val="18"/>
              </w:rPr>
            </w:r>
            <w:r>
              <w:rPr>
                <w:b w:val="0"/>
                <w:sz w:val="17"/>
              </w:rPr>
              <w:t>Old behavior belongs in the archive. Current sections describe only the current system.</w:t>
            </w:r>
          </w:p>
        </w:tc>
      </w:tr>
      <w:tr>
        <w:tc>
          <w:tcPr>
            <w:tcW w:type="dxa" w:w="2880"/>
            <w:vAlign w:val="center"/>
          </w:tcPr>
          <w:p>
            <w:r>
              <w:rPr>
                <w:sz w:val="18"/>
              </w:rPr>
            </w:r>
            <w:r>
              <w:rPr>
                <w:b w:val="0"/>
                <w:sz w:val="17"/>
              </w:rPr>
              <w:t>No silent reconciliation</w:t>
            </w:r>
          </w:p>
        </w:tc>
        <w:tc>
          <w:tcPr>
            <w:tcW w:type="dxa" w:w="7344"/>
            <w:vAlign w:val="center"/>
          </w:tcPr>
          <w:p>
            <w:r>
              <w:rPr>
                <w:sz w:val="18"/>
              </w:rPr>
            </w:r>
            <w:r>
              <w:rPr>
                <w:b w:val="0"/>
                <w:sz w:val="17"/>
              </w:rPr>
              <w:t>Contradictions are logged, not averaged, guessed, or rewritten into false certainty.</w:t>
            </w:r>
          </w:p>
        </w:tc>
      </w:tr>
      <w:tr>
        <w:tc>
          <w:tcPr>
            <w:tcW w:type="dxa" w:w="5112"/>
          </w:tcPr>
          <w:p>
            <w:r>
              <w:t>Capabilities before vendors</w:t>
            </w:r>
          </w:p>
        </w:tc>
        <w:tc>
          <w:tcPr>
            <w:tcW w:type="dxa" w:w="5112"/>
          </w:tcPr>
          <w:p>
            <w:r>
              <w:t>Define product behavior through source, parsing, validation, and output contracts. External AI providers may assist but must not become an unnecessary core dependency.</w:t>
            </w:r>
          </w:p>
        </w:tc>
      </w:tr>
    </w:tbl>
    <w:p/>
    <w:p>
      <w:r/>
    </w:p>
    <w:p>
      <w:pPr>
        <w:pStyle w:val="Heading1"/>
      </w:pPr>
      <w:r>
        <w:t>4. System Architecture</w:t>
      </w:r>
    </w:p>
    <w:p>
      <w:pPr>
        <w:pStyle w:val="Heading2"/>
      </w:pPr>
      <w:r>
        <w:t>4.1 Intentional Stack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center"/>
            <w:shd w:fill="E87512"/>
          </w:tcPr>
          <w:p>
            <w:r>
              <w:rPr>
                <w:sz w:val="18"/>
              </w:rPr>
            </w:r>
            <w:r>
              <w:rPr>
                <w:b/>
                <w:color w:val="FFFFFF"/>
                <w:sz w:val="18"/>
              </w:rPr>
              <w:t>Layer</w:t>
            </w:r>
          </w:p>
        </w:tc>
        <w:tc>
          <w:tcPr>
            <w:tcW w:type="dxa" w:w="3168"/>
            <w:vAlign w:val="center"/>
            <w:shd w:fill="E87512"/>
          </w:tcPr>
          <w:p>
            <w:r>
              <w:rPr>
                <w:sz w:val="18"/>
              </w:rPr>
            </w:r>
            <w:r>
              <w:rPr>
                <w:b/>
                <w:color w:val="FFFFFF"/>
                <w:sz w:val="18"/>
              </w:rPr>
              <w:t>Current choice</w:t>
            </w:r>
          </w:p>
        </w:tc>
        <w:tc>
          <w:tcPr>
            <w:tcW w:type="dxa" w:w="5328"/>
            <w:vAlign w:val="center"/>
            <w:shd w:fill="E87512"/>
          </w:tcPr>
          <w:p>
            <w:r>
              <w:rPr>
                <w:sz w:val="18"/>
              </w:rPr>
            </w:r>
            <w:r>
              <w:rPr>
                <w:b/>
                <w:color w:val="FFFFFF"/>
                <w:sz w:val="18"/>
              </w:rPr>
              <w:t>Reason</w:t>
            </w:r>
          </w:p>
        </w:tc>
      </w:tr>
      <w:tr>
        <w:tc>
          <w:tcPr>
            <w:tcW w:type="dxa" w:w="1728"/>
            <w:vAlign w:val="center"/>
            <w:shd w:fill="F7F3EE"/>
          </w:tcPr>
          <w:p>
            <w:r>
              <w:rPr>
                <w:sz w:val="18"/>
              </w:rPr>
            </w:r>
            <w:r>
              <w:rPr>
                <w:b w:val="0"/>
                <w:sz w:val="17"/>
              </w:rPr>
              <w:t>Deployment</w:t>
            </w:r>
          </w:p>
        </w:tc>
        <w:tc>
          <w:tcPr>
            <w:tcW w:type="dxa" w:w="3168"/>
            <w:vAlign w:val="center"/>
            <w:shd w:fill="F7F3EE"/>
          </w:tcPr>
          <w:p>
            <w:r>
              <w:rPr>
                <w:sz w:val="18"/>
              </w:rPr>
            </w:r>
            <w:r>
              <w:rPr>
                <w:b w:val="0"/>
                <w:sz w:val="17"/>
              </w:rPr>
              <w:t>Single self-contained HTML file</w:t>
            </w:r>
          </w:p>
        </w:tc>
        <w:tc>
          <w:tcPr>
            <w:tcW w:type="dxa" w:w="5328"/>
            <w:vAlign w:val="center"/>
            <w:shd w:fill="F7F3EE"/>
          </w:tcPr>
          <w:p>
            <w:r>
              <w:rPr>
                <w:sz w:val="18"/>
              </w:rPr>
            </w:r>
            <w:r>
              <w:rPr>
                <w:b w:val="0"/>
                <w:sz w:val="17"/>
              </w:rPr>
              <w:t>Netlify Drop deployment, simple backup, low operational overhead.</w:t>
            </w:r>
          </w:p>
        </w:tc>
      </w:tr>
      <w:tr>
        <w:tc>
          <w:tcPr>
            <w:tcW w:type="dxa" w:w="1728"/>
            <w:vAlign w:val="center"/>
          </w:tcPr>
          <w:p>
            <w:r>
              <w:rPr>
                <w:sz w:val="18"/>
              </w:rPr>
            </w:r>
            <w:r>
              <w:rPr>
                <w:b w:val="0"/>
                <w:sz w:val="17"/>
              </w:rPr>
              <w:t>Runtime</w:t>
            </w:r>
          </w:p>
        </w:tc>
        <w:tc>
          <w:tcPr>
            <w:tcW w:type="dxa" w:w="3168"/>
            <w:vAlign w:val="center"/>
          </w:tcPr>
          <w:p>
            <w:r>
              <w:rPr>
                <w:sz w:val="18"/>
              </w:rPr>
            </w:r>
            <w:r>
              <w:rPr>
                <w:b w:val="0"/>
                <w:sz w:val="17"/>
              </w:rPr>
              <w:t>Vanilla JavaScript</w:t>
            </w:r>
          </w:p>
        </w:tc>
        <w:tc>
          <w:tcPr>
            <w:tcW w:type="dxa" w:w="5328"/>
            <w:vAlign w:val="center"/>
          </w:tcPr>
          <w:p>
            <w:r>
              <w:rPr>
                <w:sz w:val="18"/>
              </w:rPr>
            </w:r>
            <w:r>
              <w:rPr>
                <w:b w:val="0"/>
                <w:sz w:val="17"/>
              </w:rPr>
              <w:t>Direct behavior, no framework churn, no build pipeline.</w:t>
            </w:r>
          </w:p>
        </w:tc>
      </w:tr>
      <w:tr>
        <w:tc>
          <w:tcPr>
            <w:tcW w:type="dxa" w:w="1728"/>
            <w:vAlign w:val="center"/>
            <w:shd w:fill="F7F3EE"/>
          </w:tcPr>
          <w:p>
            <w:r>
              <w:rPr>
                <w:sz w:val="18"/>
              </w:rPr>
            </w:r>
            <w:r>
              <w:rPr>
                <w:b w:val="0"/>
                <w:sz w:val="17"/>
              </w:rPr>
              <w:t>Drawing</w:t>
            </w:r>
          </w:p>
        </w:tc>
        <w:tc>
          <w:tcPr>
            <w:tcW w:type="dxa" w:w="3168"/>
            <w:vAlign w:val="center"/>
            <w:shd w:fill="F7F3EE"/>
          </w:tcPr>
          <w:p>
            <w:r>
              <w:rPr>
                <w:sz w:val="18"/>
              </w:rPr>
            </w:r>
            <w:r>
              <w:rPr>
                <w:b w:val="0"/>
                <w:sz w:val="17"/>
              </w:rPr>
              <w:t>HTML5 Canvas 2D</w:t>
            </w:r>
          </w:p>
        </w:tc>
        <w:tc>
          <w:tcPr>
            <w:tcW w:type="dxa" w:w="5328"/>
            <w:vAlign w:val="center"/>
            <w:shd w:fill="F7F3EE"/>
          </w:tcPr>
          <w:p>
            <w:r>
              <w:rPr>
                <w:sz w:val="18"/>
              </w:rPr>
            </w:r>
            <w:r>
              <w:rPr>
                <w:b w:val="0"/>
                <w:sz w:val="17"/>
              </w:rPr>
              <w:t>Fast touch interaction and image export.</w:t>
            </w:r>
          </w:p>
        </w:tc>
      </w:tr>
      <w:tr>
        <w:tc>
          <w:tcPr>
            <w:tcW w:type="dxa" w:w="1728"/>
            <w:vAlign w:val="center"/>
          </w:tcPr>
          <w:p>
            <w:r>
              <w:rPr>
                <w:sz w:val="18"/>
              </w:rPr>
            </w:r>
            <w:r>
              <w:rPr>
                <w:b w:val="0"/>
                <w:sz w:val="17"/>
              </w:rPr>
              <w:t>State</w:t>
            </w:r>
          </w:p>
        </w:tc>
        <w:tc>
          <w:tcPr>
            <w:tcW w:type="dxa" w:w="3168"/>
            <w:vAlign w:val="center"/>
          </w:tcPr>
          <w:p>
            <w:r>
              <w:rPr>
                <w:sz w:val="18"/>
              </w:rPr>
            </w:r>
            <w:r>
              <w:rPr>
                <w:b w:val="0"/>
                <w:sz w:val="17"/>
              </w:rPr>
              <w:t>Single global S object</w:t>
            </w:r>
          </w:p>
        </w:tc>
        <w:tc>
          <w:tcPr>
            <w:tcW w:type="dxa" w:w="5328"/>
            <w:vAlign w:val="center"/>
          </w:tcPr>
          <w:p>
            <w:r>
              <w:rPr>
                <w:sz w:val="18"/>
              </w:rPr>
            </w:r>
            <w:r>
              <w:rPr>
                <w:b w:val="0"/>
                <w:sz w:val="17"/>
              </w:rPr>
              <w:t>Simple inspection and consistent access in a solo-maintained application.</w:t>
            </w:r>
          </w:p>
        </w:tc>
      </w:tr>
      <w:tr>
        <w:tc>
          <w:tcPr>
            <w:tcW w:type="dxa" w:w="1728"/>
            <w:vAlign w:val="center"/>
            <w:shd w:fill="F7F3EE"/>
          </w:tcPr>
          <w:p>
            <w:r>
              <w:rPr>
                <w:sz w:val="18"/>
              </w:rPr>
            </w:r>
            <w:r>
              <w:rPr>
                <w:b w:val="0"/>
                <w:sz w:val="17"/>
              </w:rPr>
              <w:t>Persistence</w:t>
            </w:r>
          </w:p>
        </w:tc>
        <w:tc>
          <w:tcPr>
            <w:tcW w:type="dxa" w:w="3168"/>
            <w:vAlign w:val="center"/>
            <w:shd w:fill="F7F3EE"/>
          </w:tcPr>
          <w:p>
            <w:r>
              <w:rPr>
                <w:sz w:val="18"/>
              </w:rPr>
            </w:r>
            <w:r>
              <w:rPr>
                <w:b w:val="0"/>
                <w:sz w:val="17"/>
              </w:rPr>
              <w:t>localStorage JSON</w:t>
            </w:r>
          </w:p>
        </w:tc>
        <w:tc>
          <w:tcPr>
            <w:tcW w:type="dxa" w:w="5328"/>
            <w:vAlign w:val="center"/>
            <w:shd w:fill="F7F3EE"/>
          </w:tcPr>
          <w:p>
            <w:r>
              <w:rPr>
                <w:sz w:val="18"/>
              </w:rPr>
            </w:r>
            <w:r>
              <w:rPr>
                <w:b w:val="0"/>
                <w:sz w:val="17"/>
              </w:rPr>
              <w:t>Offline, no server, no account requirement.</w:t>
            </w:r>
          </w:p>
        </w:tc>
      </w:tr>
      <w:tr>
        <w:tc>
          <w:tcPr>
            <w:tcW w:type="dxa" w:w="1728"/>
            <w:vAlign w:val="center"/>
          </w:tcPr>
          <w:p>
            <w:r>
              <w:rPr>
                <w:sz w:val="18"/>
              </w:rPr>
            </w:r>
            <w:r>
              <w:rPr>
                <w:b w:val="0"/>
                <w:sz w:val="17"/>
              </w:rPr>
              <w:t>PDF</w:t>
            </w:r>
          </w:p>
        </w:tc>
        <w:tc>
          <w:tcPr>
            <w:tcW w:type="dxa" w:w="3168"/>
            <w:vAlign w:val="center"/>
          </w:tcPr>
          <w:p>
            <w:r>
              <w:rPr>
                <w:sz w:val="18"/>
              </w:rPr>
            </w:r>
            <w:r>
              <w:rPr>
                <w:b w:val="0"/>
                <w:sz w:val="17"/>
              </w:rPr>
              <w:t>jsPDF from CDN</w:t>
            </w:r>
          </w:p>
        </w:tc>
        <w:tc>
          <w:tcPr>
            <w:tcW w:type="dxa" w:w="5328"/>
            <w:vAlign w:val="center"/>
          </w:tcPr>
          <w:p>
            <w:r>
              <w:rPr>
                <w:sz w:val="18"/>
              </w:rPr>
            </w:r>
            <w:r>
              <w:rPr>
                <w:b w:val="0"/>
                <w:sz w:val="17"/>
              </w:rPr>
              <w:t>Keeps app small, but prevents guaranteed offline PDF export.</w:t>
            </w:r>
          </w:p>
        </w:tc>
      </w:tr>
      <w:tr>
        <w:tc>
          <w:tcPr>
            <w:tcW w:type="dxa" w:w="1728"/>
            <w:vAlign w:val="center"/>
            <w:shd w:fill="F7F3EE"/>
          </w:tcPr>
          <w:p>
            <w:r>
              <w:rPr>
                <w:sz w:val="18"/>
              </w:rPr>
            </w:r>
            <w:r>
              <w:rPr>
                <w:b w:val="0"/>
                <w:sz w:val="17"/>
              </w:rPr>
              <w:t>PNG</w:t>
            </w:r>
          </w:p>
        </w:tc>
        <w:tc>
          <w:tcPr>
            <w:tcW w:type="dxa" w:w="3168"/>
            <w:vAlign w:val="center"/>
            <w:shd w:fill="F7F3EE"/>
          </w:tcPr>
          <w:p>
            <w:r>
              <w:rPr>
                <w:sz w:val="18"/>
              </w:rPr>
            </w:r>
            <w:r>
              <w:rPr>
                <w:b w:val="0"/>
                <w:sz w:val="17"/>
              </w:rPr>
              <w:t>Canvas data URL</w:t>
            </w:r>
          </w:p>
        </w:tc>
        <w:tc>
          <w:tcPr>
            <w:tcW w:type="dxa" w:w="5328"/>
            <w:vAlign w:val="center"/>
            <w:shd w:fill="F7F3EE"/>
          </w:tcPr>
          <w:p>
            <w:r>
              <w:rPr>
                <w:sz w:val="18"/>
              </w:rPr>
            </w:r>
            <w:r>
              <w:rPr>
                <w:b w:val="0"/>
                <w:sz w:val="17"/>
              </w:rPr>
              <w:t>Offline-capable export.</w:t>
            </w:r>
          </w:p>
        </w:tc>
      </w:tr>
      <w:tr>
        <w:tc>
          <w:tcPr>
            <w:tcW w:type="dxa" w:w="1728"/>
            <w:vAlign w:val="center"/>
          </w:tcPr>
          <w:p>
            <w:r>
              <w:rPr>
                <w:sz w:val="18"/>
              </w:rPr>
            </w:r>
            <w:r>
              <w:rPr>
                <w:b w:val="0"/>
                <w:sz w:val="17"/>
              </w:rPr>
              <w:t>Input</w:t>
            </w:r>
          </w:p>
        </w:tc>
        <w:tc>
          <w:tcPr>
            <w:tcW w:type="dxa" w:w="3168"/>
            <w:vAlign w:val="center"/>
          </w:tcPr>
          <w:p>
            <w:r>
              <w:rPr>
                <w:sz w:val="18"/>
              </w:rPr>
            </w:r>
            <w:r>
              <w:rPr>
                <w:b w:val="0"/>
                <w:sz w:val="17"/>
              </w:rPr>
              <w:t>Unified mouse/touch handlers</w:t>
            </w:r>
          </w:p>
        </w:tc>
        <w:tc>
          <w:tcPr>
            <w:tcW w:type="dxa" w:w="5328"/>
            <w:vAlign w:val="center"/>
          </w:tcPr>
          <w:p>
            <w:r>
              <w:rPr>
                <w:sz w:val="18"/>
              </w:rPr>
            </w:r>
            <w:r>
              <w:rPr>
                <w:b w:val="0"/>
                <w:sz w:val="17"/>
              </w:rPr>
              <w:t>Avoids divergent input logic; changedTouches remains critical for touch completion events.</w:t>
            </w:r>
          </w:p>
        </w:tc>
      </w:tr>
    </w:tbl>
    <w:p/>
    <w:p>
      <w:pPr>
        <w:pStyle w:val="Heading2"/>
      </w:pPr>
      <w:r>
        <w:t>4.2 Architecture Boundary</w:t>
      </w:r>
    </w:p>
    <w:p>
      <w:pPr>
        <w:pStyle w:val="CodeBlock"/>
      </w:pPr>
      <w:r>
        <w:t>Drawing state → geometry → statistics → BOM → pricing → client/internal output</w:t>
        <w:br/>
        <w:t xml:space="preserve">                 ↘ persistence ↗         ↘ PDF / PNG</w:t>
      </w:r>
    </w:p>
    <w:p>
      <w:r>
        <w:t>The drawing and saved job are the primary job records. Statistics, materials, prices, and exports should be derived from that state rather than maintained as independent mutable copies.</w:t>
      </w:r>
    </w:p>
    <w:p>
      <w:pPr>
        <w:pStyle w:val="Heading2"/>
      </w:pPr>
      <w:r>
        <w:t>4.3 Non-Negotiable Constraints</w:t>
      </w:r>
    </w:p>
    <w:p>
      <w:pPr>
        <w:pStyle w:val="ListBullet"/>
      </w:pPr>
      <w:r>
        <w:t>Do not split FenceboundCAD into multiple runtime files without an approved ADR.</w:t>
      </w:r>
    </w:p>
    <w:p>
      <w:pPr>
        <w:pStyle w:val="ListBullet"/>
      </w:pPr>
      <w:r>
        <w:t>Do not add npm, a bundler, or a framework to the CAD application by default.</w:t>
      </w:r>
    </w:p>
    <w:p>
      <w:pPr>
        <w:pStyle w:val="ListBullet"/>
      </w:pPr>
      <w:r>
        <w:t>Do not add cloud services, authentication, or a backend as incidental feature work.</w:t>
      </w:r>
    </w:p>
    <w:p>
      <w:pPr>
        <w:pStyle w:val="ListBullet"/>
      </w:pPr>
      <w:r>
        <w:t>Do not separate touch and mouse into independent behavioral systems.</w:t>
      </w:r>
    </w:p>
    <w:p>
      <w:pPr>
        <w:pStyle w:val="ListBullet"/>
      </w:pPr>
      <w:r>
        <w:t>Do not rename or decompose S solely for stylistic preference.</w:t>
      </w:r>
    </w:p>
    <w:p>
      <w:pPr>
        <w:pStyle w:val="ListBullet"/>
      </w:pPr>
      <w:r>
        <w:t>Do not add barbed wire as a fence type; it is a chain-link security addon.</w:t>
      </w:r>
    </w:p>
    <w:p>
      <w:pPr>
        <w:pStyle w:val="ListBullet"/>
      </w:pPr>
      <w:r>
        <w:t>Do not present unverified prices as production-ready.</w:t>
      </w:r>
    </w:p>
    <w:p>
      <w:pPr>
        <w:pStyle w:val="Heading2"/>
      </w:pPr>
      <w:r>
        <w:t>4.4 Allowed Evolution</w:t>
      </w:r>
    </w:p>
    <w:p>
      <w:r>
        <w:t>Constraints protect the current deployment model, not dogma. A deliberate architecture change is allowed when a real business requirement exceeds the single-file model. It requires an ADR describing the problem, alternatives, migration plan, costs, and rollback path.</w:t>
      </w:r>
    </w:p>
    <w:p>
      <w:r/>
    </w:p>
    <w:p>
      <w:pPr>
        <w:pStyle w:val="Heading2"/>
      </w:pPr>
      <w:r>
        <w:t>4.5 FenceScraper Core Architecture</w:t>
      </w:r>
    </w:p>
    <w:p>
      <w:pPr/>
      <w:r>
        <w:t>FenceScraper is a source-connector and opportunity-normalization engine. Its core operation must not require Anthropic, OpenAI, Gemini, or any other language-model provider.</w:t>
      </w:r>
    </w:p>
    <w:p>
      <w:pPr>
        <w:pStyle w:val="ListBullet"/>
      </w:pPr>
      <w:r>
        <w:t>Source-specific connectors obtain public or permissioned data through APIs, feeds, HTML pages, structured endpoints, files, or manual import.</w:t>
      </w:r>
    </w:p>
    <w:p>
      <w:pPr>
        <w:pStyle w:val="ListBullet"/>
      </w:pPr>
      <w:r>
        <w:t>Deterministic code parses and normalizes records into a stable opportunity schema containing source, source URL, title, agency, location, dates, opportunity type, fence categories, status, confidence, verification time, and raw evidence.</w:t>
      </w:r>
    </w:p>
    <w:p>
      <w:pPr>
        <w:pStyle w:val="ListBullet"/>
      </w:pPr>
      <w:r>
        <w:t>Validation, protocol safety, deadline handling, deduplication, relevance scoring, persistence, change detection, and export operate without AI.</w:t>
      </w:r>
    </w:p>
    <w:p>
      <w:pPr>
        <w:pStyle w:val="ListBullet"/>
      </w:pPr>
      <w:r>
        <w:t>A model-generated statement is never sole evidence that an opportunity exists; the source record and retrievable evidence remain authoritative.</w:t>
      </w:r>
    </w:p>
    <w:p>
      <w:pPr>
        <w:pStyle w:val="ListBullet"/>
      </w:pPr>
      <w:r>
        <w:t>Credentials may still be required for controlled data sources, but no language-model API key is required for the core product.</w:t>
      </w:r>
    </w:p>
    <w:p>
      <w:pPr>
        <w:pStyle w:val="Heading3"/>
      </w:pPr>
      <w:r>
        <w:t>Optional intelligence boundary</w:t>
      </w:r>
    </w:p>
    <w:p>
      <w:pPr/>
      <w:r>
        <w:t>Future AI assistance must use a provider-neutral interface and remain optional. It may assist with unusually messy documents, scope classification, or summarization after deterministic acquisition and validation. Supported implementations may include rules, a local model, or interchangeable remote providers. Failure or absence of the intelligence provider must not disable core scanning.</w:t>
      </w:r>
    </w:p>
    <w:p>
      <w:pPr>
        <w:pStyle w:val="Heading1"/>
      </w:pPr>
      <w:r>
        <w:t>5. FenceboundCAD v5.3</w:t>
      </w:r>
    </w:p>
    <w:p>
      <w:pPr>
        <w:pStyle w:val="Heading2"/>
      </w:pPr>
      <w:r>
        <w:t>5.1 Product Definition</w:t>
      </w:r>
    </w:p>
    <w:p>
      <w:r>
        <w:t>FenceboundCAD is a purpose-built field layout and job-documentation tool. It draws fence geometry, places posts and gates, calculates quantities, prices the resulting BOM, stores jobs locally, and exports client or installer documents.</w:t>
      </w:r>
    </w:p>
    <w:p>
      <w:pPr>
        <w:pStyle w:val="Heading2"/>
      </w:pPr>
      <w:r>
        <w:t>5.2 Current Capabilities</w:t>
      </w:r>
    </w:p>
    <w:p>
      <w:pPr>
        <w:pStyle w:val="ListBullet"/>
      </w:pPr>
      <w:r>
        <w:t>Canvas drawing for fence runs, property boundaries, posts, gates, and labels.</w:t>
      </w:r>
    </w:p>
    <w:p>
      <w:pPr>
        <w:pStyle w:val="ListBullet"/>
      </w:pPr>
      <w:r>
        <w:t>Pan, zoom, fixed one-foot minor grid, ten-foot major grid, endpoint snapping, and angle lock.</w:t>
      </w:r>
    </w:p>
    <w:p>
      <w:pPr>
        <w:pStyle w:val="ListBullet"/>
      </w:pPr>
      <w:r>
        <w:t>Material-first fence taxonomy covering chain link, wood, vinyl, ornamental, cattle, and temporary systems.</w:t>
      </w:r>
    </w:p>
    <w:p>
      <w:pPr>
        <w:pStyle w:val="ListBullet"/>
      </w:pPr>
      <w:r>
        <w:t>Auto-post placement, corner detection, gate swing representation, live statistics, and derived BOM.</w:t>
      </w:r>
    </w:p>
    <w:p>
      <w:pPr>
        <w:pStyle w:val="ListBullet"/>
      </w:pPr>
      <w:r>
        <w:t>Specs engine for height, embed, rails/components, addons, and site conditions.</w:t>
      </w:r>
    </w:p>
    <w:p>
      <w:pPr>
        <w:pStyle w:val="ListBullet"/>
      </w:pPr>
      <w:r>
        <w:t>Cost-basis pricing from COST_DB, LABOR, and MARKUP, including gate and site-condition adjustments.</w:t>
      </w:r>
    </w:p>
    <w:p>
      <w:pPr>
        <w:pStyle w:val="ListBullet"/>
      </w:pPr>
      <w:r>
        <w:t>Local save/load, autosave behavior, undo/redo, copy/paste, and export to PNG/PDF.</w:t>
      </w:r>
    </w:p>
    <w:p>
      <w:pPr>
        <w:pStyle w:val="ListBullet"/>
      </w:pPr>
      <w:r>
        <w:t>Editable cost and margin interface with JSON import/export, subject to the schema issue in Section 9.</w:t>
      </w:r>
    </w:p>
    <w:p>
      <w:pPr>
        <w:pStyle w:val="Heading2"/>
      </w:pPr>
      <w:r>
        <w:t>5.3 Fence Type Taxonomy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84"/>
            <w:vAlign w:val="center"/>
            <w:shd w:fill="E87512"/>
          </w:tcPr>
          <w:p>
            <w:r>
              <w:rPr>
                <w:sz w:val="18"/>
              </w:rPr>
            </w:r>
            <w:r>
              <w:rPr>
                <w:b/>
                <w:color w:val="FFFFFF"/>
                <w:sz w:val="18"/>
              </w:rPr>
              <w:t>Material</w:t>
            </w:r>
          </w:p>
        </w:tc>
        <w:tc>
          <w:tcPr>
            <w:tcW w:type="dxa" w:w="4608"/>
            <w:vAlign w:val="center"/>
            <w:shd w:fill="E87512"/>
          </w:tcPr>
          <w:p>
            <w:r>
              <w:rPr>
                <w:sz w:val="18"/>
              </w:rPr>
            </w:r>
            <w:r>
              <w:rPr>
                <w:b/>
                <w:color w:val="FFFFFF"/>
                <w:sz w:val="18"/>
              </w:rPr>
              <w:t>Internal types</w:t>
            </w:r>
          </w:p>
        </w:tc>
        <w:tc>
          <w:tcPr>
            <w:tcW w:type="dxa" w:w="4032"/>
            <w:vAlign w:val="center"/>
            <w:shd w:fill="E87512"/>
          </w:tcPr>
          <w:p>
            <w:r>
              <w:rPr>
                <w:sz w:val="18"/>
              </w:rPr>
            </w:r>
            <w:r>
              <w:rPr>
                <w:b/>
                <w:color w:val="FFFFFF"/>
                <w:sz w:val="18"/>
              </w:rPr>
              <w:t>Notes</w:t>
            </w:r>
          </w:p>
        </w:tc>
      </w:tr>
      <w:tr>
        <w:tc>
          <w:tcPr>
            <w:tcW w:type="dxa" w:w="1584"/>
            <w:vAlign w:val="center"/>
            <w:shd w:fill="F7F3EE"/>
          </w:tcPr>
          <w:p>
            <w:r>
              <w:rPr>
                <w:sz w:val="18"/>
              </w:rPr>
            </w:r>
            <w:r>
              <w:rPr>
                <w:b w:val="0"/>
                <w:sz w:val="17"/>
              </w:rPr>
              <w:t>Chain Link</w:t>
            </w:r>
          </w:p>
        </w:tc>
        <w:tc>
          <w:tcPr>
            <w:tcW w:type="dxa" w:w="4608"/>
            <w:vAlign w:val="center"/>
            <w:shd w:fill="F7F3EE"/>
          </w:tcPr>
          <w:p>
            <w:r>
              <w:rPr>
                <w:sz w:val="18"/>
              </w:rPr>
            </w:r>
            <w:r>
              <w:rPr>
                <w:b w:val="0"/>
                <w:sz w:val="17"/>
              </w:rPr>
              <w:t>chainlink</w:t>
            </w:r>
          </w:p>
        </w:tc>
        <w:tc>
          <w:tcPr>
            <w:tcW w:type="dxa" w:w="4032"/>
            <w:vAlign w:val="center"/>
            <w:shd w:fill="F7F3EE"/>
          </w:tcPr>
          <w:p>
            <w:r>
              <w:rPr>
                <w:sz w:val="18"/>
              </w:rPr>
            </w:r>
            <w:r>
              <w:rPr>
                <w:b w:val="0"/>
                <w:sz w:val="17"/>
              </w:rPr>
              <w:t>Security addons belong here.</w:t>
            </w:r>
          </w:p>
        </w:tc>
      </w:tr>
      <w:tr>
        <w:tc>
          <w:tcPr>
            <w:tcW w:type="dxa" w:w="1584"/>
            <w:vAlign w:val="center"/>
          </w:tcPr>
          <w:p>
            <w:r>
              <w:rPr>
                <w:sz w:val="18"/>
              </w:rPr>
            </w:r>
            <w:r>
              <w:rPr>
                <w:b w:val="0"/>
                <w:sz w:val="17"/>
              </w:rPr>
              <w:t>Wood</w:t>
            </w:r>
          </w:p>
        </w:tc>
        <w:tc>
          <w:tcPr>
            <w:tcW w:type="dxa" w:w="4608"/>
            <w:vAlign w:val="center"/>
          </w:tcPr>
          <w:p>
            <w:r>
              <w:rPr>
                <w:sz w:val="18"/>
              </w:rPr>
            </w:r>
            <w:r>
              <w:rPr>
                <w:b w:val="0"/>
                <w:sz w:val="17"/>
              </w:rPr>
              <w:t>woodprivacy, woodshadowbox, woodsplit2, woodsplit3, woodsplit3fb</w:t>
            </w:r>
          </w:p>
        </w:tc>
        <w:tc>
          <w:tcPr>
            <w:tcW w:type="dxa" w:w="4032"/>
            <w:vAlign w:val="center"/>
          </w:tcPr>
          <w:p>
            <w:r>
              <w:rPr>
                <w:sz w:val="18"/>
              </w:rPr>
            </w:r>
            <w:r>
              <w:rPr>
                <w:b w:val="0"/>
                <w:sz w:val="17"/>
              </w:rPr>
              <w:t>Privacy/shadowbox rails are automatic; split-rail variants are separate.</w:t>
            </w:r>
          </w:p>
        </w:tc>
      </w:tr>
      <w:tr>
        <w:tc>
          <w:tcPr>
            <w:tcW w:type="dxa" w:w="1584"/>
            <w:vAlign w:val="center"/>
            <w:shd w:fill="F7F3EE"/>
          </w:tcPr>
          <w:p>
            <w:r>
              <w:rPr>
                <w:sz w:val="18"/>
              </w:rPr>
            </w:r>
            <w:r>
              <w:rPr>
                <w:b w:val="0"/>
                <w:sz w:val="17"/>
              </w:rPr>
              <w:t>Vinyl</w:t>
            </w:r>
          </w:p>
        </w:tc>
        <w:tc>
          <w:tcPr>
            <w:tcW w:type="dxa" w:w="4608"/>
            <w:vAlign w:val="center"/>
            <w:shd w:fill="F7F3EE"/>
          </w:tcPr>
          <w:p>
            <w:r>
              <w:rPr>
                <w:sz w:val="18"/>
              </w:rPr>
            </w:r>
            <w:r>
              <w:rPr>
                <w:b w:val="0"/>
                <w:sz w:val="17"/>
              </w:rPr>
              <w:t>vinylprivacy6, vinylprivacy8, vinylsplit2, vinylsplit3</w:t>
            </w:r>
          </w:p>
        </w:tc>
        <w:tc>
          <w:tcPr>
            <w:tcW w:type="dxa" w:w="4032"/>
            <w:vAlign w:val="center"/>
            <w:shd w:fill="F7F3EE"/>
          </w:tcPr>
          <w:p>
            <w:r>
              <w:rPr>
                <w:sz w:val="18"/>
              </w:rPr>
            </w:r>
            <w:r>
              <w:rPr>
                <w:b w:val="0"/>
                <w:sz w:val="17"/>
              </w:rPr>
              <w:t>Privacy defaults encode nominal height.</w:t>
            </w:r>
          </w:p>
        </w:tc>
      </w:tr>
      <w:tr>
        <w:tc>
          <w:tcPr>
            <w:tcW w:type="dxa" w:w="1584"/>
            <w:vAlign w:val="center"/>
          </w:tcPr>
          <w:p>
            <w:r>
              <w:rPr>
                <w:sz w:val="18"/>
              </w:rPr>
            </w:r>
            <w:r>
              <w:rPr>
                <w:b w:val="0"/>
                <w:sz w:val="17"/>
              </w:rPr>
              <w:t>Ornamental</w:t>
            </w:r>
          </w:p>
        </w:tc>
        <w:tc>
          <w:tcPr>
            <w:tcW w:type="dxa" w:w="4608"/>
            <w:vAlign w:val="center"/>
          </w:tcPr>
          <w:p>
            <w:r>
              <w:rPr>
                <w:sz w:val="18"/>
              </w:rPr>
            </w:r>
            <w:r>
              <w:rPr>
                <w:b w:val="0"/>
                <w:sz w:val="17"/>
              </w:rPr>
              <w:t>ornamental</w:t>
            </w:r>
          </w:p>
        </w:tc>
        <w:tc>
          <w:tcPr>
            <w:tcW w:type="dxa" w:w="4032"/>
            <w:vAlign w:val="center"/>
          </w:tcPr>
          <w:p>
            <w:r>
              <w:rPr>
                <w:sz w:val="18"/>
              </w:rPr>
            </w:r>
            <w:r>
              <w:rPr>
                <w:b w:val="0"/>
                <w:sz w:val="17"/>
              </w:rPr>
              <w:t>Panel-based system; self-tapping screw count remains an assumption pending field validation.</w:t>
            </w:r>
          </w:p>
        </w:tc>
      </w:tr>
      <w:tr>
        <w:tc>
          <w:tcPr>
            <w:tcW w:type="dxa" w:w="1584"/>
            <w:vAlign w:val="center"/>
            <w:shd w:fill="F7F3EE"/>
          </w:tcPr>
          <w:p>
            <w:r>
              <w:rPr>
                <w:sz w:val="18"/>
              </w:rPr>
            </w:r>
            <w:r>
              <w:rPr>
                <w:b w:val="0"/>
                <w:sz w:val="17"/>
              </w:rPr>
              <w:t>Cattle</w:t>
            </w:r>
          </w:p>
        </w:tc>
        <w:tc>
          <w:tcPr>
            <w:tcW w:type="dxa" w:w="4608"/>
            <w:vAlign w:val="center"/>
            <w:shd w:fill="F7F3EE"/>
          </w:tcPr>
          <w:p>
            <w:r>
              <w:rPr>
                <w:sz w:val="18"/>
              </w:rPr>
            </w:r>
            <w:r>
              <w:rPr>
                <w:b w:val="0"/>
                <w:sz w:val="17"/>
              </w:rPr>
              <w:t>cattlefield, cattlehog</w:t>
            </w:r>
          </w:p>
        </w:tc>
        <w:tc>
          <w:tcPr>
            <w:tcW w:type="dxa" w:w="4032"/>
            <w:vAlign w:val="center"/>
            <w:shd w:fill="F7F3EE"/>
          </w:tcPr>
          <w:p>
            <w:r>
              <w:rPr>
                <w:sz w:val="18"/>
              </w:rPr>
            </w:r>
            <w:r>
              <w:rPr>
                <w:b w:val="0"/>
                <w:sz w:val="17"/>
              </w:rPr>
              <w:t>Field/T-post and hog-panel branches.</w:t>
            </w:r>
          </w:p>
        </w:tc>
      </w:tr>
      <w:tr>
        <w:tc>
          <w:tcPr>
            <w:tcW w:type="dxa" w:w="1584"/>
            <w:vAlign w:val="center"/>
          </w:tcPr>
          <w:p>
            <w:r>
              <w:rPr>
                <w:sz w:val="18"/>
              </w:rPr>
            </w:r>
            <w:r>
              <w:rPr>
                <w:b w:val="0"/>
                <w:sz w:val="17"/>
              </w:rPr>
              <w:t>Temporary</w:t>
            </w:r>
          </w:p>
        </w:tc>
        <w:tc>
          <w:tcPr>
            <w:tcW w:type="dxa" w:w="4608"/>
            <w:vAlign w:val="center"/>
          </w:tcPr>
          <w:p>
            <w:r>
              <w:rPr>
                <w:sz w:val="18"/>
              </w:rPr>
            </w:r>
            <w:r>
              <w:rPr>
                <w:b w:val="0"/>
                <w:sz w:val="17"/>
              </w:rPr>
              <w:t>temporary</w:t>
            </w:r>
          </w:p>
        </w:tc>
        <w:tc>
          <w:tcPr>
            <w:tcW w:type="dxa" w:w="4032"/>
            <w:vAlign w:val="center"/>
          </w:tcPr>
          <w:p>
            <w:r>
              <w:rPr>
                <w:sz w:val="18"/>
              </w:rPr>
            </w:r>
            <w:r>
              <w:rPr>
                <w:b w:val="0"/>
                <w:sz w:val="17"/>
              </w:rPr>
              <w:t>Material prices may remain unset; quote blocking is required.</w:t>
            </w:r>
          </w:p>
        </w:tc>
      </w:tr>
      <w:tr>
        <w:tc>
          <w:tcPr>
            <w:tcW w:type="dxa" w:w="1584"/>
            <w:vAlign w:val="center"/>
            <w:shd w:fill="F7F3EE"/>
          </w:tcPr>
          <w:p>
            <w:r>
              <w:rPr>
                <w:sz w:val="18"/>
              </w:rPr>
            </w:r>
            <w:r>
              <w:rPr>
                <w:b w:val="0"/>
                <w:sz w:val="17"/>
              </w:rPr>
              <w:t>Boundary</w:t>
            </w:r>
          </w:p>
        </w:tc>
        <w:tc>
          <w:tcPr>
            <w:tcW w:type="dxa" w:w="4608"/>
            <w:vAlign w:val="center"/>
            <w:shd w:fill="F7F3EE"/>
          </w:tcPr>
          <w:p>
            <w:r>
              <w:rPr>
                <w:sz w:val="18"/>
              </w:rPr>
            </w:r>
            <w:r>
              <w:rPr>
                <w:b w:val="0"/>
                <w:sz w:val="17"/>
              </w:rPr>
              <w:t>boundary</w:t>
            </w:r>
          </w:p>
        </w:tc>
        <w:tc>
          <w:tcPr>
            <w:tcW w:type="dxa" w:w="4032"/>
            <w:vAlign w:val="center"/>
            <w:shd w:fill="F7F3EE"/>
          </w:tcPr>
          <w:p>
            <w:r>
              <w:rPr>
                <w:sz w:val="18"/>
              </w:rPr>
            </w:r>
            <w:r>
              <w:rPr>
                <w:b w:val="0"/>
                <w:sz w:val="17"/>
              </w:rPr>
              <w:t>Drawing-only, excluded from pricing and stats.</w:t>
            </w:r>
          </w:p>
        </w:tc>
      </w:tr>
    </w:tbl>
    <w:p/>
    <w:tbl>
      <w:tblPr>
        <w:tblW w:type="auto" w:w="0"/>
        <w:jc w:val="center"/>
        <w:tblLook w:firstColumn="1" w:firstRow="1" w:lastColumn="0" w:lastRow="0" w:noHBand="0" w:noVBand="1" w:val="04A0"/>
      </w:tblPr>
      <w:tblGrid>
        <w:gridCol w:w="10224"/>
      </w:tblGrid>
      <w:tr>
        <w:tc>
          <w:tcPr>
            <w:tcW w:type="dxa" w:w="10224"/>
            <w:shd w:fill="FFF4E5"/>
          </w:tcPr>
          <w:p>
            <w:r>
              <w:rPr>
                <w:b/>
                <w:color w:val="C77800"/>
                <w:sz w:val="18"/>
              </w:rPr>
              <w:t xml:space="preserve">ARCHIVED KEYS  </w:t>
            </w:r>
            <w:r>
              <w:rPr>
                <w:sz w:val="18"/>
              </w:rPr>
              <w:t>privacy, vinyl, splitrail2, splitrail3, and splitrail3fb are legacy flat taxonomy keys. Do not use them as the current type list.</w:t>
            </w:r>
          </w:p>
        </w:tc>
      </w:tr>
    </w:tbl>
    <w:p/>
    <w:p>
      <w:pPr>
        <w:pStyle w:val="Heading2"/>
      </w:pPr>
      <w:r>
        <w:t>5.4 Fixed Grid and Snap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vAlign w:val="center"/>
            <w:shd w:fill="E87512"/>
          </w:tcPr>
          <w:p>
            <w:r>
              <w:rPr>
                <w:sz w:val="18"/>
              </w:rPr>
            </w:r>
            <w:r>
              <w:rPr>
                <w:b/>
                <w:color w:val="FFFFFF"/>
                <w:sz w:val="18"/>
              </w:rPr>
              <w:t>Concept</w:t>
            </w:r>
          </w:p>
        </w:tc>
        <w:tc>
          <w:tcPr>
            <w:tcW w:type="dxa" w:w="8064"/>
            <w:vAlign w:val="center"/>
            <w:shd w:fill="E87512"/>
          </w:tcPr>
          <w:p>
            <w:r>
              <w:rPr>
                <w:sz w:val="18"/>
              </w:rPr>
            </w:r>
            <w:r>
              <w:rPr>
                <w:b/>
                <w:color w:val="FFFFFF"/>
                <w:sz w:val="18"/>
              </w:rPr>
              <w:t>Current rule</w:t>
            </w:r>
          </w:p>
        </w:tc>
      </w:tr>
      <w:tr>
        <w:tc>
          <w:tcPr>
            <w:tcW w:type="dxa" w:w="2160"/>
            <w:vAlign w:val="center"/>
            <w:shd w:fill="F7F3EE"/>
          </w:tcPr>
          <w:p>
            <w:r>
              <w:rPr>
                <w:sz w:val="18"/>
              </w:rPr>
            </w:r>
            <w:r>
              <w:rPr>
                <w:b w:val="0"/>
                <w:sz w:val="17"/>
              </w:rPr>
              <w:t>GRID_FT</w:t>
            </w:r>
          </w:p>
        </w:tc>
        <w:tc>
          <w:tcPr>
            <w:tcW w:type="dxa" w:w="8064"/>
            <w:vAlign w:val="center"/>
            <w:shd w:fill="F7F3EE"/>
          </w:tcPr>
          <w:p>
            <w:r>
              <w:rPr>
                <w:sz w:val="18"/>
              </w:rPr>
            </w:r>
            <w:r>
              <w:rPr>
                <w:b w:val="0"/>
                <w:sz w:val="17"/>
              </w:rPr>
              <w:t>40 world pixels per foot at zoom 1.</w:t>
            </w:r>
          </w:p>
        </w:tc>
      </w:tr>
      <w:tr>
        <w:tc>
          <w:tcPr>
            <w:tcW w:type="dxa" w:w="2160"/>
            <w:vAlign w:val="center"/>
          </w:tcPr>
          <w:p>
            <w:r>
              <w:rPr>
                <w:sz w:val="18"/>
              </w:rPr>
            </w:r>
            <w:r>
              <w:rPr>
                <w:b w:val="0"/>
                <w:sz w:val="17"/>
              </w:rPr>
              <w:t>Rendered grid</w:t>
            </w:r>
          </w:p>
        </w:tc>
        <w:tc>
          <w:tcPr>
            <w:tcW w:type="dxa" w:w="8064"/>
            <w:vAlign w:val="center"/>
          </w:tcPr>
          <w:p>
            <w:r>
              <w:rPr>
                <w:sz w:val="18"/>
              </w:rPr>
            </w:r>
            <w:r>
              <w:rPr>
                <w:b w:val="0"/>
                <w:sz w:val="17"/>
              </w:rPr>
              <w:t>Fixed at 1-foot minor and 10-foot major intervals; independent of snap.</w:t>
            </w:r>
          </w:p>
        </w:tc>
      </w:tr>
      <w:tr>
        <w:tc>
          <w:tcPr>
            <w:tcW w:type="dxa" w:w="2160"/>
            <w:vAlign w:val="center"/>
            <w:shd w:fill="F7F3EE"/>
          </w:tcPr>
          <w:p>
            <w:r>
              <w:rPr>
                <w:sz w:val="18"/>
              </w:rPr>
            </w:r>
            <w:r>
              <w:rPr>
                <w:b w:val="0"/>
                <w:sz w:val="17"/>
              </w:rPr>
              <w:t>Snap options</w:t>
            </w:r>
          </w:p>
        </w:tc>
        <w:tc>
          <w:tcPr>
            <w:tcW w:type="dxa" w:w="8064"/>
            <w:vAlign w:val="center"/>
            <w:shd w:fill="F7F3EE"/>
          </w:tcPr>
          <w:p>
            <w:r>
              <w:rPr>
                <w:sz w:val="18"/>
              </w:rPr>
            </w:r>
            <w:r>
              <w:rPr>
                <w:b w:val="0"/>
                <w:sz w:val="17"/>
              </w:rPr>
              <w:t>0.1, 0.5, 1, 6, 8, and 10 feet.</w:t>
            </w:r>
          </w:p>
        </w:tc>
      </w:tr>
      <w:tr>
        <w:tc>
          <w:tcPr>
            <w:tcW w:type="dxa" w:w="2160"/>
            <w:vAlign w:val="center"/>
          </w:tcPr>
          <w:p>
            <w:r>
              <w:rPr>
                <w:sz w:val="18"/>
              </w:rPr>
            </w:r>
            <w:r>
              <w:rPr>
                <w:b w:val="0"/>
                <w:sz w:val="17"/>
              </w:rPr>
              <w:t>Endpoint snap</w:t>
            </w:r>
          </w:p>
        </w:tc>
        <w:tc>
          <w:tcPr>
            <w:tcW w:type="dxa" w:w="8064"/>
            <w:vAlign w:val="center"/>
          </w:tcPr>
          <w:p>
            <w:r>
              <w:rPr>
                <w:sz w:val="18"/>
              </w:rPr>
            </w:r>
            <w:r>
              <w:rPr>
                <w:b w:val="0"/>
                <w:sz w:val="17"/>
              </w:rPr>
              <w:t>Exact lock when within the configured screen-space threshold.</w:t>
            </w:r>
          </w:p>
        </w:tc>
      </w:tr>
      <w:tr>
        <w:tc>
          <w:tcPr>
            <w:tcW w:type="dxa" w:w="2160"/>
            <w:vAlign w:val="center"/>
            <w:shd w:fill="F7F3EE"/>
          </w:tcPr>
          <w:p>
            <w:r>
              <w:rPr>
                <w:sz w:val="18"/>
              </w:rPr>
            </w:r>
            <w:r>
              <w:rPr>
                <w:b w:val="0"/>
                <w:sz w:val="17"/>
              </w:rPr>
              <w:t>Minimum run</w:t>
            </w:r>
          </w:p>
        </w:tc>
        <w:tc>
          <w:tcPr>
            <w:tcW w:type="dxa" w:w="8064"/>
            <w:vAlign w:val="center"/>
            <w:shd w:fill="F7F3EE"/>
          </w:tcPr>
          <w:p>
            <w:r>
              <w:rPr>
                <w:sz w:val="18"/>
              </w:rPr>
            </w:r>
            <w:r>
              <w:rPr>
                <w:b w:val="0"/>
                <w:sz w:val="17"/>
              </w:rPr>
              <w:t>At least the larger of half the snap interval or 0.25 feet.</w:t>
            </w:r>
          </w:p>
        </w:tc>
      </w:tr>
    </w:tbl>
    <w:p/>
    <w:p>
      <w:pPr>
        <w:pStyle w:val="Heading2"/>
      </w:pPr>
      <w:r>
        <w:t>5.5 State and Persistence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E87512"/>
          </w:tcPr>
          <w:p>
            <w:r>
              <w:rPr>
                <w:sz w:val="18"/>
              </w:rPr>
            </w:r>
            <w:r>
              <w:rPr>
                <w:b/>
                <w:color w:val="FFFFFF"/>
                <w:sz w:val="18"/>
              </w:rPr>
              <w:t>State area</w:t>
            </w:r>
          </w:p>
        </w:tc>
        <w:tc>
          <w:tcPr>
            <w:tcW w:type="dxa" w:w="4464"/>
            <w:vAlign w:val="center"/>
            <w:shd w:fill="E87512"/>
          </w:tcPr>
          <w:p>
            <w:r>
              <w:rPr>
                <w:sz w:val="18"/>
              </w:rPr>
            </w:r>
            <w:r>
              <w:rPr>
                <w:b/>
                <w:color w:val="FFFFFF"/>
                <w:sz w:val="18"/>
              </w:rPr>
              <w:t>Examples</w:t>
            </w:r>
          </w:p>
        </w:tc>
        <w:tc>
          <w:tcPr>
            <w:tcW w:type="dxa" w:w="3744"/>
            <w:vAlign w:val="center"/>
            <w:shd w:fill="E87512"/>
          </w:tcPr>
          <w:p>
            <w:r>
              <w:rPr>
                <w:sz w:val="18"/>
              </w:rPr>
            </w:r>
            <w:r>
              <w:rPr>
                <w:b/>
                <w:color w:val="FFFFFF"/>
                <w:sz w:val="18"/>
              </w:rPr>
              <w:t>Persistence rule</w:t>
            </w:r>
          </w:p>
        </w:tc>
      </w:tr>
      <w:tr>
        <w:tc>
          <w:tcPr>
            <w:tcW w:type="dxa" w:w="2016"/>
            <w:vAlign w:val="center"/>
            <w:shd w:fill="F7F3EE"/>
          </w:tcPr>
          <w:p>
            <w:r>
              <w:rPr>
                <w:sz w:val="18"/>
              </w:rPr>
            </w:r>
            <w:r>
              <w:rPr>
                <w:b w:val="0"/>
                <w:sz w:val="17"/>
              </w:rPr>
              <w:t>Interaction</w:t>
            </w:r>
          </w:p>
        </w:tc>
        <w:tc>
          <w:tcPr>
            <w:tcW w:type="dxa" w:w="4464"/>
            <w:vAlign w:val="center"/>
            <w:shd w:fill="F7F3EE"/>
          </w:tcPr>
          <w:p>
            <w:r>
              <w:rPr>
                <w:sz w:val="18"/>
              </w:rPr>
            </w:r>
            <w:r>
              <w:rPr>
                <w:b w:val="0"/>
                <w:sz w:val="17"/>
              </w:rPr>
              <w:t>tool, selection, moving, clipboard, angle lock</w:t>
            </w:r>
          </w:p>
        </w:tc>
        <w:tc>
          <w:tcPr>
            <w:tcW w:type="dxa" w:w="3744"/>
            <w:vAlign w:val="center"/>
            <w:shd w:fill="F7F3EE"/>
          </w:tcPr>
          <w:p>
            <w:r>
              <w:rPr>
                <w:sz w:val="18"/>
              </w:rPr>
            </w:r>
            <w:r>
              <w:rPr>
                <w:b w:val="0"/>
                <w:sz w:val="17"/>
              </w:rPr>
              <w:t>Transient unless explicitly captured.</w:t>
            </w:r>
          </w:p>
        </w:tc>
      </w:tr>
      <w:tr>
        <w:tc>
          <w:tcPr>
            <w:tcW w:type="dxa" w:w="2016"/>
            <w:vAlign w:val="center"/>
          </w:tcPr>
          <w:p>
            <w:r>
              <w:rPr>
                <w:sz w:val="18"/>
              </w:rPr>
            </w:r>
            <w:r>
              <w:rPr>
                <w:b w:val="0"/>
                <w:sz w:val="17"/>
              </w:rPr>
              <w:t>Drawing</w:t>
            </w:r>
          </w:p>
        </w:tc>
        <w:tc>
          <w:tcPr>
            <w:tcW w:type="dxa" w:w="4464"/>
            <w:vAlign w:val="center"/>
          </w:tcPr>
          <w:p>
            <w:r>
              <w:rPr>
                <w:sz w:val="18"/>
              </w:rPr>
            </w:r>
            <w:r>
              <w:rPr>
                <w:b w:val="0"/>
                <w:sz w:val="17"/>
              </w:rPr>
              <w:t>elements, labels, pan, zoom</w:t>
            </w:r>
          </w:p>
        </w:tc>
        <w:tc>
          <w:tcPr>
            <w:tcW w:type="dxa" w:w="3744"/>
            <w:vAlign w:val="center"/>
          </w:tcPr>
          <w:p>
            <w:r>
              <w:rPr>
                <w:sz w:val="18"/>
              </w:rPr>
            </w:r>
            <w:r>
              <w:rPr>
                <w:b w:val="0"/>
                <w:sz w:val="17"/>
              </w:rPr>
              <w:t>Saved with job.</w:t>
            </w:r>
          </w:p>
        </w:tc>
      </w:tr>
      <w:tr>
        <w:tc>
          <w:tcPr>
            <w:tcW w:type="dxa" w:w="2016"/>
            <w:vAlign w:val="center"/>
            <w:shd w:fill="F7F3EE"/>
          </w:tcPr>
          <w:p>
            <w:r>
              <w:rPr>
                <w:sz w:val="18"/>
              </w:rPr>
            </w:r>
            <w:r>
              <w:rPr>
                <w:b w:val="0"/>
                <w:sz w:val="17"/>
              </w:rPr>
              <w:t>Job metadata</w:t>
            </w:r>
          </w:p>
        </w:tc>
        <w:tc>
          <w:tcPr>
            <w:tcW w:type="dxa" w:w="4464"/>
            <w:vAlign w:val="center"/>
            <w:shd w:fill="F7F3EE"/>
          </w:tcPr>
          <w:p>
            <w:r>
              <w:rPr>
                <w:sz w:val="18"/>
              </w:rPr>
            </w:r>
            <w:r>
              <w:rPr>
                <w:b w:val="0"/>
                <w:sz w:val="17"/>
              </w:rPr>
              <w:t>project name, customer, address, notes</w:t>
            </w:r>
          </w:p>
        </w:tc>
        <w:tc>
          <w:tcPr>
            <w:tcW w:type="dxa" w:w="3744"/>
            <w:vAlign w:val="center"/>
            <w:shd w:fill="F7F3EE"/>
          </w:tcPr>
          <w:p>
            <w:r>
              <w:rPr>
                <w:sz w:val="18"/>
              </w:rPr>
            </w:r>
            <w:r>
              <w:rPr>
                <w:b w:val="0"/>
                <w:sz w:val="17"/>
              </w:rPr>
              <w:t>Saved with job and used in exports.</w:t>
            </w:r>
          </w:p>
        </w:tc>
      </w:tr>
      <w:tr>
        <w:tc>
          <w:tcPr>
            <w:tcW w:type="dxa" w:w="2016"/>
            <w:vAlign w:val="center"/>
          </w:tcPr>
          <w:p>
            <w:r>
              <w:rPr>
                <w:sz w:val="18"/>
              </w:rPr>
            </w:r>
            <w:r>
              <w:rPr>
                <w:b w:val="0"/>
                <w:sz w:val="17"/>
              </w:rPr>
              <w:t>Specs</w:t>
            </w:r>
          </w:p>
        </w:tc>
        <w:tc>
          <w:tcPr>
            <w:tcW w:type="dxa" w:w="4464"/>
            <w:vAlign w:val="center"/>
          </w:tcPr>
          <w:p>
            <w:r>
              <w:rPr>
                <w:sz w:val="18"/>
              </w:rPr>
            </w:r>
            <w:r>
              <w:rPr>
                <w:b w:val="0"/>
                <w:sz w:val="17"/>
              </w:rPr>
              <w:t>height, embed, rails, addons, site conditions</w:t>
            </w:r>
          </w:p>
        </w:tc>
        <w:tc>
          <w:tcPr>
            <w:tcW w:type="dxa" w:w="3744"/>
            <w:vAlign w:val="center"/>
          </w:tcPr>
          <w:p>
            <w:r>
              <w:rPr>
                <w:sz w:val="18"/>
              </w:rPr>
            </w:r>
            <w:r>
              <w:rPr>
                <w:b w:val="0"/>
                <w:sz w:val="17"/>
              </w:rPr>
              <w:t>Saved with job.</w:t>
            </w:r>
          </w:p>
        </w:tc>
      </w:tr>
      <w:tr>
        <w:tc>
          <w:tcPr>
            <w:tcW w:type="dxa" w:w="2016"/>
            <w:vAlign w:val="center"/>
            <w:shd w:fill="F7F3EE"/>
          </w:tcPr>
          <w:p>
            <w:r>
              <w:rPr>
                <w:sz w:val="18"/>
              </w:rPr>
            </w:r>
            <w:r>
              <w:rPr>
                <w:b w:val="0"/>
                <w:sz w:val="17"/>
              </w:rPr>
              <w:t>Pricing</w:t>
            </w:r>
          </w:p>
        </w:tc>
        <w:tc>
          <w:tcPr>
            <w:tcW w:type="dxa" w:w="4464"/>
            <w:vAlign w:val="center"/>
            <w:shd w:fill="F7F3EE"/>
          </w:tcPr>
          <w:p>
            <w:r>
              <w:rPr>
                <w:sz w:val="18"/>
              </w:rPr>
            </w:r>
            <w:r>
              <w:rPr>
                <w:b w:val="0"/>
                <w:sz w:val="17"/>
              </w:rPr>
              <w:t>costs, labor, markup</w:t>
            </w:r>
          </w:p>
        </w:tc>
        <w:tc>
          <w:tcPr>
            <w:tcW w:type="dxa" w:w="3744"/>
            <w:vAlign w:val="center"/>
            <w:shd w:fill="F7F3EE"/>
          </w:tcPr>
          <w:p>
            <w:r>
              <w:rPr>
                <w:sz w:val="18"/>
              </w:rPr>
            </w:r>
            <w:r>
              <w:rPr>
                <w:b w:val="0"/>
                <w:sz w:val="17"/>
              </w:rPr>
              <w:t>Ride with saved jobs to preserve quote assumptions.</w:t>
            </w:r>
          </w:p>
        </w:tc>
      </w:tr>
      <w:tr>
        <w:tc>
          <w:tcPr>
            <w:tcW w:type="dxa" w:w="2016"/>
            <w:vAlign w:val="center"/>
          </w:tcPr>
          <w:p>
            <w:r>
              <w:rPr>
                <w:sz w:val="18"/>
              </w:rPr>
            </w:r>
            <w:r>
              <w:rPr>
                <w:b w:val="0"/>
                <w:sz w:val="17"/>
              </w:rPr>
              <w:t>UI layout</w:t>
            </w:r>
          </w:p>
        </w:tc>
        <w:tc>
          <w:tcPr>
            <w:tcW w:type="dxa" w:w="4464"/>
            <w:vAlign w:val="center"/>
          </w:tcPr>
          <w:p>
            <w:r>
              <w:rPr>
                <w:sz w:val="18"/>
              </w:rPr>
            </w:r>
            <w:r>
              <w:rPr>
                <w:b w:val="0"/>
                <w:sz w:val="17"/>
              </w:rPr>
              <w:t>panel width, collapse state</w:t>
            </w:r>
          </w:p>
        </w:tc>
        <w:tc>
          <w:tcPr>
            <w:tcW w:type="dxa" w:w="3744"/>
            <w:vAlign w:val="center"/>
          </w:tcPr>
          <w:p>
            <w:r>
              <w:rPr>
                <w:sz w:val="18"/>
              </w:rPr>
            </w:r>
            <w:r>
              <w:rPr>
                <w:b w:val="0"/>
                <w:sz w:val="17"/>
              </w:rPr>
              <w:t>May persist as convenience state.</w:t>
            </w:r>
          </w:p>
        </w:tc>
      </w:tr>
      <w:tr>
        <w:tc>
          <w:tcPr>
            <w:tcW w:type="dxa" w:w="2016"/>
            <w:vAlign w:val="center"/>
            <w:shd w:fill="F7F3EE"/>
          </w:tcPr>
          <w:p>
            <w:r>
              <w:rPr>
                <w:sz w:val="18"/>
              </w:rPr>
            </w:r>
            <w:r>
              <w:rPr>
                <w:b w:val="0"/>
                <w:sz w:val="17"/>
              </w:rPr>
              <w:t>History</w:t>
            </w:r>
          </w:p>
        </w:tc>
        <w:tc>
          <w:tcPr>
            <w:tcW w:type="dxa" w:w="4464"/>
            <w:vAlign w:val="center"/>
            <w:shd w:fill="F7F3EE"/>
          </w:tcPr>
          <w:p>
            <w:r>
              <w:rPr>
                <w:sz w:val="18"/>
              </w:rPr>
            </w:r>
            <w:r>
              <w:rPr>
                <w:b w:val="0"/>
                <w:sz w:val="17"/>
              </w:rPr>
              <w:t>undo snapshots</w:t>
            </w:r>
          </w:p>
        </w:tc>
        <w:tc>
          <w:tcPr>
            <w:tcW w:type="dxa" w:w="3744"/>
            <w:vAlign w:val="center"/>
            <w:shd w:fill="F7F3EE"/>
          </w:tcPr>
          <w:p>
            <w:r>
              <w:rPr>
                <w:sz w:val="18"/>
              </w:rPr>
            </w:r>
            <w:r>
              <w:rPr>
                <w:b w:val="0"/>
                <w:sz w:val="17"/>
              </w:rPr>
              <w:t>Session-only; loading a job does not push undo history.</w:t>
            </w:r>
          </w:p>
        </w:tc>
      </w:tr>
    </w:tbl>
    <w:p/>
    <w:p>
      <w:r/>
    </w:p>
    <w:p>
      <w:pPr>
        <w:pStyle w:val="Heading1"/>
      </w:pPr>
      <w:r>
        <w:t>6. Core Data Contracts</w:t>
      </w:r>
    </w:p>
    <w:p>
      <w:pPr>
        <w:pStyle w:val="Heading2"/>
      </w:pPr>
      <w:r>
        <w:t>6.1 Element Schemas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vAlign w:val="center"/>
            <w:shd w:fill="E87512"/>
          </w:tcPr>
          <w:p>
            <w:r>
              <w:rPr>
                <w:sz w:val="18"/>
              </w:rPr>
            </w:r>
            <w:r>
              <w:rPr>
                <w:b/>
                <w:color w:val="FFFFFF"/>
                <w:sz w:val="18"/>
              </w:rPr>
              <w:t>Element</w:t>
            </w:r>
          </w:p>
        </w:tc>
        <w:tc>
          <w:tcPr>
            <w:tcW w:type="dxa" w:w="4464"/>
            <w:vAlign w:val="center"/>
            <w:shd w:fill="E87512"/>
          </w:tcPr>
          <w:p>
            <w:r>
              <w:rPr>
                <w:sz w:val="18"/>
              </w:rPr>
            </w:r>
            <w:r>
              <w:rPr>
                <w:b/>
                <w:color w:val="FFFFFF"/>
                <w:sz w:val="18"/>
              </w:rPr>
              <w:t>Required properties</w:t>
            </w:r>
          </w:p>
        </w:tc>
        <w:tc>
          <w:tcPr>
            <w:tcW w:type="dxa" w:w="4032"/>
            <w:vAlign w:val="center"/>
            <w:shd w:fill="E87512"/>
          </w:tcPr>
          <w:p>
            <w:r>
              <w:rPr>
                <w:sz w:val="18"/>
              </w:rPr>
            </w:r>
            <w:r>
              <w:rPr>
                <w:b/>
                <w:color w:val="FFFFFF"/>
                <w:sz w:val="18"/>
              </w:rPr>
              <w:t>Notes</w:t>
            </w:r>
          </w:p>
        </w:tc>
      </w:tr>
      <w:tr>
        <w:tc>
          <w:tcPr>
            <w:tcW w:type="dxa" w:w="1728"/>
            <w:vAlign w:val="center"/>
            <w:shd w:fill="F7F3EE"/>
          </w:tcPr>
          <w:p>
            <w:r>
              <w:rPr>
                <w:sz w:val="18"/>
              </w:rPr>
            </w:r>
            <w:r>
              <w:rPr>
                <w:b w:val="0"/>
                <w:sz w:val="17"/>
              </w:rPr>
              <w:t>Fence run</w:t>
            </w:r>
          </w:p>
        </w:tc>
        <w:tc>
          <w:tcPr>
            <w:tcW w:type="dxa" w:w="4464"/>
            <w:vAlign w:val="center"/>
            <w:shd w:fill="F7F3EE"/>
          </w:tcPr>
          <w:p>
            <w:r>
              <w:rPr>
                <w:sz w:val="18"/>
              </w:rPr>
            </w:r>
            <w:r>
              <w:rPr>
                <w:b w:val="0"/>
                <w:sz w:val="17"/>
              </w:rPr>
              <w:t>type, start, end, fenceType, autoPostSpacing</w:t>
            </w:r>
          </w:p>
        </w:tc>
        <w:tc>
          <w:tcPr>
            <w:tcW w:type="dxa" w:w="4032"/>
            <w:vAlign w:val="center"/>
            <w:shd w:fill="F7F3EE"/>
          </w:tcPr>
          <w:p>
            <w:r>
              <w:rPr>
                <w:sz w:val="18"/>
              </w:rPr>
            </w:r>
            <w:r>
              <w:rPr>
                <w:b w:val="0"/>
                <w:sz w:val="17"/>
              </w:rPr>
              <w:t>World-space coordinates.</w:t>
            </w:r>
          </w:p>
        </w:tc>
      </w:tr>
      <w:tr>
        <w:tc>
          <w:tcPr>
            <w:tcW w:type="dxa" w:w="1728"/>
            <w:vAlign w:val="center"/>
          </w:tcPr>
          <w:p>
            <w:r>
              <w:rPr>
                <w:sz w:val="18"/>
              </w:rPr>
            </w:r>
            <w:r>
              <w:rPr>
                <w:b w:val="0"/>
                <w:sz w:val="17"/>
              </w:rPr>
              <w:t>Gate</w:t>
            </w:r>
          </w:p>
        </w:tc>
        <w:tc>
          <w:tcPr>
            <w:tcW w:type="dxa" w:w="4464"/>
            <w:vAlign w:val="center"/>
          </w:tcPr>
          <w:p>
            <w:r>
              <w:rPr>
                <w:sz w:val="18"/>
              </w:rPr>
            </w:r>
            <w:r>
              <w:rPr>
                <w:b w:val="0"/>
                <w:sz w:val="17"/>
              </w:rPr>
              <w:t>type, start, end, gateType, hinge, swingDir</w:t>
            </w:r>
          </w:p>
        </w:tc>
        <w:tc>
          <w:tcPr>
            <w:tcW w:type="dxa" w:w="4032"/>
            <w:vAlign w:val="center"/>
          </w:tcPr>
          <w:p>
            <w:r>
              <w:rPr>
                <w:sz w:val="18"/>
              </w:rPr>
            </w:r>
            <w:r>
              <w:rPr>
                <w:b w:val="0"/>
                <w:sz w:val="17"/>
              </w:rPr>
              <w:t>Gate geometry and swing behavior.</w:t>
            </w:r>
          </w:p>
        </w:tc>
      </w:tr>
      <w:tr>
        <w:tc>
          <w:tcPr>
            <w:tcW w:type="dxa" w:w="1728"/>
            <w:vAlign w:val="center"/>
            <w:shd w:fill="F7F3EE"/>
          </w:tcPr>
          <w:p>
            <w:r>
              <w:rPr>
                <w:sz w:val="18"/>
              </w:rPr>
            </w:r>
            <w:r>
              <w:rPr>
                <w:b w:val="0"/>
                <w:sz w:val="17"/>
              </w:rPr>
              <w:t>Post</w:t>
            </w:r>
          </w:p>
        </w:tc>
        <w:tc>
          <w:tcPr>
            <w:tcW w:type="dxa" w:w="4464"/>
            <w:vAlign w:val="center"/>
            <w:shd w:fill="F7F3EE"/>
          </w:tcPr>
          <w:p>
            <w:r>
              <w:rPr>
                <w:sz w:val="18"/>
              </w:rPr>
            </w:r>
            <w:r>
              <w:rPr>
                <w:b w:val="0"/>
                <w:sz w:val="17"/>
              </w:rPr>
              <w:t>type, pos, fenceType, auto</w:t>
            </w:r>
          </w:p>
        </w:tc>
        <w:tc>
          <w:tcPr>
            <w:tcW w:type="dxa" w:w="4032"/>
            <w:vAlign w:val="center"/>
            <w:shd w:fill="F7F3EE"/>
          </w:tcPr>
          <w:p>
            <w:r>
              <w:rPr>
                <w:sz w:val="18"/>
              </w:rPr>
            </w:r>
            <w:r>
              <w:rPr>
                <w:b w:val="0"/>
                <w:sz w:val="17"/>
              </w:rPr>
              <w:t>Auto flag distinguishes generated and manual posts.</w:t>
            </w:r>
          </w:p>
        </w:tc>
      </w:tr>
      <w:tr>
        <w:tc>
          <w:tcPr>
            <w:tcW w:type="dxa" w:w="1728"/>
            <w:vAlign w:val="center"/>
          </w:tcPr>
          <w:p>
            <w:r>
              <w:rPr>
                <w:sz w:val="18"/>
              </w:rPr>
            </w:r>
            <w:r>
              <w:rPr>
                <w:b w:val="0"/>
                <w:sz w:val="17"/>
              </w:rPr>
              <w:t>Boundary</w:t>
            </w:r>
          </w:p>
        </w:tc>
        <w:tc>
          <w:tcPr>
            <w:tcW w:type="dxa" w:w="4464"/>
            <w:vAlign w:val="center"/>
          </w:tcPr>
          <w:p>
            <w:r>
              <w:rPr>
                <w:sz w:val="18"/>
              </w:rPr>
            </w:r>
            <w:r>
              <w:rPr>
                <w:b w:val="0"/>
                <w:sz w:val="17"/>
              </w:rPr>
              <w:t>type, start, end</w:t>
            </w:r>
          </w:p>
        </w:tc>
        <w:tc>
          <w:tcPr>
            <w:tcW w:type="dxa" w:w="4032"/>
            <w:vAlign w:val="center"/>
          </w:tcPr>
          <w:p>
            <w:r>
              <w:rPr>
                <w:sz w:val="18"/>
              </w:rPr>
            </w:r>
            <w:r>
              <w:rPr>
                <w:b w:val="0"/>
                <w:sz w:val="17"/>
              </w:rPr>
              <w:t>No fence type; excluded from pricing and stats.</w:t>
            </w:r>
          </w:p>
        </w:tc>
      </w:tr>
      <w:tr>
        <w:tc>
          <w:tcPr>
            <w:tcW w:type="dxa" w:w="1728"/>
            <w:vAlign w:val="center"/>
            <w:shd w:fill="F7F3EE"/>
          </w:tcPr>
          <w:p>
            <w:r>
              <w:rPr>
                <w:sz w:val="18"/>
              </w:rPr>
            </w:r>
            <w:r>
              <w:rPr>
                <w:b w:val="0"/>
                <w:sz w:val="17"/>
              </w:rPr>
              <w:t>Label</w:t>
            </w:r>
          </w:p>
        </w:tc>
        <w:tc>
          <w:tcPr>
            <w:tcW w:type="dxa" w:w="4464"/>
            <w:vAlign w:val="center"/>
            <w:shd w:fill="F7F3EE"/>
          </w:tcPr>
          <w:p>
            <w:r>
              <w:rPr>
                <w:sz w:val="18"/>
              </w:rPr>
            </w:r>
            <w:r>
              <w:rPr>
                <w:b w:val="0"/>
                <w:sz w:val="17"/>
              </w:rPr>
              <w:t>text, x, y, size, color</w:t>
            </w:r>
          </w:p>
        </w:tc>
        <w:tc>
          <w:tcPr>
            <w:tcW w:type="dxa" w:w="4032"/>
            <w:vAlign w:val="center"/>
            <w:shd w:fill="F7F3EE"/>
          </w:tcPr>
          <w:p>
            <w:r>
              <w:rPr>
                <w:sz w:val="18"/>
              </w:rPr>
            </w:r>
            <w:r>
              <w:rPr>
                <w:b w:val="0"/>
                <w:sz w:val="17"/>
              </w:rPr>
              <w:t>Stored separately in S.labels in the legacy model.</w:t>
            </w:r>
          </w:p>
        </w:tc>
      </w:tr>
    </w:tbl>
    <w:p/>
    <w:p>
      <w:pPr>
        <w:pStyle w:val="Heading2"/>
      </w:pPr>
      <w:r>
        <w:t>6.2 Key Runtime Functions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E87512"/>
          </w:tcPr>
          <w:p>
            <w:r>
              <w:rPr>
                <w:sz w:val="18"/>
              </w:rPr>
            </w:r>
            <w:r>
              <w:rPr>
                <w:b/>
                <w:color w:val="FFFFFF"/>
                <w:sz w:val="18"/>
              </w:rPr>
              <w:t>Function</w:t>
            </w:r>
          </w:p>
        </w:tc>
        <w:tc>
          <w:tcPr>
            <w:tcW w:type="dxa" w:w="7776"/>
            <w:vAlign w:val="center"/>
            <w:shd w:fill="E87512"/>
          </w:tcPr>
          <w:p>
            <w:r>
              <w:rPr>
                <w:sz w:val="18"/>
              </w:rPr>
            </w:r>
            <w:r>
              <w:rPr>
                <w:b/>
                <w:color w:val="FFFFFF"/>
                <w:sz w:val="18"/>
              </w:rPr>
              <w:t>Contract</w:t>
            </w:r>
          </w:p>
        </w:tc>
      </w:tr>
      <w:tr>
        <w:tc>
          <w:tcPr>
            <w:tcW w:type="dxa" w:w="2448"/>
            <w:vAlign w:val="center"/>
            <w:shd w:fill="F7F3EE"/>
          </w:tcPr>
          <w:p>
            <w:r>
              <w:rPr>
                <w:sz w:val="18"/>
              </w:rPr>
            </w:r>
            <w:r>
              <w:rPr>
                <w:b w:val="0"/>
                <w:sz w:val="17"/>
              </w:rPr>
              <w:t>draw()</w:t>
            </w:r>
          </w:p>
        </w:tc>
        <w:tc>
          <w:tcPr>
            <w:tcW w:type="dxa" w:w="7776"/>
            <w:vAlign w:val="center"/>
            <w:shd w:fill="F7F3EE"/>
          </w:tcPr>
          <w:p>
            <w:r>
              <w:rPr>
                <w:sz w:val="18"/>
              </w:rPr>
            </w:r>
            <w:r>
              <w:rPr>
                <w:b w:val="0"/>
                <w:sz w:val="17"/>
              </w:rPr>
              <w:t>Full visual redraw after state affecting the canvas changes.</w:t>
            </w:r>
          </w:p>
        </w:tc>
      </w:tr>
      <w:tr>
        <w:tc>
          <w:tcPr>
            <w:tcW w:type="dxa" w:w="2448"/>
            <w:vAlign w:val="center"/>
          </w:tcPr>
          <w:p>
            <w:r>
              <w:rPr>
                <w:sz w:val="18"/>
              </w:rPr>
            </w:r>
            <w:r>
              <w:rPr>
                <w:b w:val="0"/>
                <w:sz w:val="17"/>
              </w:rPr>
              <w:t>updatePanel()</w:t>
            </w:r>
          </w:p>
        </w:tc>
        <w:tc>
          <w:tcPr>
            <w:tcW w:type="dxa" w:w="7776"/>
            <w:vAlign w:val="center"/>
          </w:tcPr>
          <w:p>
            <w:r>
              <w:rPr>
                <w:sz w:val="18"/>
              </w:rPr>
            </w:r>
            <w:r>
              <w:rPr>
                <w:b w:val="0"/>
                <w:sz w:val="17"/>
              </w:rPr>
              <w:t>Rebuilds panel state and must not skip control-state updates.</w:t>
            </w:r>
          </w:p>
        </w:tc>
      </w:tr>
      <w:tr>
        <w:tc>
          <w:tcPr>
            <w:tcW w:type="dxa" w:w="2448"/>
            <w:vAlign w:val="center"/>
            <w:shd w:fill="F7F3EE"/>
          </w:tcPr>
          <w:p>
            <w:r>
              <w:rPr>
                <w:sz w:val="18"/>
              </w:rPr>
            </w:r>
            <w:r>
              <w:rPr>
                <w:b w:val="0"/>
                <w:sz w:val="17"/>
              </w:rPr>
              <w:t>handleDown/Move/Up</w:t>
            </w:r>
          </w:p>
        </w:tc>
        <w:tc>
          <w:tcPr>
            <w:tcW w:type="dxa" w:w="7776"/>
            <w:vAlign w:val="center"/>
            <w:shd w:fill="F7F3EE"/>
          </w:tcPr>
          <w:p>
            <w:r>
              <w:rPr>
                <w:sz w:val="18"/>
              </w:rPr>
            </w:r>
            <w:r>
              <w:rPr>
                <w:b w:val="0"/>
                <w:sz w:val="17"/>
              </w:rPr>
              <w:t>Unified mouse/touch interaction path.</w:t>
            </w:r>
          </w:p>
        </w:tc>
      </w:tr>
      <w:tr>
        <w:tc>
          <w:tcPr>
            <w:tcW w:type="dxa" w:w="2448"/>
            <w:vAlign w:val="center"/>
          </w:tcPr>
          <w:p>
            <w:r>
              <w:rPr>
                <w:sz w:val="18"/>
              </w:rPr>
            </w:r>
            <w:r>
              <w:rPr>
                <w:b w:val="0"/>
                <w:sz w:val="17"/>
              </w:rPr>
              <w:t>toWorld()</w:t>
            </w:r>
          </w:p>
        </w:tc>
        <w:tc>
          <w:tcPr>
            <w:tcW w:type="dxa" w:w="7776"/>
            <w:vAlign w:val="center"/>
          </w:tcPr>
          <w:p>
            <w:r>
              <w:rPr>
                <w:sz w:val="18"/>
              </w:rPr>
            </w:r>
            <w:r>
              <w:rPr>
                <w:b w:val="0"/>
                <w:sz w:val="17"/>
              </w:rPr>
              <w:t>Converts event coordinates to world coordinates; touch completion must honor changedTouches.</w:t>
            </w:r>
          </w:p>
        </w:tc>
      </w:tr>
      <w:tr>
        <w:tc>
          <w:tcPr>
            <w:tcW w:type="dxa" w:w="2448"/>
            <w:vAlign w:val="center"/>
            <w:shd w:fill="F7F3EE"/>
          </w:tcPr>
          <w:p>
            <w:r>
              <w:rPr>
                <w:sz w:val="18"/>
              </w:rPr>
            </w:r>
            <w:r>
              <w:rPr>
                <w:b w:val="0"/>
                <w:sz w:val="17"/>
              </w:rPr>
              <w:t>calcAutoMaterials()</w:t>
            </w:r>
          </w:p>
        </w:tc>
        <w:tc>
          <w:tcPr>
            <w:tcW w:type="dxa" w:w="7776"/>
            <w:vAlign w:val="center"/>
            <w:shd w:fill="F7F3EE"/>
          </w:tcPr>
          <w:p>
            <w:r>
              <w:rPr>
                <w:sz w:val="18"/>
              </w:rPr>
            </w:r>
            <w:r>
              <w:rPr>
                <w:b w:val="0"/>
                <w:sz w:val="17"/>
              </w:rPr>
              <w:t>Derives BOM from geometry and specs.</w:t>
            </w:r>
          </w:p>
        </w:tc>
      </w:tr>
      <w:tr>
        <w:tc>
          <w:tcPr>
            <w:tcW w:type="dxa" w:w="2448"/>
            <w:vAlign w:val="center"/>
          </w:tcPr>
          <w:p>
            <w:r>
              <w:rPr>
                <w:sz w:val="18"/>
              </w:rPr>
            </w:r>
            <w:r>
              <w:rPr>
                <w:b w:val="0"/>
                <w:sz w:val="17"/>
              </w:rPr>
              <w:t>computePricing()</w:t>
            </w:r>
          </w:p>
        </w:tc>
        <w:tc>
          <w:tcPr>
            <w:tcW w:type="dxa" w:w="7776"/>
            <w:vAlign w:val="center"/>
          </w:tcPr>
          <w:p>
            <w:r>
              <w:rPr>
                <w:sz w:val="18"/>
              </w:rPr>
            </w:r>
            <w:r>
              <w:rPr>
                <w:b w:val="0"/>
                <w:sz w:val="17"/>
              </w:rPr>
              <w:t>Computes current costs and prices from live BOM and price configuration; do not cache stale results.</w:t>
            </w:r>
          </w:p>
        </w:tc>
      </w:tr>
      <w:tr>
        <w:tc>
          <w:tcPr>
            <w:tcW w:type="dxa" w:w="2448"/>
            <w:vAlign w:val="center"/>
            <w:shd w:fill="F7F3EE"/>
          </w:tcPr>
          <w:p>
            <w:r>
              <w:rPr>
                <w:sz w:val="18"/>
              </w:rPr>
            </w:r>
            <w:r>
              <w:rPr>
                <w:b w:val="0"/>
                <w:sz w:val="17"/>
              </w:rPr>
              <w:t>updatePricing()</w:t>
            </w:r>
          </w:p>
        </w:tc>
        <w:tc>
          <w:tcPr>
            <w:tcW w:type="dxa" w:w="7776"/>
            <w:vAlign w:val="center"/>
            <w:shd w:fill="F7F3EE"/>
          </w:tcPr>
          <w:p>
            <w:r>
              <w:rPr>
                <w:sz w:val="18"/>
              </w:rPr>
            </w:r>
            <w:r>
              <w:rPr>
                <w:b w:val="0"/>
                <w:sz w:val="17"/>
              </w:rPr>
              <w:t>Calls computePricing() fresh.</w:t>
            </w:r>
          </w:p>
        </w:tc>
      </w:tr>
      <w:tr>
        <w:tc>
          <w:tcPr>
            <w:tcW w:type="dxa" w:w="2448"/>
            <w:vAlign w:val="center"/>
          </w:tcPr>
          <w:p>
            <w:r>
              <w:rPr>
                <w:sz w:val="18"/>
              </w:rPr>
            </w:r>
            <w:r>
              <w:rPr>
                <w:b w:val="0"/>
                <w:sz w:val="17"/>
              </w:rPr>
              <w:t>snapshotState()/applyState()</w:t>
            </w:r>
          </w:p>
        </w:tc>
        <w:tc>
          <w:tcPr>
            <w:tcW w:type="dxa" w:w="7776"/>
            <w:vAlign w:val="center"/>
          </w:tcPr>
          <w:p>
            <w:r>
              <w:rPr>
                <w:sz w:val="18"/>
              </w:rPr>
            </w:r>
            <w:r>
              <w:rPr>
                <w:b w:val="0"/>
                <w:sz w:val="17"/>
              </w:rPr>
              <w:t>Save and restore compatible job state while preserving historical quote inputs.</w:t>
            </w:r>
          </w:p>
        </w:tc>
      </w:tr>
      <w:tr>
        <w:tc>
          <w:tcPr>
            <w:tcW w:type="dxa" w:w="2448"/>
            <w:vAlign w:val="center"/>
            <w:shd w:fill="F7F3EE"/>
          </w:tcPr>
          <w:p>
            <w:r>
              <w:rPr>
                <w:sz w:val="18"/>
              </w:rPr>
            </w:r>
            <w:r>
              <w:rPr>
                <w:b w:val="0"/>
                <w:sz w:val="17"/>
              </w:rPr>
              <w:t>exportPDF()/PNG</w:t>
            </w:r>
          </w:p>
        </w:tc>
        <w:tc>
          <w:tcPr>
            <w:tcW w:type="dxa" w:w="7776"/>
            <w:vAlign w:val="center"/>
            <w:shd w:fill="F7F3EE"/>
          </w:tcPr>
          <w:p>
            <w:r>
              <w:rPr>
                <w:sz w:val="18"/>
              </w:rPr>
            </w:r>
            <w:r>
              <w:rPr>
                <w:b w:val="0"/>
                <w:sz w:val="17"/>
              </w:rPr>
              <w:t>Build presentation artifacts from current state.</w:t>
            </w:r>
          </w:p>
        </w:tc>
      </w:tr>
    </w:tbl>
    <w:p/>
    <w:p>
      <w:pPr>
        <w:pStyle w:val="Heading2"/>
      </w:pPr>
      <w:r>
        <w:t>6.3 Invariants</w:t>
      </w:r>
    </w:p>
    <w:p>
      <w:pPr>
        <w:pStyle w:val="ListBullet"/>
      </w:pPr>
      <w:r>
        <w:t>Post elements are the source of truth for rendered posts; do not render a second implicit set inside fence drawing.</w:t>
      </w:r>
    </w:p>
    <w:p>
      <w:pPr>
        <w:pStyle w:val="ListBullet"/>
      </w:pPr>
      <w:r>
        <w:t>Snap target state is transient and cleared when drawing finishes or is cancelled.</w:t>
      </w:r>
    </w:p>
    <w:p>
      <w:pPr>
        <w:pStyle w:val="ListBullet"/>
      </w:pPr>
      <w:r>
        <w:t>Boundary elements never contribute to footage, BOM, or price.</w:t>
      </w:r>
    </w:p>
    <w:p>
      <w:pPr>
        <w:pStyle w:val="ListBullet"/>
      </w:pPr>
      <w:r>
        <w:t>Prices are derived from the live BOM and the saved price dataset, not a tier selector.</w:t>
      </w:r>
    </w:p>
    <w:p>
      <w:pPr>
        <w:pStyle w:val="ListBullet"/>
      </w:pPr>
      <w:r>
        <w:t>Old jobs must not silently adopt new prices when they already carry their original pricing inputs.</w:t>
      </w:r>
    </w:p>
    <w:p>
      <w:pPr>
        <w:pStyle w:val="ListBullet"/>
      </w:pPr>
      <w:r>
        <w:t>Hidden UI fields must not erase automatic structural values used by the BOM.</w:t>
      </w:r>
    </w:p>
    <w:p>
      <w:pPr>
        <w:pStyle w:val="ListBullet"/>
      </w:pPr>
      <w:r>
        <w:t>Export output must reflect the same calculation used by the visible pricing panel.</w:t>
      </w:r>
    </w:p>
    <w:p>
      <w:r/>
    </w:p>
    <w:p>
      <w:pPr>
        <w:pStyle w:val="Heading2"/>
      </w:pPr>
      <w:r>
        <w:t>6.4 Commercial Scope Metadata Target</w:t>
      </w:r>
    </w:p>
    <w:p>
      <w:pPr/>
      <w:r>
        <w:t>The following fields are target contracts for commercial-plan work. They are specifications, not claims that v5.3 implements them. Fields may live at job, source-page, fence-run, gate, or scope-object level as appropriate.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E87512"/>
          </w:tcPr>
          <w:p>
            <w:r>
              <w:rPr>
                <w:sz w:val="18"/>
              </w:rPr>
              <w:t>Field</w:t>
            </w:r>
          </w:p>
        </w:tc>
        <w:tc>
          <w:tcPr>
            <w:tcW w:type="dxa" w:w="2160"/>
            <w:vAlign w:val="center"/>
            <w:shd w:fill="E87512"/>
          </w:tcPr>
          <w:p>
            <w:r>
              <w:rPr>
                <w:sz w:val="18"/>
              </w:rPr>
              <w:t>Applies to</w:t>
            </w:r>
          </w:p>
        </w:tc>
        <w:tc>
          <w:tcPr>
            <w:tcW w:type="dxa" w:w="5760"/>
            <w:vAlign w:val="center"/>
            <w:shd w:fill="E87512"/>
          </w:tcPr>
          <w:p>
            <w:r>
              <w:rPr>
                <w:sz w:val="18"/>
              </w:rPr>
              <w:t>Purpose</w:t>
            </w:r>
          </w:p>
        </w:tc>
      </w:tr>
      <w:tr>
        <w:tc>
          <w:tcPr>
            <w:tcW w:type="dxa" w:w="3408"/>
          </w:tcPr>
          <w:p>
            <w:r>
              <w:rPr>
                <w:sz w:val="18"/>
              </w:rPr>
              <w:t>sourceSheet / pageLabel</w:t>
            </w:r>
          </w:p>
        </w:tc>
        <w:tc>
          <w:tcPr>
            <w:tcW w:type="dxa" w:w="3408"/>
          </w:tcPr>
          <w:p>
            <w:r>
              <w:rPr>
                <w:sz w:val="18"/>
              </w:rPr>
              <w:t>Job, source page, scope object</w:t>
            </w:r>
          </w:p>
        </w:tc>
        <w:tc>
          <w:tcPr>
            <w:tcW w:type="dxa" w:w="3408"/>
          </w:tcPr>
          <w:p>
            <w:r>
              <w:rPr>
                <w:sz w:val="18"/>
              </w:rPr>
              <w:t>Identifies the controlling sheet or page from which scope was traced.</w:t>
            </w:r>
          </w:p>
        </w:tc>
      </w:tr>
      <w:tr>
        <w:tc>
          <w:tcPr>
            <w:tcW w:type="dxa" w:w="3408"/>
          </w:tcPr>
          <w:p>
            <w:r>
              <w:rPr>
                <w:sz w:val="18"/>
              </w:rPr>
              <w:t>sourceRevision / sourceDate</w:t>
            </w:r>
          </w:p>
        </w:tc>
        <w:tc>
          <w:tcPr>
            <w:tcW w:type="dxa" w:w="3408"/>
          </w:tcPr>
          <w:p>
            <w:r>
              <w:rPr>
                <w:sz w:val="18"/>
              </w:rPr>
              <w:t>Job, source page, scope object</w:t>
            </w:r>
          </w:p>
        </w:tc>
        <w:tc>
          <w:tcPr>
            <w:tcW w:type="dxa" w:w="3408"/>
          </w:tcPr>
          <w:p>
            <w:r>
              <w:rPr>
                <w:sz w:val="18"/>
              </w:rPr>
              <w:t>Preserves addendum and revision lineage.</w:t>
            </w:r>
          </w:p>
        </w:tc>
      </w:tr>
      <w:tr>
        <w:tc>
          <w:tcPr>
            <w:tcW w:type="dxa" w:w="3408"/>
          </w:tcPr>
          <w:p>
            <w:r>
              <w:rPr>
                <w:sz w:val="18"/>
              </w:rPr>
              <w:t>scopeClass</w:t>
            </w:r>
          </w:p>
        </w:tc>
        <w:tc>
          <w:tcPr>
            <w:tcW w:type="dxa" w:w="3408"/>
          </w:tcPr>
          <w:p>
            <w:r>
              <w:rPr>
                <w:sz w:val="18"/>
              </w:rPr>
              <w:t>Fence run, gate, assembly</w:t>
            </w:r>
          </w:p>
        </w:tc>
        <w:tc>
          <w:tcPr>
            <w:tcW w:type="dxa" w:w="3408"/>
          </w:tcPr>
          <w:p>
            <w:r>
              <w:rPr>
                <w:sz w:val="18"/>
              </w:rPr>
              <w:t>Canonical values should include new work, demolition, by others, exclusion, unresolved, and existing-to-remain.</w:t>
            </w:r>
          </w:p>
        </w:tc>
      </w:tr>
      <w:tr>
        <w:tc>
          <w:tcPr>
            <w:tcW w:type="dxa" w:w="3408"/>
          </w:tcPr>
          <w:p>
            <w:r>
              <w:rPr>
                <w:sz w:val="18"/>
              </w:rPr>
              <w:t>phaseTag</w:t>
            </w:r>
          </w:p>
        </w:tc>
        <w:tc>
          <w:tcPr>
            <w:tcW w:type="dxa" w:w="3408"/>
          </w:tcPr>
          <w:p>
            <w:r>
              <w:rPr>
                <w:sz w:val="18"/>
              </w:rPr>
              <w:t>Scope object</w:t>
            </w:r>
          </w:p>
        </w:tc>
        <w:tc>
          <w:tcPr>
            <w:tcW w:type="dxa" w:w="3408"/>
          </w:tcPr>
          <w:p>
            <w:r>
              <w:rPr>
                <w:sz w:val="18"/>
              </w:rPr>
              <w:t>Optional scheduling or procurement classification. Separate drawings remain preferred when phases require distinct layouts.</w:t>
            </w:r>
          </w:p>
        </w:tc>
      </w:tr>
      <w:tr>
        <w:tc>
          <w:tcPr>
            <w:tcW w:type="dxa" w:w="3408"/>
          </w:tcPr>
          <w:p>
            <w:r>
              <w:rPr>
                <w:sz w:val="18"/>
              </w:rPr>
              <w:t>alternateTag</w:t>
            </w:r>
          </w:p>
        </w:tc>
        <w:tc>
          <w:tcPr>
            <w:tcW w:type="dxa" w:w="3408"/>
          </w:tcPr>
          <w:p>
            <w:r>
              <w:rPr>
                <w:sz w:val="18"/>
              </w:rPr>
              <w:t>Scope object</w:t>
            </w:r>
          </w:p>
        </w:tc>
        <w:tc>
          <w:tcPr>
            <w:tcW w:type="dxa" w:w="3408"/>
          </w:tcPr>
          <w:p>
            <w:r>
              <w:rPr>
                <w:sz w:val="18"/>
              </w:rPr>
              <w:t>Allows additive, deductive, or optional scope to remain traceable through quantities and price.</w:t>
            </w:r>
          </w:p>
        </w:tc>
      </w:tr>
      <w:tr>
        <w:tc>
          <w:tcPr>
            <w:tcW w:type="dxa" w:w="3408"/>
          </w:tcPr>
          <w:p>
            <w:r>
              <w:rPr>
                <w:sz w:val="18"/>
              </w:rPr>
              <w:t>fenceSystemId</w:t>
            </w:r>
          </w:p>
        </w:tc>
        <w:tc>
          <w:tcPr>
            <w:tcW w:type="dxa" w:w="3408"/>
          </w:tcPr>
          <w:p>
            <w:r>
              <w:rPr>
                <w:sz w:val="18"/>
              </w:rPr>
              <w:t>Fence run, gate</w:t>
            </w:r>
          </w:p>
        </w:tc>
        <w:tc>
          <w:tcPr>
            <w:tcW w:type="dxa" w:w="3408"/>
          </w:tcPr>
          <w:p>
            <w:r>
              <w:rPr>
                <w:sz w:val="18"/>
              </w:rPr>
              <w:t>Links geometry to a reusable system definition and specification set.</w:t>
            </w:r>
          </w:p>
        </w:tc>
      </w:tr>
      <w:tr>
        <w:tc>
          <w:tcPr>
            <w:tcW w:type="dxa" w:w="3408"/>
          </w:tcPr>
          <w:p>
            <w:r>
              <w:rPr>
                <w:sz w:val="18"/>
              </w:rPr>
              <w:t>gateScheduleId</w:t>
            </w:r>
          </w:p>
        </w:tc>
        <w:tc>
          <w:tcPr>
            <w:tcW w:type="dxa" w:w="3408"/>
          </w:tcPr>
          <w:p>
            <w:r>
              <w:rPr>
                <w:sz w:val="18"/>
              </w:rPr>
              <w:t>Gate</w:t>
            </w:r>
          </w:p>
        </w:tc>
        <w:tc>
          <w:tcPr>
            <w:tcW w:type="dxa" w:w="3408"/>
          </w:tcPr>
          <w:p>
            <w:r>
              <w:rPr>
                <w:sz w:val="18"/>
              </w:rPr>
              <w:t>Provides a stable professional identifier such as G-1 for schedules, revisions, and installer documents.</w:t>
            </w:r>
          </w:p>
        </w:tc>
      </w:tr>
      <w:tr>
        <w:tc>
          <w:tcPr>
            <w:tcW w:type="dxa" w:w="3408"/>
          </w:tcPr>
          <w:p>
            <w:r>
              <w:rPr>
                <w:sz w:val="18"/>
              </w:rPr>
              <w:t>clarification / assumption</w:t>
            </w:r>
          </w:p>
        </w:tc>
        <w:tc>
          <w:tcPr>
            <w:tcW w:type="dxa" w:w="3408"/>
          </w:tcPr>
          <w:p>
            <w:r>
              <w:rPr>
                <w:sz w:val="18"/>
              </w:rPr>
              <w:t>Job or scope object</w:t>
            </w:r>
          </w:p>
        </w:tc>
        <w:tc>
          <w:tcPr>
            <w:tcW w:type="dxa" w:w="3408"/>
          </w:tcPr>
          <w:p>
            <w:r>
              <w:rPr>
                <w:sz w:val="18"/>
              </w:rPr>
              <w:t>Records estimator judgment without burying it in detached notes.</w:t>
            </w:r>
          </w:p>
        </w:tc>
      </w:tr>
      <w:tr>
        <w:tc>
          <w:tcPr>
            <w:tcW w:type="dxa" w:w="3408"/>
          </w:tcPr>
          <w:p>
            <w:r>
              <w:rPr>
                <w:sz w:val="18"/>
              </w:rPr>
              <w:t>calibrationId</w:t>
            </w:r>
          </w:p>
        </w:tc>
        <w:tc>
          <w:tcPr>
            <w:tcW w:type="dxa" w:w="3408"/>
          </w:tcPr>
          <w:p>
            <w:r>
              <w:rPr>
                <w:sz w:val="18"/>
              </w:rPr>
              <w:t>Source page, traced object</w:t>
            </w:r>
          </w:p>
        </w:tc>
        <w:tc>
          <w:tcPr>
            <w:tcW w:type="dxa" w:w="3408"/>
          </w:tcPr>
          <w:p>
            <w:r>
              <w:rPr>
                <w:sz w:val="18"/>
              </w:rPr>
              <w:t>Links traced geometry to the calibration used when measured.</w:t>
            </w:r>
          </w:p>
        </w:tc>
      </w:tr>
    </w:tbl>
    <w:p>
      <w:pPr/>
      <w:r>
        <w:t>Metadata must survive save/load, backup/export, duplication, and revision comparison. Unknown or unresolved scope must remain visible and must not silently become billable work.</w:t>
      </w:r>
    </w:p>
    <w:p>
      <w:pPr>
        <w:pStyle w:val="Heading1"/>
      </w:pPr>
      <w:r>
        <w:t>7. Pricing Architecture and Business Reality</w:t>
      </w:r>
    </w:p>
    <w:tbl>
      <w:tblPr>
        <w:tblW w:type="auto" w:w="0"/>
        <w:jc w:val="center"/>
        <w:tblLook w:firstColumn="1" w:firstRow="1" w:lastColumn="0" w:lastRow="0" w:noHBand="0" w:noVBand="1" w:val="04A0"/>
      </w:tblPr>
      <w:tblGrid>
        <w:gridCol w:w="10224"/>
      </w:tblGrid>
      <w:tr>
        <w:tc>
          <w:tcPr>
            <w:tcW w:type="dxa" w:w="10224"/>
            <w:shd w:fill="FFF4E5"/>
          </w:tcPr>
          <w:p>
            <w:r>
              <w:rPr>
                <w:b/>
                <w:color w:val="C77800"/>
                <w:sz w:val="18"/>
              </w:rPr>
              <w:t xml:space="preserve">PRICING STATUS  </w:t>
            </w:r>
            <w:r>
              <w:rPr>
                <w:sz w:val="18"/>
              </w:rPr>
              <w:t>The calculation engine is functional. The cost database is provisional. Production pricing is blocked by distributor-account access, negotiated terms, freight, tax, and real labor history.</w:t>
            </w:r>
          </w:p>
        </w:tc>
      </w:tr>
    </w:tbl>
    <w:p/>
    <w:p>
      <w:pPr>
        <w:pStyle w:val="Heading2"/>
      </w:pPr>
      <w:r>
        <w:t>7.1 Responsibility Separation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vAlign w:val="center"/>
            <w:shd w:fill="E87512"/>
          </w:tcPr>
          <w:p>
            <w:r>
              <w:rPr>
                <w:sz w:val="18"/>
              </w:rPr>
            </w:r>
            <w:r>
              <w:rPr>
                <w:b/>
                <w:color w:val="FFFFFF"/>
                <w:sz w:val="18"/>
              </w:rPr>
              <w:t>Layer</w:t>
            </w:r>
          </w:p>
        </w:tc>
        <w:tc>
          <w:tcPr>
            <w:tcW w:type="dxa" w:w="4896"/>
            <w:vAlign w:val="center"/>
            <w:shd w:fill="E87512"/>
          </w:tcPr>
          <w:p>
            <w:r>
              <w:rPr>
                <w:sz w:val="18"/>
              </w:rPr>
            </w:r>
            <w:r>
              <w:rPr>
                <w:b/>
                <w:color w:val="FFFFFF"/>
                <w:sz w:val="18"/>
              </w:rPr>
              <w:t>Responsibility</w:t>
            </w:r>
          </w:p>
        </w:tc>
        <w:tc>
          <w:tcPr>
            <w:tcW w:type="dxa" w:w="3312"/>
            <w:vAlign w:val="center"/>
            <w:shd w:fill="E87512"/>
          </w:tcPr>
          <w:p>
            <w:r>
              <w:rPr>
                <w:sz w:val="18"/>
              </w:rPr>
            </w:r>
            <w:r>
              <w:rPr>
                <w:b/>
                <w:color w:val="FFFFFF"/>
                <w:sz w:val="18"/>
              </w:rPr>
              <w:t>Current status</w:t>
            </w:r>
          </w:p>
        </w:tc>
      </w:tr>
      <w:tr>
        <w:tc>
          <w:tcPr>
            <w:tcW w:type="dxa" w:w="2016"/>
            <w:vAlign w:val="center"/>
            <w:shd w:fill="F7F3EE"/>
          </w:tcPr>
          <w:p>
            <w:r>
              <w:rPr>
                <w:sz w:val="18"/>
              </w:rPr>
            </w:r>
            <w:r>
              <w:rPr>
                <w:b w:val="0"/>
                <w:sz w:val="17"/>
              </w:rPr>
              <w:t>BOM engine</w:t>
            </w:r>
          </w:p>
        </w:tc>
        <w:tc>
          <w:tcPr>
            <w:tcW w:type="dxa" w:w="4896"/>
            <w:vAlign w:val="center"/>
            <w:shd w:fill="F7F3EE"/>
          </w:tcPr>
          <w:p>
            <w:r>
              <w:rPr>
                <w:sz w:val="18"/>
              </w:rPr>
            </w:r>
            <w:r>
              <w:rPr>
                <w:b w:val="0"/>
                <w:sz w:val="17"/>
              </w:rPr>
              <w:t>Determine required material quantities from geometry/specs.</w:t>
            </w:r>
          </w:p>
        </w:tc>
        <w:tc>
          <w:tcPr>
            <w:tcW w:type="dxa" w:w="3312"/>
            <w:vAlign w:val="center"/>
            <w:shd w:fill="F7F3EE"/>
          </w:tcPr>
          <w:p>
            <w:r>
              <w:rPr>
                <w:sz w:val="18"/>
              </w:rPr>
            </w:r>
            <w:r>
              <w:rPr>
                <w:b w:val="0"/>
                <w:sz w:val="17"/>
              </w:rPr>
              <w:t>Functional; continues to need field validation.</w:t>
            </w:r>
          </w:p>
        </w:tc>
      </w:tr>
      <w:tr>
        <w:tc>
          <w:tcPr>
            <w:tcW w:type="dxa" w:w="2016"/>
            <w:vAlign w:val="center"/>
          </w:tcPr>
          <w:p>
            <w:r>
              <w:rPr>
                <w:sz w:val="18"/>
              </w:rPr>
            </w:r>
            <w:r>
              <w:rPr>
                <w:b w:val="0"/>
                <w:sz w:val="17"/>
              </w:rPr>
              <w:t>Cost database</w:t>
            </w:r>
          </w:p>
        </w:tc>
        <w:tc>
          <w:tcPr>
            <w:tcW w:type="dxa" w:w="4896"/>
            <w:vAlign w:val="center"/>
          </w:tcPr>
          <w:p>
            <w:r>
              <w:rPr>
                <w:sz w:val="18"/>
              </w:rPr>
            </w:r>
            <w:r>
              <w:rPr>
                <w:b w:val="0"/>
                <w:sz w:val="17"/>
              </w:rPr>
              <w:t>Store unit buy cost and unit metadata.</w:t>
            </w:r>
          </w:p>
        </w:tc>
        <w:tc>
          <w:tcPr>
            <w:tcW w:type="dxa" w:w="3312"/>
            <w:vAlign w:val="center"/>
          </w:tcPr>
          <w:p>
            <w:r>
              <w:rPr>
                <w:sz w:val="18"/>
              </w:rPr>
            </w:r>
            <w:r>
              <w:rPr>
                <w:b w:val="0"/>
                <w:sz w:val="17"/>
              </w:rPr>
              <w:t>Provisional seed data.</w:t>
            </w:r>
          </w:p>
        </w:tc>
      </w:tr>
      <w:tr>
        <w:tc>
          <w:tcPr>
            <w:tcW w:type="dxa" w:w="2016"/>
            <w:vAlign w:val="center"/>
            <w:shd w:fill="F7F3EE"/>
          </w:tcPr>
          <w:p>
            <w:r>
              <w:rPr>
                <w:sz w:val="18"/>
              </w:rPr>
            </w:r>
            <w:r>
              <w:rPr>
                <w:b w:val="0"/>
                <w:sz w:val="17"/>
              </w:rPr>
              <w:t>Labor model</w:t>
            </w:r>
          </w:p>
        </w:tc>
        <w:tc>
          <w:tcPr>
            <w:tcW w:type="dxa" w:w="4896"/>
            <w:vAlign w:val="center"/>
            <w:shd w:fill="F7F3EE"/>
          </w:tcPr>
          <w:p>
            <w:r>
              <w:rPr>
                <w:sz w:val="18"/>
              </w:rPr>
            </w:r>
            <w:r>
              <w:rPr>
                <w:b w:val="0"/>
                <w:sz w:val="17"/>
              </w:rPr>
              <w:t>Store per-foot and gate labor assumptions.</w:t>
            </w:r>
          </w:p>
        </w:tc>
        <w:tc>
          <w:tcPr>
            <w:tcW w:type="dxa" w:w="3312"/>
            <w:vAlign w:val="center"/>
            <w:shd w:fill="F7F3EE"/>
          </w:tcPr>
          <w:p>
            <w:r>
              <w:rPr>
                <w:sz w:val="18"/>
              </w:rPr>
            </w:r>
            <w:r>
              <w:rPr>
                <w:b w:val="0"/>
                <w:sz w:val="17"/>
              </w:rPr>
              <w:t>Provisional business assumptions.</w:t>
            </w:r>
          </w:p>
        </w:tc>
      </w:tr>
      <w:tr>
        <w:tc>
          <w:tcPr>
            <w:tcW w:type="dxa" w:w="2016"/>
            <w:vAlign w:val="center"/>
          </w:tcPr>
          <w:p>
            <w:r>
              <w:rPr>
                <w:sz w:val="18"/>
              </w:rPr>
            </w:r>
            <w:r>
              <w:rPr>
                <w:b w:val="0"/>
                <w:sz w:val="17"/>
              </w:rPr>
              <w:t>Markup model</w:t>
            </w:r>
          </w:p>
        </w:tc>
        <w:tc>
          <w:tcPr>
            <w:tcW w:type="dxa" w:w="4896"/>
            <w:vAlign w:val="center"/>
          </w:tcPr>
          <w:p>
            <w:r>
              <w:rPr>
                <w:sz w:val="18"/>
              </w:rPr>
            </w:r>
            <w:r>
              <w:rPr>
                <w:b w:val="0"/>
                <w:sz w:val="17"/>
              </w:rPr>
              <w:t>Convert cost to client price and report margin.</w:t>
            </w:r>
          </w:p>
        </w:tc>
        <w:tc>
          <w:tcPr>
            <w:tcW w:type="dxa" w:w="3312"/>
            <w:vAlign w:val="center"/>
          </w:tcPr>
          <w:p>
            <w:r>
              <w:rPr>
                <w:sz w:val="18"/>
              </w:rPr>
            </w:r>
            <w:r>
              <w:rPr>
                <w:b w:val="0"/>
                <w:sz w:val="17"/>
              </w:rPr>
              <w:t>Functional.</w:t>
            </w:r>
          </w:p>
        </w:tc>
      </w:tr>
      <w:tr>
        <w:tc>
          <w:tcPr>
            <w:tcW w:type="dxa" w:w="2016"/>
            <w:vAlign w:val="center"/>
            <w:shd w:fill="F7F3EE"/>
          </w:tcPr>
          <w:p>
            <w:r>
              <w:rPr>
                <w:sz w:val="18"/>
              </w:rPr>
            </w:r>
            <w:r>
              <w:rPr>
                <w:b w:val="0"/>
                <w:sz w:val="17"/>
              </w:rPr>
              <w:t>Site conditions</w:t>
            </w:r>
          </w:p>
        </w:tc>
        <w:tc>
          <w:tcPr>
            <w:tcW w:type="dxa" w:w="4896"/>
            <w:vAlign w:val="center"/>
            <w:shd w:fill="F7F3EE"/>
          </w:tcPr>
          <w:p>
            <w:r>
              <w:rPr>
                <w:sz w:val="18"/>
              </w:rPr>
            </w:r>
            <w:r>
              <w:rPr>
                <w:b w:val="0"/>
                <w:sz w:val="17"/>
              </w:rPr>
              <w:t>Apply demo, slope/grade, difficult digging, and urban adjustments.</w:t>
            </w:r>
          </w:p>
        </w:tc>
        <w:tc>
          <w:tcPr>
            <w:tcW w:type="dxa" w:w="3312"/>
            <w:vAlign w:val="center"/>
            <w:shd w:fill="F7F3EE"/>
          </w:tcPr>
          <w:p>
            <w:r>
              <w:rPr>
                <w:sz w:val="18"/>
              </w:rPr>
            </w:r>
            <w:r>
              <w:rPr>
                <w:b w:val="0"/>
                <w:sz w:val="17"/>
              </w:rPr>
              <w:t>Implemented through pricing controls; exact business policy remains editable.</w:t>
            </w:r>
          </w:p>
        </w:tc>
      </w:tr>
      <w:tr>
        <w:tc>
          <w:tcPr>
            <w:tcW w:type="dxa" w:w="2016"/>
            <w:vAlign w:val="center"/>
          </w:tcPr>
          <w:p>
            <w:r>
              <w:rPr>
                <w:sz w:val="18"/>
              </w:rPr>
            </w:r>
            <w:r>
              <w:rPr>
                <w:b w:val="0"/>
                <w:sz w:val="17"/>
              </w:rPr>
              <w:t>Client presentation</w:t>
            </w:r>
          </w:p>
        </w:tc>
        <w:tc>
          <w:tcPr>
            <w:tcW w:type="dxa" w:w="4896"/>
            <w:vAlign w:val="center"/>
          </w:tcPr>
          <w:p>
            <w:r>
              <w:rPr>
                <w:sz w:val="18"/>
              </w:rPr>
            </w:r>
            <w:r>
              <w:rPr>
                <w:b w:val="0"/>
                <w:sz w:val="17"/>
              </w:rPr>
              <w:t>Summarize price without exposing internal costs.</w:t>
            </w:r>
          </w:p>
        </w:tc>
        <w:tc>
          <w:tcPr>
            <w:tcW w:type="dxa" w:w="3312"/>
            <w:vAlign w:val="center"/>
          </w:tcPr>
          <w:p>
            <w:r>
              <w:rPr>
                <w:sz w:val="18"/>
              </w:rPr>
            </w:r>
            <w:r>
              <w:rPr>
                <w:b w:val="0"/>
                <w:sz w:val="17"/>
              </w:rPr>
              <w:t>Functional in CAD; guide is not synchronized.</w:t>
            </w:r>
          </w:p>
        </w:tc>
      </w:tr>
    </w:tbl>
    <w:p/>
    <w:p>
      <w:pPr>
        <w:pStyle w:val="Heading2"/>
      </w:pPr>
      <w:r>
        <w:t>7.2 Pricing Philosophy</w:t>
      </w:r>
    </w:p>
    <w:p>
      <w:pPr>
        <w:pStyle w:val="ListBullet"/>
      </w:pPr>
      <w:r>
        <w:t>Software correctness and economic accuracy are separate acceptance criteria.</w:t>
      </w:r>
    </w:p>
    <w:p>
      <w:pPr>
        <w:pStyle w:val="ListBullet"/>
      </w:pPr>
      <w:r>
        <w:t>Placeholder costs are permitted for development, but must be visibly labeled provisional.</w:t>
      </w:r>
    </w:p>
    <w:p>
      <w:pPr>
        <w:pStyle w:val="ListBullet"/>
      </w:pPr>
      <w:r>
        <w:t>A quote must be blocked or prominently warned when a required item has a missing or zero cost.</w:t>
      </w:r>
    </w:p>
    <w:p>
      <w:pPr>
        <w:pStyle w:val="ListBullet"/>
      </w:pPr>
      <w:r>
        <w:t>No externally published starting-price guide is authoritative unless generated from a named price dataset and engine version.</w:t>
      </w:r>
    </w:p>
    <w:p>
      <w:pPr>
        <w:pStyle w:val="ListBullet"/>
      </w:pPr>
      <w:r>
        <w:t>Every saved quote should retain the price assumptions used when it was created.</w:t>
      </w:r>
    </w:p>
    <w:p>
      <w:pPr>
        <w:pStyle w:val="ListBullet"/>
      </w:pPr>
      <w:r>
        <w:t>Distributor invoices and negotiated account prices replace seeds without changing calculation formulas unless field evidence shows the formulas are wrong.</w:t>
      </w:r>
    </w:p>
    <w:p>
      <w:pPr>
        <w:pStyle w:val="Heading3"/>
      </w:pPr>
      <w:r>
        <w:t>7.2.1 Slope Policy</w:t>
      </w:r>
    </w:p>
    <w:p>
      <w:pPr>
        <w:pStyle w:val="ListBullet"/>
      </w:pPr>
      <w:r>
        <w:t>Hard ground, rock, demo/removal, and difficult access are pricing-relevant site conditions and may justify labor adjustment.</w:t>
      </w:r>
    </w:p>
    <w:p>
      <w:pPr>
        <w:pStyle w:val="ListBullet"/>
      </w:pPr>
      <w:r>
        <w:t>Slope is primarily a specification and installation-behavior input: rack vs. step, tie-ins, grade handling, and visual planning.</w:t>
      </w:r>
    </w:p>
    <w:p>
      <w:pPr>
        <w:pStyle w:val="ListBullet"/>
      </w:pPr>
      <w:r>
        <w:t>Extreme slope may justify a surcharge, but the preferred policy is threshold-based or manually invoked, not a continuous percentage formula by default.</w:t>
      </w:r>
    </w:p>
    <w:p>
      <w:pPr>
        <w:pStyle w:val="ListBullet"/>
      </w:pPr>
      <w:r>
        <w:t>Numeric slope measurements may still be stored or annotated for documentation even when they do not directly scale price.</w:t>
      </w:r>
    </w:p>
    <w:p>
      <w:pPr>
        <w:pStyle w:val="Heading2"/>
      </w:pPr>
      <w:r>
        <w:t>7.3 Known Price-Data Issues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744"/>
            <w:vAlign w:val="center"/>
            <w:shd w:fill="E87512"/>
          </w:tcPr>
          <w:p>
            <w:r>
              <w:rPr>
                <w:sz w:val="18"/>
              </w:rPr>
            </w:r>
            <w:r>
              <w:rPr>
                <w:b/>
                <w:color w:val="FFFFFF"/>
                <w:sz w:val="18"/>
              </w:rPr>
              <w:t>Issue</w:t>
            </w:r>
          </w:p>
        </w:tc>
        <w:tc>
          <w:tcPr>
            <w:tcW w:type="dxa" w:w="1872"/>
            <w:vAlign w:val="center"/>
            <w:shd w:fill="E87512"/>
          </w:tcPr>
          <w:p>
            <w:r>
              <w:rPr>
                <w:sz w:val="18"/>
              </w:rPr>
            </w:r>
            <w:r>
              <w:rPr>
                <w:b/>
                <w:color w:val="FFFFFF"/>
                <w:sz w:val="18"/>
              </w:rPr>
              <w:t>Class</w:t>
            </w:r>
          </w:p>
        </w:tc>
        <w:tc>
          <w:tcPr>
            <w:tcW w:type="dxa" w:w="4608"/>
            <w:vAlign w:val="center"/>
            <w:shd w:fill="E87512"/>
          </w:tcPr>
          <w:p>
            <w:r>
              <w:rPr>
                <w:sz w:val="18"/>
              </w:rPr>
            </w:r>
            <w:r>
              <w:rPr>
                <w:b/>
                <w:color w:val="FFFFFF"/>
                <w:sz w:val="18"/>
              </w:rPr>
              <w:t>Required action</w:t>
            </w:r>
          </w:p>
        </w:tc>
      </w:tr>
      <w:tr>
        <w:tc>
          <w:tcPr>
            <w:tcW w:type="dxa" w:w="3744"/>
            <w:vAlign w:val="center"/>
            <w:shd w:fill="F7F3EE"/>
          </w:tcPr>
          <w:p>
            <w:r>
              <w:rPr>
                <w:sz w:val="18"/>
              </w:rPr>
            </w:r>
            <w:r>
              <w:rPr>
                <w:b w:val="0"/>
                <w:sz w:val="17"/>
              </w:rPr>
              <w:t>Chain-link fabric seed exceeds a verified retail comparison cited in legacy documentation.</w:t>
            </w:r>
          </w:p>
        </w:tc>
        <w:tc>
          <w:tcPr>
            <w:tcW w:type="dxa" w:w="1872"/>
            <w:vAlign w:val="center"/>
            <w:shd w:fill="F7F3EE"/>
          </w:tcPr>
          <w:p>
            <w:r>
              <w:rPr>
                <w:sz w:val="18"/>
              </w:rPr>
            </w:r>
            <w:r>
              <w:rPr>
                <w:b w:val="0"/>
                <w:sz w:val="17"/>
              </w:rPr>
              <w:t>Seed data</w:t>
            </w:r>
          </w:p>
        </w:tc>
        <w:tc>
          <w:tcPr>
            <w:tcW w:type="dxa" w:w="4608"/>
            <w:vAlign w:val="center"/>
            <w:shd w:fill="F7F3EE"/>
          </w:tcPr>
          <w:p>
            <w:r>
              <w:rPr>
                <w:sz w:val="18"/>
              </w:rPr>
            </w:r>
            <w:r>
              <w:rPr>
                <w:b w:val="0"/>
                <w:sz w:val="17"/>
              </w:rPr>
              <w:t>Replace only with actual accessible buy cost; do not invent wholesale values.</w:t>
            </w:r>
          </w:p>
        </w:tc>
      </w:tr>
      <w:tr>
        <w:tc>
          <w:tcPr>
            <w:tcW w:type="dxa" w:w="3744"/>
            <w:vAlign w:val="center"/>
          </w:tcPr>
          <w:p>
            <w:r>
              <w:rPr>
                <w:sz w:val="18"/>
              </w:rPr>
            </w:r>
            <w:r>
              <w:rPr>
                <w:b w:val="0"/>
                <w:sz w:val="17"/>
              </w:rPr>
              <w:t>Wood rail names may collide with chain-link top/mid rail keys.</w:t>
            </w:r>
          </w:p>
        </w:tc>
        <w:tc>
          <w:tcPr>
            <w:tcW w:type="dxa" w:w="1872"/>
            <w:vAlign w:val="center"/>
          </w:tcPr>
          <w:p>
            <w:r>
              <w:rPr>
                <w:sz w:val="18"/>
              </w:rPr>
            </w:r>
            <w:r>
              <w:rPr>
                <w:b w:val="0"/>
                <w:sz w:val="17"/>
              </w:rPr>
              <w:t>Schema/BOM naming</w:t>
            </w:r>
          </w:p>
        </w:tc>
        <w:tc>
          <w:tcPr>
            <w:tcW w:type="dxa" w:w="4608"/>
            <w:vAlign w:val="center"/>
          </w:tcPr>
          <w:p>
            <w:r>
              <w:rPr>
                <w:sz w:val="18"/>
              </w:rPr>
            </w:r>
            <w:r>
              <w:rPr>
                <w:b w:val="0"/>
                <w:sz w:val="17"/>
              </w:rPr>
              <w:t>Use material-specific canonical keys and migration aliases.</w:t>
            </w:r>
          </w:p>
        </w:tc>
      </w:tr>
      <w:tr>
        <w:tc>
          <w:tcPr>
            <w:tcW w:type="dxa" w:w="3744"/>
            <w:vAlign w:val="center"/>
            <w:shd w:fill="F7F3EE"/>
          </w:tcPr>
          <w:p>
            <w:r>
              <w:rPr>
                <w:sz w:val="18"/>
              </w:rPr>
            </w:r>
            <w:r>
              <w:rPr>
                <w:b w:val="0"/>
                <w:sz w:val="17"/>
              </w:rPr>
              <w:t>Temporary panel costs may be zero.</w:t>
            </w:r>
          </w:p>
        </w:tc>
        <w:tc>
          <w:tcPr>
            <w:tcW w:type="dxa" w:w="1872"/>
            <w:vAlign w:val="center"/>
            <w:shd w:fill="F7F3EE"/>
          </w:tcPr>
          <w:p>
            <w:r>
              <w:rPr>
                <w:sz w:val="18"/>
              </w:rPr>
            </w:r>
            <w:r>
              <w:rPr>
                <w:b w:val="0"/>
                <w:sz w:val="17"/>
              </w:rPr>
              <w:t>Missing data</w:t>
            </w:r>
          </w:p>
        </w:tc>
        <w:tc>
          <w:tcPr>
            <w:tcW w:type="dxa" w:w="4608"/>
            <w:vAlign w:val="center"/>
            <w:shd w:fill="F7F3EE"/>
          </w:tcPr>
          <w:p>
            <w:r>
              <w:rPr>
                <w:sz w:val="18"/>
              </w:rPr>
            </w:r>
            <w:r>
              <w:rPr>
                <w:b w:val="0"/>
                <w:sz w:val="17"/>
              </w:rPr>
              <w:t>Prevent confident quote output until required costs are populated.</w:t>
            </w:r>
          </w:p>
        </w:tc>
      </w:tr>
      <w:tr>
        <w:tc>
          <w:tcPr>
            <w:tcW w:type="dxa" w:w="3744"/>
            <w:vAlign w:val="center"/>
          </w:tcPr>
          <w:p>
            <w:r>
              <w:rPr>
                <w:sz w:val="18"/>
              </w:rPr>
            </w:r>
            <w:r>
              <w:rPr>
                <w:b w:val="0"/>
                <w:sz w:val="17"/>
              </w:rPr>
              <w:t>Client guide contains static prices inconsistent with the engine.</w:t>
            </w:r>
          </w:p>
        </w:tc>
        <w:tc>
          <w:tcPr>
            <w:tcW w:type="dxa" w:w="1872"/>
            <w:vAlign w:val="center"/>
          </w:tcPr>
          <w:p>
            <w:r>
              <w:rPr>
                <w:sz w:val="18"/>
              </w:rPr>
            </w:r>
            <w:r>
              <w:rPr>
                <w:b w:val="0"/>
                <w:sz w:val="17"/>
              </w:rPr>
              <w:t>Presentation drift</w:t>
            </w:r>
          </w:p>
        </w:tc>
        <w:tc>
          <w:tcPr>
            <w:tcW w:type="dxa" w:w="4608"/>
            <w:vAlign w:val="center"/>
          </w:tcPr>
          <w:p>
            <w:r>
              <w:rPr>
                <w:sz w:val="18"/>
              </w:rPr>
            </w:r>
            <w:r>
              <w:rPr>
                <w:b w:val="0"/>
                <w:sz w:val="17"/>
              </w:rPr>
              <w:t>Regenerate after engine/schema synchronization and verified inputs.</w:t>
            </w:r>
          </w:p>
        </w:tc>
      </w:tr>
      <w:tr>
        <w:tc>
          <w:tcPr>
            <w:tcW w:type="dxa" w:w="3744"/>
            <w:vAlign w:val="center"/>
            <w:shd w:fill="F7F3EE"/>
          </w:tcPr>
          <w:p>
            <w:r>
              <w:rPr>
                <w:sz w:val="18"/>
              </w:rPr>
            </w:r>
            <w:r>
              <w:rPr>
                <w:b w:val="0"/>
                <w:sz w:val="17"/>
              </w:rPr>
              <w:t>Ornamental screw quantity of four per panel is an assumption.</w:t>
            </w:r>
          </w:p>
        </w:tc>
        <w:tc>
          <w:tcPr>
            <w:tcW w:type="dxa" w:w="1872"/>
            <w:vAlign w:val="center"/>
            <w:shd w:fill="F7F3EE"/>
          </w:tcPr>
          <w:p>
            <w:r>
              <w:rPr>
                <w:sz w:val="18"/>
              </w:rPr>
            </w:r>
            <w:r>
              <w:rPr>
                <w:b w:val="0"/>
                <w:sz w:val="17"/>
              </w:rPr>
              <w:t>Quantity assumption</w:t>
            </w:r>
          </w:p>
        </w:tc>
        <w:tc>
          <w:tcPr>
            <w:tcW w:type="dxa" w:w="4608"/>
            <w:vAlign w:val="center"/>
            <w:shd w:fill="F7F3EE"/>
          </w:tcPr>
          <w:p>
            <w:r>
              <w:rPr>
                <w:sz w:val="18"/>
              </w:rPr>
            </w:r>
            <w:r>
              <w:rPr>
                <w:b w:val="0"/>
                <w:sz w:val="17"/>
              </w:rPr>
              <w:t>Validate in field or against a selected installation system.</w:t>
            </w:r>
          </w:p>
        </w:tc>
      </w:tr>
    </w:tbl>
    <w:p/>
    <w:p>
      <w:pPr>
        <w:pStyle w:val="Heading2"/>
      </w:pPr>
      <w:r>
        <w:t>7.4 Business Dependencies for Verified Pricing</w:t>
      </w:r>
    </w:p>
    <w:p>
      <w:pPr>
        <w:pStyle w:val="ListBullet"/>
      </w:pPr>
      <w:r>
        <w:t>Legal entity and EIN as required by distributors.</w:t>
      </w:r>
    </w:p>
    <w:p>
      <w:pPr>
        <w:pStyle w:val="ListBullet"/>
      </w:pPr>
      <w:r>
        <w:t>Commercial supplier accounts such as Merchants Metals, Master Halco, Stephens Pipe &amp; Steel, and qualified local sources.</w:t>
      </w:r>
    </w:p>
    <w:p>
      <w:pPr>
        <w:pStyle w:val="ListBullet"/>
      </w:pPr>
      <w:r>
        <w:t>Account-specific unit prices, package quantities, freight, fuel surcharges, tax treatment, and payment terms.</w:t>
      </w:r>
    </w:p>
    <w:p>
      <w:pPr>
        <w:pStyle w:val="ListBullet"/>
      </w:pPr>
      <w:r>
        <w:t>Actual purchase invoices and job-level waste records.</w:t>
      </w:r>
    </w:p>
    <w:p>
      <w:pPr>
        <w:pStyle w:val="ListBullet"/>
      </w:pPr>
      <w:r>
        <w:t>Observed crew production rates and labor burden.</w:t>
      </w:r>
    </w:p>
    <w:p>
      <w:pPr>
        <w:pStyle w:val="ListBullet"/>
      </w:pPr>
      <w:r>
        <w:t>Regional/site adjustment policy based on completed work.</w:t>
      </w:r>
    </w:p>
    <w:p>
      <w:r/>
    </w:p>
    <w:p>
      <w:pPr>
        <w:pStyle w:val="Heading1"/>
      </w:pPr>
      <w:r>
        <w:t>8. Integration Contracts</w:t>
      </w:r>
    </w:p>
    <w:p>
      <w:pPr>
        <w:pStyle w:val="Heading2"/>
      </w:pPr>
      <w:r>
        <w:t>8.1 Compatibility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vAlign w:val="center"/>
            <w:shd w:fill="E87512"/>
          </w:tcPr>
          <w:p>
            <w:r>
              <w:rPr>
                <w:sz w:val="18"/>
              </w:rPr>
            </w:r>
            <w:r>
              <w:rPr>
                <w:b/>
                <w:color w:val="FFFFFF"/>
                <w:sz w:val="18"/>
              </w:rPr>
              <w:t>Producer</w:t>
            </w:r>
          </w:p>
        </w:tc>
        <w:tc>
          <w:tcPr>
            <w:tcW w:type="dxa" w:w="2160"/>
            <w:vAlign w:val="center"/>
            <w:shd w:fill="E87512"/>
          </w:tcPr>
          <w:p>
            <w:r>
              <w:rPr>
                <w:sz w:val="18"/>
              </w:rPr>
            </w:r>
            <w:r>
              <w:rPr>
                <w:b/>
                <w:color w:val="FFFFFF"/>
                <w:sz w:val="18"/>
              </w:rPr>
              <w:t>Consumer</w:t>
            </w:r>
          </w:p>
        </w:tc>
        <w:tc>
          <w:tcPr>
            <w:tcW w:type="dxa" w:w="2160"/>
            <w:vAlign w:val="center"/>
            <w:shd w:fill="E87512"/>
          </w:tcPr>
          <w:p>
            <w:r>
              <w:rPr>
                <w:sz w:val="18"/>
              </w:rPr>
            </w:r>
            <w:r>
              <w:rPr>
                <w:b/>
                <w:color w:val="FFFFFF"/>
                <w:sz w:val="18"/>
              </w:rPr>
              <w:t>Advertised</w:t>
            </w:r>
          </w:p>
        </w:tc>
        <w:tc>
          <w:tcPr>
            <w:tcW w:type="dxa" w:w="4320"/>
            <w:vAlign w:val="center"/>
            <w:shd w:fill="E87512"/>
          </w:tcPr>
          <w:p>
            <w:r>
              <w:t>Actual Revision 23 status</w:t>
            </w:r>
          </w:p>
        </w:tc>
      </w:tr>
      <w:tr>
        <w:tc>
          <w:tcPr>
            <w:tcW w:type="dxa" w:w="2160"/>
            <w:vAlign w:val="center"/>
            <w:shd w:fill="F7F3EE"/>
          </w:tcPr>
          <w:p>
            <w:r>
              <w:rPr>
                <w:sz w:val="18"/>
              </w:rPr>
              <w:t>CAD v5.3.1</w:t>
            </w:r>
          </w:p>
        </w:tc>
        <w:tc>
          <w:tcPr>
            <w:tcW w:type="dxa" w:w="2160"/>
            <w:vAlign w:val="center"/>
            <w:shd w:fill="F7F3EE"/>
          </w:tcPr>
          <w:p>
            <w:r>
              <w:rPr>
                <w:sz w:val="18"/>
              </w:rPr>
            </w:r>
            <w:r>
              <w:rPr>
                <w:b w:val="0"/>
                <w:sz w:val="17"/>
              </w:rPr>
              <w:t>Rate Card v2.0</w:t>
            </w:r>
          </w:p>
        </w:tc>
        <w:tc>
          <w:tcPr>
            <w:tcW w:type="dxa" w:w="2160"/>
            <w:vAlign w:val="center"/>
            <w:shd w:fill="F7F3EE"/>
          </w:tcPr>
          <w:p>
            <w:r>
              <w:rPr>
                <w:sz w:val="18"/>
              </w:rPr>
            </w:r>
            <w:r>
              <w:rPr>
                <w:b w:val="0"/>
                <w:sz w:val="17"/>
              </w:rPr>
              <w:t>Shared .fbprices.json</w:t>
            </w:r>
          </w:p>
        </w:tc>
        <w:tc>
          <w:tcPr>
            <w:tcW w:type="dxa" w:w="4320"/>
            <w:vAlign w:val="center"/>
            <w:shd w:fill="F7F3EE"/>
          </w:tcPr>
          <w:p>
            <w:r>
              <w:rPr>
                <w:sz w:val="18"/>
              </w:rPr>
            </w:r>
            <w:r>
              <w:rPr>
                <w:b w:val="0"/>
                <w:sz w:val="17"/>
              </w:rPr>
              <w:t>Broken: CAD uses cost objects with cost/unit; Rate Card uses numeric values.</w:t>
            </w:r>
          </w:p>
        </w:tc>
      </w:tr>
      <w:tr>
        <w:tc>
          <w:tcPr>
            <w:tcW w:type="dxa" w:w="2160"/>
            <w:vAlign w:val="center"/>
          </w:tcPr>
          <w:p>
            <w:r>
              <w:rPr>
                <w:sz w:val="18"/>
              </w:rPr>
            </w:r>
            <w:r>
              <w:rPr>
                <w:b w:val="0"/>
                <w:sz w:val="17"/>
              </w:rPr>
              <w:t>Rate Card v2.0</w:t>
            </w:r>
          </w:p>
        </w:tc>
        <w:tc>
          <w:tcPr>
            <w:tcW w:type="dxa" w:w="2160"/>
            <w:vAlign w:val="center"/>
          </w:tcPr>
          <w:p>
            <w:r>
              <w:rPr>
                <w:sz w:val="18"/>
              </w:rPr>
              <w:t>CAD v5.3.1</w:t>
            </w:r>
          </w:p>
        </w:tc>
        <w:tc>
          <w:tcPr>
            <w:tcW w:type="dxa" w:w="2160"/>
            <w:vAlign w:val="center"/>
          </w:tcPr>
          <w:p>
            <w:r>
              <w:rPr>
                <w:sz w:val="18"/>
              </w:rPr>
            </w:r>
            <w:r>
              <w:rPr>
                <w:b w:val="0"/>
                <w:sz w:val="17"/>
              </w:rPr>
              <w:t>Shared .fbprices.json</w:t>
            </w:r>
          </w:p>
        </w:tc>
        <w:tc>
          <w:tcPr>
            <w:tcW w:type="dxa" w:w="4320"/>
            <w:vAlign w:val="center"/>
          </w:tcPr>
          <w:p>
            <w:r>
              <w:rPr>
                <w:sz w:val="18"/>
              </w:rPr>
            </w:r>
            <w:r>
              <w:rPr>
                <w:b w:val="0"/>
                <w:sz w:val="17"/>
              </w:rPr>
              <w:t>Broken: imported values do not match the receiving lookup contract.</w:t>
            </w:r>
          </w:p>
        </w:tc>
      </w:tr>
      <w:tr>
        <w:tc>
          <w:tcPr>
            <w:tcW w:type="dxa" w:w="2160"/>
            <w:vAlign w:val="center"/>
            <w:shd w:fill="F7F3EE"/>
          </w:tcPr>
          <w:p>
            <w:r>
              <w:rPr>
                <w:sz w:val="18"/>
              </w:rPr>
            </w:r>
            <w:r>
              <w:rPr>
                <w:b w:val="0"/>
                <w:sz w:val="17"/>
              </w:rPr>
              <w:t>CAD</w:t>
            </w:r>
          </w:p>
        </w:tc>
        <w:tc>
          <w:tcPr>
            <w:tcW w:type="dxa" w:w="2160"/>
            <w:vAlign w:val="center"/>
            <w:shd w:fill="F7F3EE"/>
          </w:tcPr>
          <w:p>
            <w:r>
              <w:rPr>
                <w:sz w:val="18"/>
              </w:rPr>
            </w:r>
            <w:r>
              <w:rPr>
                <w:b w:val="0"/>
                <w:sz w:val="17"/>
              </w:rPr>
              <w:t>Client Price Guide</w:t>
            </w:r>
          </w:p>
        </w:tc>
        <w:tc>
          <w:tcPr>
            <w:tcW w:type="dxa" w:w="2160"/>
            <w:vAlign w:val="center"/>
            <w:shd w:fill="F7F3EE"/>
          </w:tcPr>
          <w:p>
            <w:r>
              <w:rPr>
                <w:sz w:val="18"/>
              </w:rPr>
            </w:r>
            <w:r>
              <w:rPr>
                <w:b w:val="0"/>
                <w:sz w:val="17"/>
              </w:rPr>
              <w:t>Conceptually same pricing</w:t>
            </w:r>
          </w:p>
        </w:tc>
        <w:tc>
          <w:tcPr>
            <w:tcW w:type="dxa" w:w="4320"/>
            <w:vAlign w:val="center"/>
            <w:shd w:fill="F7F3EE"/>
          </w:tcPr>
          <w:p>
            <w:r>
              <w:rPr>
                <w:sz w:val="18"/>
              </w:rPr>
            </w:r>
            <w:r>
              <w:rPr>
                <w:b w:val="0"/>
                <w:sz w:val="17"/>
              </w:rPr>
              <w:t>Disconnected static artifact.</w:t>
            </w:r>
          </w:p>
        </w:tc>
      </w:tr>
      <w:tr>
        <w:tc>
          <w:tcPr>
            <w:tcW w:type="dxa" w:w="2160"/>
            <w:vAlign w:val="center"/>
          </w:tcPr>
          <w:p>
            <w:r>
              <w:rPr>
                <w:sz w:val="18"/>
              </w:rPr>
            </w:r>
            <w:r>
              <w:rPr>
                <w:b w:val="0"/>
                <w:sz w:val="17"/>
              </w:rPr>
              <w:t>Distributor Reference</w:t>
            </w:r>
          </w:p>
        </w:tc>
        <w:tc>
          <w:tcPr>
            <w:tcW w:type="dxa" w:w="2160"/>
            <w:vAlign w:val="center"/>
          </w:tcPr>
          <w:p>
            <w:r>
              <w:rPr>
                <w:sz w:val="18"/>
              </w:rPr>
            </w:r>
            <w:r>
              <w:rPr>
                <w:b w:val="0"/>
                <w:sz w:val="17"/>
              </w:rPr>
              <w:t>CAD/Rate Card</w:t>
            </w:r>
          </w:p>
        </w:tc>
        <w:tc>
          <w:tcPr>
            <w:tcW w:type="dxa" w:w="2160"/>
            <w:vAlign w:val="center"/>
          </w:tcPr>
          <w:p>
            <w:r>
              <w:rPr>
                <w:sz w:val="18"/>
              </w:rPr>
            </w:r>
            <w:r>
              <w:rPr>
                <w:b w:val="0"/>
                <w:sz w:val="17"/>
              </w:rPr>
              <w:t>Reference inputs</w:t>
            </w:r>
          </w:p>
        </w:tc>
        <w:tc>
          <w:tcPr>
            <w:tcW w:type="dxa" w:w="4320"/>
            <w:vAlign w:val="center"/>
          </w:tcPr>
          <w:p>
            <w:r>
              <w:rPr>
                <w:sz w:val="18"/>
              </w:rPr>
            </w:r>
            <w:r>
              <w:rPr>
                <w:b w:val="0"/>
                <w:sz w:val="17"/>
              </w:rPr>
              <w:t>Manual only; values remain provisional.</w:t>
            </w:r>
          </w:p>
        </w:tc>
      </w:tr>
      <w:tr>
        <w:tc>
          <w:tcPr>
            <w:tcW w:type="dxa" w:w="2160"/>
            <w:vAlign w:val="center"/>
            <w:shd w:fill="F7F3EE"/>
          </w:tcPr>
          <w:p>
            <w:r>
              <w:rPr>
                <w:sz w:val="18"/>
              </w:rPr>
              <w:t>FenceScraper v2.2</w:t>
            </w:r>
          </w:p>
        </w:tc>
        <w:tc>
          <w:tcPr>
            <w:tcW w:type="dxa" w:w="2160"/>
            <w:vAlign w:val="center"/>
            <w:shd w:fill="F7F3EE"/>
          </w:tcPr>
          <w:p>
            <w:r>
              <w:rPr>
                <w:sz w:val="18"/>
              </w:rPr>
            </w:r>
            <w:r>
              <w:rPr>
                <w:b w:val="0"/>
                <w:sz w:val="17"/>
              </w:rPr>
              <w:t>CAD</w:t>
            </w:r>
          </w:p>
        </w:tc>
        <w:tc>
          <w:tcPr>
            <w:tcW w:type="dxa" w:w="2160"/>
            <w:vAlign w:val="center"/>
            <w:shd w:fill="F7F3EE"/>
          </w:tcPr>
          <w:p>
            <w:r>
              <w:rPr>
                <w:sz w:val="18"/>
              </w:rPr>
            </w:r>
            <w:r>
              <w:rPr>
                <w:b w:val="0"/>
                <w:sz w:val="17"/>
              </w:rPr>
              <w:t>Future Open in CAD flow</w:t>
            </w:r>
          </w:p>
        </w:tc>
        <w:tc>
          <w:tcPr>
            <w:tcW w:type="dxa" w:w="4320"/>
            <w:vAlign w:val="center"/>
            <w:shd w:fill="F7F3EE"/>
          </w:tcPr>
          <w:p>
            <w:r>
              <w:rPr>
                <w:sz w:val="18"/>
              </w:rPr>
            </w:r>
            <w:r>
              <w:rPr>
                <w:b w:val="0"/>
                <w:sz w:val="17"/>
              </w:rPr>
              <w:t>Not implemented as a dependable contract.</w:t>
            </w:r>
          </w:p>
        </w:tc>
      </w:tr>
    </w:tbl>
    <w:p/>
    <w:p>
      <w:pPr>
        <w:pStyle w:val="Heading2"/>
      </w:pPr>
      <w:r>
        <w:t>8.2 Canonical Pricing File</w:t>
      </w:r>
    </w:p>
    <w:p>
      <w:r>
        <w:t>Revision 23 retains the target contract below. This is a specification, not yet a claim that the applications implement it.</w:t>
      </w:r>
    </w:p>
    <w:p>
      <w:pPr>
        <w:pStyle w:val="CodeBlock"/>
      </w:pPr>
      <w:r>
        <w:t>{</w:t>
        <w:br/>
        <w:t xml:space="preserve">  "app": "FenceBoundPricing",</w:t>
        <w:br/>
        <w:t xml:space="preserve">  "kind": "prices",</w:t>
        <w:br/>
        <w:t xml:space="preserve">  "schemaVersion": 2,</w:t>
        <w:br/>
        <w:t xml:space="preserve">  "datasetRevision": "owner-assigned",</w:t>
        <w:br/>
        <w:t xml:space="preserve">  "costs": {</w:t>
        <w:br/>
        <w:t xml:space="preserve">    "chain link fabric": { "cost": 0.00, "unit": "lf" }</w:t>
        <w:br/>
        <w:t xml:space="preserve">  },</w:t>
        <w:br/>
        <w:t xml:space="preserve">  "labor": {},</w:t>
        <w:br/>
        <w:t xml:space="preserve">  "markup": {},</w:t>
        <w:br/>
        <w:t xml:space="preserve">  "metadata": { "provisional": true, "updatedAt": "ISO-8601" }</w:t>
        <w:br/>
        <w:t>}</w:t>
      </w:r>
    </w:p>
    <w:p>
      <w:pPr>
        <w:pStyle w:val="ListBullet"/>
      </w:pPr>
      <w:r>
        <w:t>Importers must validate app, kind, schemaVersion, numeric ranges, required fields, and units.</w:t>
      </w:r>
    </w:p>
    <w:p>
      <w:pPr>
        <w:pStyle w:val="ListBullet"/>
      </w:pPr>
      <w:r>
        <w:t>Legacy numeric cost entries may be normalized with documented unit fallback; invalid entries are rejected and reported.</w:t>
      </w:r>
    </w:p>
    <w:p>
      <w:pPr>
        <w:pStyle w:val="ListBullet"/>
      </w:pPr>
      <w:r>
        <w:t>Unknown keys are preserved only when safe or listed as warnings.</w:t>
      </w:r>
    </w:p>
    <w:p>
      <w:pPr>
        <w:pStyle w:val="ListBullet"/>
      </w:pPr>
      <w:r>
        <w:t>Negative values, NaN, nonnumeric strings, and unreasonable percentages are rejected.</w:t>
      </w:r>
    </w:p>
    <w:p>
      <w:pPr>
        <w:pStyle w:val="ListBullet"/>
      </w:pPr>
      <w:r>
        <w:t>Import must produce an explicit summary of imported, ignored, migrated, and rejected entries.</w:t>
      </w:r>
    </w:p>
    <w:p>
      <w:pPr>
        <w:pStyle w:val="Heading2"/>
      </w:pPr>
      <w:r>
        <w:t>8.3 Release Compatibility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E87512"/>
          </w:tcPr>
          <w:p>
            <w:r>
              <w:rPr>
                <w:sz w:val="18"/>
              </w:rPr>
            </w:r>
            <w:r>
              <w:rPr>
                <w:b/>
                <w:color w:val="FFFFFF"/>
                <w:sz w:val="18"/>
              </w:rPr>
              <w:t>Artifact</w:t>
            </w:r>
          </w:p>
        </w:tc>
        <w:tc>
          <w:tcPr>
            <w:tcW w:type="dxa" w:w="7632"/>
            <w:vAlign w:val="center"/>
            <w:shd w:fill="E87512"/>
          </w:tcPr>
          <w:p>
            <w:r>
              <w:rPr>
                <w:sz w:val="18"/>
              </w:rPr>
            </w:r>
            <w:r>
              <w:rPr>
                <w:b/>
                <w:color w:val="FFFFFF"/>
                <w:sz w:val="18"/>
              </w:rPr>
              <w:t>Independent versioning rule</w:t>
            </w:r>
          </w:p>
        </w:tc>
      </w:tr>
      <w:tr>
        <w:tc>
          <w:tcPr>
            <w:tcW w:type="dxa" w:w="2592"/>
            <w:vAlign w:val="center"/>
            <w:shd w:fill="F7F3EE"/>
          </w:tcPr>
          <w:p>
            <w:r>
              <w:rPr>
                <w:sz w:val="18"/>
              </w:rPr>
            </w:r>
            <w:r>
              <w:rPr>
                <w:b w:val="0"/>
                <w:sz w:val="17"/>
              </w:rPr>
              <w:t>FenceboundCAD</w:t>
            </w:r>
          </w:p>
        </w:tc>
        <w:tc>
          <w:tcPr>
            <w:tcW w:type="dxa" w:w="7632"/>
            <w:vAlign w:val="center"/>
            <w:shd w:fill="F7F3EE"/>
          </w:tcPr>
          <w:p>
            <w:r>
              <w:rPr>
                <w:sz w:val="18"/>
              </w:rPr>
            </w:r>
            <w:r>
              <w:rPr>
                <w:b w:val="0"/>
                <w:sz w:val="17"/>
              </w:rPr>
              <w:t>Semantic product version such as 5.3.</w:t>
            </w:r>
          </w:p>
        </w:tc>
      </w:tr>
      <w:tr>
        <w:tc>
          <w:tcPr>
            <w:tcW w:type="dxa" w:w="2592"/>
            <w:vAlign w:val="center"/>
          </w:tcPr>
          <w:p>
            <w:r>
              <w:rPr>
                <w:sz w:val="18"/>
              </w:rPr>
            </w:r>
            <w:r>
              <w:rPr>
                <w:b w:val="0"/>
                <w:sz w:val="17"/>
              </w:rPr>
              <w:t>Rate Card</w:t>
            </w:r>
          </w:p>
        </w:tc>
        <w:tc>
          <w:tcPr>
            <w:tcW w:type="dxa" w:w="7632"/>
            <w:vAlign w:val="center"/>
          </w:tcPr>
          <w:p>
            <w:r>
              <w:rPr>
                <w:sz w:val="18"/>
              </w:rPr>
            </w:r>
            <w:r>
              <w:rPr>
                <w:b w:val="0"/>
                <w:sz w:val="17"/>
              </w:rPr>
              <w:t>Independent product version; must list compatible CAD and pricing schema.</w:t>
            </w:r>
          </w:p>
        </w:tc>
      </w:tr>
      <w:tr>
        <w:tc>
          <w:tcPr>
            <w:tcW w:type="dxa" w:w="2592"/>
            <w:vAlign w:val="center"/>
            <w:shd w:fill="F7F3EE"/>
          </w:tcPr>
          <w:p>
            <w:r>
              <w:rPr>
                <w:sz w:val="18"/>
              </w:rPr>
            </w:r>
            <w:r>
              <w:rPr>
                <w:b w:val="0"/>
                <w:sz w:val="17"/>
              </w:rPr>
              <w:t>FenceScraper</w:t>
            </w:r>
          </w:p>
        </w:tc>
        <w:tc>
          <w:tcPr>
            <w:tcW w:type="dxa" w:w="7632"/>
            <w:vAlign w:val="center"/>
            <w:shd w:fill="F7F3EE"/>
          </w:tcPr>
          <w:p>
            <w:r>
              <w:rPr>
                <w:sz w:val="18"/>
              </w:rPr>
            </w:r>
            <w:r>
              <w:rPr>
                <w:b w:val="0"/>
                <w:sz w:val="17"/>
              </w:rPr>
              <w:t>Independent product version.</w:t>
            </w:r>
          </w:p>
        </w:tc>
      </w:tr>
      <w:tr>
        <w:tc>
          <w:tcPr>
            <w:tcW w:type="dxa" w:w="2592"/>
            <w:vAlign w:val="center"/>
          </w:tcPr>
          <w:p>
            <w:r>
              <w:rPr>
                <w:sz w:val="18"/>
              </w:rPr>
            </w:r>
            <w:r>
              <w:rPr>
                <w:b w:val="0"/>
                <w:sz w:val="17"/>
              </w:rPr>
              <w:t>Pricing dataset</w:t>
            </w:r>
          </w:p>
        </w:tc>
        <w:tc>
          <w:tcPr>
            <w:tcW w:type="dxa" w:w="7632"/>
            <w:vAlign w:val="center"/>
          </w:tcPr>
          <w:p>
            <w:r>
              <w:rPr>
                <w:sz w:val="18"/>
              </w:rPr>
            </w:r>
            <w:r>
              <w:rPr>
                <w:b w:val="0"/>
                <w:sz w:val="17"/>
              </w:rPr>
              <w:t>Schema version plus owner-assigned dataset revision/date.</w:t>
            </w:r>
          </w:p>
        </w:tc>
      </w:tr>
      <w:tr>
        <w:tc>
          <w:tcPr>
            <w:tcW w:type="dxa" w:w="2592"/>
            <w:vAlign w:val="center"/>
            <w:shd w:fill="F7F3EE"/>
          </w:tcPr>
          <w:p>
            <w:r>
              <w:rPr>
                <w:sz w:val="18"/>
              </w:rPr>
            </w:r>
            <w:r>
              <w:rPr>
                <w:b w:val="0"/>
                <w:sz w:val="17"/>
              </w:rPr>
              <w:t>Client Guide</w:t>
            </w:r>
          </w:p>
        </w:tc>
        <w:tc>
          <w:tcPr>
            <w:tcW w:type="dxa" w:w="7632"/>
            <w:vAlign w:val="center"/>
            <w:shd w:fill="F7F3EE"/>
          </w:tcPr>
          <w:p>
            <w:r>
              <w:rPr>
                <w:sz w:val="18"/>
              </w:rPr>
            </w:r>
            <w:r>
              <w:rPr>
                <w:b w:val="0"/>
                <w:sz w:val="17"/>
              </w:rPr>
              <w:t>Generated artifact revision tied to engine and dataset.</w:t>
            </w:r>
          </w:p>
        </w:tc>
      </w:tr>
      <w:tr>
        <w:tc>
          <w:tcPr>
            <w:tcW w:type="dxa" w:w="2592"/>
            <w:vAlign w:val="center"/>
          </w:tcPr>
          <w:p>
            <w:r>
              <w:rPr>
                <w:sz w:val="18"/>
              </w:rPr>
            </w:r>
            <w:r>
              <w:rPr>
                <w:b w:val="0"/>
                <w:sz w:val="17"/>
              </w:rPr>
              <w:t>DevBible</w:t>
            </w:r>
          </w:p>
        </w:tc>
        <w:tc>
          <w:tcPr>
            <w:tcW w:type="dxa" w:w="7632"/>
            <w:vAlign w:val="center"/>
          </w:tcPr>
          <w:p>
            <w:r>
              <w:rPr>
                <w:sz w:val="18"/>
              </w:rPr>
            </w:r>
            <w:r>
              <w:rPr>
                <w:b w:val="0"/>
                <w:sz w:val="17"/>
              </w:rPr>
              <w:t>Sequential document revision, currently Revision 19.</w:t>
            </w:r>
          </w:p>
        </w:tc>
      </w:tr>
    </w:tbl>
    <w:p/>
    <w:p>
      <w:r/>
    </w:p>
    <w:p>
      <w:pPr>
        <w:pStyle w:val="Heading2"/>
      </w:pPr>
      <w:r>
        <w:t>8.4 Interoperability Order of Operations</w:t>
      </w:r>
    </w:p>
    <w:p>
      <w:pPr/>
      <w:r>
        <w:t>Interoperability work follows the order below unless field evidence justifies an ADR that changes 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E87512"/>
          </w:tcPr>
          <w:p>
            <w:r>
              <w:rPr>
                <w:sz w:val="18"/>
              </w:rPr>
              <w:t>Order</w:t>
            </w:r>
          </w:p>
        </w:tc>
        <w:tc>
          <w:tcPr>
            <w:tcW w:type="dxa" w:w="2160"/>
            <w:vAlign w:val="center"/>
            <w:shd w:fill="E87512"/>
          </w:tcPr>
          <w:p>
            <w:r>
              <w:rPr>
                <w:sz w:val="18"/>
              </w:rPr>
              <w:t>Target</w:t>
            </w:r>
          </w:p>
        </w:tc>
        <w:tc>
          <w:tcPr>
            <w:tcW w:type="dxa" w:w="5760"/>
            <w:vAlign w:val="center"/>
            <w:shd w:fill="E87512"/>
          </w:tcPr>
          <w:p>
            <w:r>
              <w:rPr>
                <w:sz w:val="18"/>
              </w:rPr>
              <w:t>Acceptance direction</w:t>
            </w:r>
          </w:p>
        </w:tc>
      </w:tr>
      <w:tr>
        <w:tc>
          <w:tcPr>
            <w:tcW w:type="dxa" w:w="3408"/>
          </w:tcPr>
          <w:p>
            <w:r>
              <w:rPr>
                <w:sz w:val="18"/>
              </w:rPr>
              <w:t>1</w:t>
            </w:r>
          </w:p>
        </w:tc>
        <w:tc>
          <w:tcPr>
            <w:tcW w:type="dxa" w:w="3408"/>
          </w:tcPr>
          <w:p>
            <w:r>
              <w:rPr>
                <w:sz w:val="18"/>
              </w:rPr>
              <w:t>Professional PDF output</w:t>
            </w:r>
          </w:p>
        </w:tc>
        <w:tc>
          <w:tcPr>
            <w:tcW w:type="dxa" w:w="3408"/>
          </w:tcPr>
          <w:p>
            <w:r>
              <w:rPr>
                <w:sz w:val="18"/>
              </w:rPr>
              <w:t>Produce distinct client proposal, commercial scope exhibit, and installer packet classes from the same live job state.</w:t>
            </w:r>
          </w:p>
        </w:tc>
      </w:tr>
      <w:tr>
        <w:tc>
          <w:tcPr>
            <w:tcW w:type="dxa" w:w="3408"/>
          </w:tcPr>
          <w:p>
            <w:r>
              <w:rPr>
                <w:sz w:val="18"/>
              </w:rPr>
              <w:t>2</w:t>
            </w:r>
          </w:p>
        </w:tc>
        <w:tc>
          <w:tcPr>
            <w:tcW w:type="dxa" w:w="3408"/>
          </w:tcPr>
          <w:p>
            <w:r>
              <w:rPr>
                <w:sz w:val="18"/>
              </w:rPr>
              <w:t>PDF or plan-image underlay with calibration</w:t>
            </w:r>
          </w:p>
        </w:tc>
        <w:tc>
          <w:tcPr>
            <w:tcW w:type="dxa" w:w="3408"/>
          </w:tcPr>
          <w:p>
            <w:r>
              <w:rPr>
                <w:sz w:val="18"/>
              </w:rPr>
              <w:t>Import a source page, preserve aspect ratio, calibrate with two known points, show calibrated/un-calibrated status, trace scope, and retain source metadata.</w:t>
            </w:r>
          </w:p>
        </w:tc>
      </w:tr>
      <w:tr>
        <w:tc>
          <w:tcPr>
            <w:tcW w:type="dxa" w:w="3408"/>
          </w:tcPr>
          <w:p>
            <w:r>
              <w:rPr>
                <w:sz w:val="18"/>
              </w:rPr>
              <w:t>3</w:t>
            </w:r>
          </w:p>
        </w:tc>
        <w:tc>
          <w:tcPr>
            <w:tcW w:type="dxa" w:w="3408"/>
          </w:tcPr>
          <w:p>
            <w:r>
              <w:rPr>
                <w:sz w:val="18"/>
              </w:rPr>
              <w:t>CSV and structured quantity export</w:t>
            </w:r>
          </w:p>
        </w:tc>
        <w:tc>
          <w:tcPr>
            <w:tcW w:type="dxa" w:w="3408"/>
          </w:tcPr>
          <w:p>
            <w:r>
              <w:rPr>
                <w:sz w:val="18"/>
              </w:rPr>
              <w:t>Export footage, gates, posts, assemblies, materials, labor, costs, sell price, phase, alternate, sheet reference, and notes.</w:t>
            </w:r>
          </w:p>
        </w:tc>
      </w:tr>
      <w:tr>
        <w:tc>
          <w:tcPr>
            <w:tcW w:type="dxa" w:w="3408"/>
          </w:tcPr>
          <w:p>
            <w:r>
              <w:rPr>
                <w:sz w:val="18"/>
              </w:rPr>
              <w:t>4</w:t>
            </w:r>
          </w:p>
        </w:tc>
        <w:tc>
          <w:tcPr>
            <w:tcW w:type="dxa" w:w="3408"/>
          </w:tcPr>
          <w:p>
            <w:r>
              <w:rPr>
                <w:sz w:val="18"/>
              </w:rPr>
              <w:t>Markup-compatible PDF behavior</w:t>
            </w:r>
          </w:p>
        </w:tc>
        <w:tc>
          <w:tcPr>
            <w:tcW w:type="dxa" w:w="3408"/>
          </w:tcPr>
          <w:p>
            <w:r>
              <w:rPr>
                <w:sz w:val="18"/>
              </w:rPr>
              <w:t>Prefer vector geometry and selectable text where practical; use predictable page sizes, line weights, embedded fonts, legends, manageable file size, and no fragile transparency tricks.</w:t>
            </w:r>
          </w:p>
        </w:tc>
      </w:tr>
      <w:tr>
        <w:tc>
          <w:tcPr>
            <w:tcW w:type="dxa" w:w="3408"/>
          </w:tcPr>
          <w:p>
            <w:r>
              <w:rPr>
                <w:sz w:val="18"/>
              </w:rPr>
              <w:t>5</w:t>
            </w:r>
          </w:p>
        </w:tc>
        <w:tc>
          <w:tcPr>
            <w:tcW w:type="dxa" w:w="3408"/>
          </w:tcPr>
          <w:p>
            <w:r>
              <w:rPr>
                <w:sz w:val="18"/>
              </w:rPr>
              <w:t>Restrained DXF export</w:t>
            </w:r>
          </w:p>
        </w:tc>
        <w:tc>
          <w:tcPr>
            <w:tcW w:type="dxa" w:w="3408"/>
          </w:tcPr>
          <w:p>
            <w:r>
              <w:rPr>
                <w:sz w:val="18"/>
              </w:rPr>
              <w:t>Export clean basic geometry, text, units, and deliberately small layer vocabulary after the internal object model is stable.</w:t>
            </w:r>
          </w:p>
        </w:tc>
      </w:tr>
      <w:tr>
        <w:tc>
          <w:tcPr>
            <w:tcW w:type="dxa" w:w="3408"/>
          </w:tcPr>
          <w:p>
            <w:r>
              <w:rPr>
                <w:sz w:val="18"/>
              </w:rPr>
              <w:t>6</w:t>
            </w:r>
          </w:p>
        </w:tc>
        <w:tc>
          <w:tcPr>
            <w:tcW w:type="dxa" w:w="3408"/>
          </w:tcPr>
          <w:p>
            <w:r>
              <w:rPr>
                <w:sz w:val="18"/>
              </w:rPr>
              <w:t>Selective DXF import</w:t>
            </w:r>
          </w:p>
        </w:tc>
        <w:tc>
          <w:tcPr>
            <w:tcW w:type="dxa" w:w="3408"/>
          </w:tcPr>
          <w:p>
            <w:r>
              <w:rPr>
                <w:sz w:val="18"/>
              </w:rPr>
              <w:t>Consider only after export and plan-underlay workflows mature; outside CAD geometry is noisy and must not corrupt the job model.</w:t>
            </w:r>
          </w:p>
        </w:tc>
      </w:tr>
      <w:tr>
        <w:tc>
          <w:tcPr>
            <w:tcW w:type="dxa" w:w="3408"/>
          </w:tcPr>
          <w:p>
            <w:r>
              <w:rPr>
                <w:sz w:val="18"/>
              </w:rPr>
              <w:t>7</w:t>
            </w:r>
          </w:p>
        </w:tc>
        <w:tc>
          <w:tcPr>
            <w:tcW w:type="dxa" w:w="3408"/>
          </w:tcPr>
          <w:p>
            <w:r>
              <w:rPr>
                <w:sz w:val="18"/>
              </w:rPr>
              <w:t>Native proprietary exchange</w:t>
            </w:r>
          </w:p>
        </w:tc>
        <w:tc>
          <w:tcPr>
            <w:tcW w:type="dxa" w:w="3408"/>
          </w:tcPr>
          <w:p>
            <w:r>
              <w:rPr>
                <w:sz w:val="18"/>
              </w:rPr>
              <w:t>Bluebeam-specific tools, full DWG fidelity, and general document-management formats remain low priority.</w:t>
            </w:r>
          </w:p>
        </w:tc>
      </w:tr>
    </w:tbl>
    <w:p>
      <w:pPr>
        <w:pStyle w:val="Heading3"/>
      </w:pPr>
      <w:r>
        <w:t>CALIBRATION SAFETY</w:t>
      </w:r>
    </w:p>
    <w:p>
      <w:pPr>
        <w:pStyle w:val="ListBullet"/>
      </w:pPr>
      <w:r>
        <w:t>Calibration is stored per source page; multiple viewports may be considered later.</w:t>
      </w:r>
    </w:p>
    <w:p>
      <w:pPr>
        <w:pStyle w:val="ListBullet"/>
      </w:pPr>
      <w:r>
        <w:t>The application must visibly distinguish calibrated, uncalibrated, and invalidated states.</w:t>
      </w:r>
    </w:p>
    <w:p>
      <w:pPr>
        <w:pStyle w:val="ListBullet"/>
      </w:pPr>
      <w:r>
        <w:t>Resizing or replacing an underlay must warn that measurements may no longer be valid.</w:t>
      </w:r>
    </w:p>
    <w:p>
      <w:pPr>
        <w:pStyle w:val="ListBullet"/>
      </w:pPr>
      <w:r>
        <w:t>No plan trace may be represented as survey accuracy. Exports should carry an appropriate scale statement and field-verification note.</w:t>
      </w:r>
    </w:p>
    <w:p>
      <w:pPr>
        <w:pStyle w:val="ListBullet"/>
      </w:pPr>
      <w:r>
        <w:t>The original source sheet name, page label, revision, and import date remain attached to the job.</w:t>
      </w:r>
    </w:p>
    <w:p>
      <w:pPr>
        <w:pStyle w:val="Heading1"/>
      </w:pPr>
      <w:r>
        <w:t>9. Technical Debt Register</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008"/>
            <w:vAlign w:val="center"/>
            <w:shd w:fill="E87512"/>
          </w:tcPr>
          <w:p>
            <w:r>
              <w:rPr>
                <w:sz w:val="18"/>
              </w:rPr>
            </w:r>
            <w:r>
              <w:rPr>
                <w:b/>
                <w:color w:val="FFFFFF"/>
                <w:sz w:val="18"/>
              </w:rPr>
              <w:t>ID</w:t>
            </w:r>
          </w:p>
        </w:tc>
        <w:tc>
          <w:tcPr>
            <w:tcW w:type="dxa" w:w="792"/>
            <w:vAlign w:val="center"/>
            <w:shd w:fill="E87512"/>
          </w:tcPr>
          <w:p>
            <w:r>
              <w:rPr>
                <w:sz w:val="18"/>
              </w:rPr>
            </w:r>
            <w:r>
              <w:rPr>
                <w:b/>
                <w:color w:val="FFFFFF"/>
                <w:sz w:val="18"/>
              </w:rPr>
              <w:t>Priority</w:t>
            </w:r>
          </w:p>
        </w:tc>
        <w:tc>
          <w:tcPr>
            <w:tcW w:type="dxa" w:w="1656"/>
            <w:vAlign w:val="center"/>
            <w:shd w:fill="E87512"/>
          </w:tcPr>
          <w:p>
            <w:r>
              <w:rPr>
                <w:sz w:val="18"/>
              </w:rPr>
            </w:r>
            <w:r>
              <w:rPr>
                <w:b/>
                <w:color w:val="FFFFFF"/>
                <w:sz w:val="18"/>
              </w:rPr>
              <w:t>Area</w:t>
            </w:r>
          </w:p>
        </w:tc>
        <w:tc>
          <w:tcPr>
            <w:tcW w:type="dxa" w:w="4320"/>
            <w:vAlign w:val="center"/>
            <w:shd w:fill="E87512"/>
          </w:tcPr>
          <w:p>
            <w:r>
              <w:rPr>
                <w:sz w:val="18"/>
              </w:rPr>
            </w:r>
            <w:r>
              <w:rPr>
                <w:b/>
                <w:color w:val="FFFFFF"/>
                <w:sz w:val="18"/>
              </w:rPr>
              <w:t>Finding</w:t>
            </w:r>
          </w:p>
        </w:tc>
        <w:tc>
          <w:tcPr>
            <w:tcW w:type="dxa" w:w="3744"/>
            <w:vAlign w:val="center"/>
            <w:shd w:fill="E87512"/>
          </w:tcPr>
          <w:p>
            <w:r>
              <w:rPr>
                <w:sz w:val="18"/>
              </w:rPr>
            </w:r>
            <w:r>
              <w:rPr>
                <w:b/>
                <w:color w:val="FFFFFF"/>
                <w:sz w:val="18"/>
              </w:rPr>
              <w:t>Acceptance condition</w:t>
            </w:r>
          </w:p>
        </w:tc>
      </w:tr>
      <w:tr>
        <w:tc>
          <w:tcPr>
            <w:tcW w:type="dxa" w:w="1008"/>
            <w:vAlign w:val="center"/>
            <w:shd w:fill="F7F3EE"/>
          </w:tcPr>
          <w:p>
            <w:r>
              <w:rPr>
                <w:sz w:val="18"/>
              </w:rPr>
            </w:r>
            <w:r>
              <w:rPr>
                <w:b w:val="0"/>
                <w:sz w:val="17"/>
              </w:rPr>
              <w:t>TD-001</w:t>
            </w:r>
          </w:p>
        </w:tc>
        <w:tc>
          <w:tcPr>
            <w:tcW w:type="dxa" w:w="792"/>
            <w:vAlign w:val="center"/>
            <w:shd w:fill="F7F3EE"/>
          </w:tcPr>
          <w:p>
            <w:r>
              <w:rPr>
                <w:sz w:val="18"/>
              </w:rPr>
            </w:r>
            <w:r>
              <w:rPr>
                <w:b w:val="0"/>
                <w:sz w:val="17"/>
              </w:rPr>
              <w:t>P0</w:t>
            </w:r>
          </w:p>
        </w:tc>
        <w:tc>
          <w:tcPr>
            <w:tcW w:type="dxa" w:w="1656"/>
            <w:vAlign w:val="center"/>
            <w:shd w:fill="F7F3EE"/>
          </w:tcPr>
          <w:p>
            <w:r>
              <w:rPr>
                <w:sz w:val="18"/>
              </w:rPr>
            </w:r>
            <w:r>
              <w:rPr>
                <w:b w:val="0"/>
                <w:sz w:val="17"/>
              </w:rPr>
              <w:t>Pricing integration</w:t>
            </w:r>
          </w:p>
        </w:tc>
        <w:tc>
          <w:tcPr>
            <w:tcW w:type="dxa" w:w="4320"/>
            <w:vAlign w:val="center"/>
            <w:shd w:fill="F7F3EE"/>
          </w:tcPr>
          <w:p>
            <w:r>
              <w:rPr>
                <w:sz w:val="18"/>
              </w:rPr>
            </w:r>
            <w:r>
              <w:rPr>
                <w:b w:val="0"/>
                <w:sz w:val="17"/>
              </w:rPr>
              <w:t>CAD and Rate Card price schemas are incompatible.</w:t>
            </w:r>
          </w:p>
        </w:tc>
        <w:tc>
          <w:tcPr>
            <w:tcW w:type="dxa" w:w="3744"/>
            <w:vAlign w:val="center"/>
            <w:shd w:fill="F7F3EE"/>
          </w:tcPr>
          <w:p>
            <w:r>
              <w:rPr>
                <w:sz w:val="18"/>
              </w:rPr>
            </w:r>
            <w:r>
              <w:rPr>
                <w:b w:val="0"/>
                <w:sz w:val="17"/>
              </w:rPr>
              <w:t>Round-trip export/import tests pass both directions without data loss.</w:t>
            </w:r>
          </w:p>
        </w:tc>
      </w:tr>
      <w:tr>
        <w:tc>
          <w:tcPr>
            <w:tcW w:type="dxa" w:w="1008"/>
            <w:vAlign w:val="center"/>
          </w:tcPr>
          <w:p>
            <w:r>
              <w:rPr>
                <w:sz w:val="18"/>
              </w:rPr>
            </w:r>
            <w:r>
              <w:rPr>
                <w:b w:val="0"/>
                <w:sz w:val="17"/>
              </w:rPr>
              <w:t>TD-002</w:t>
            </w:r>
          </w:p>
        </w:tc>
        <w:tc>
          <w:tcPr>
            <w:tcW w:type="dxa" w:w="792"/>
            <w:vAlign w:val="center"/>
          </w:tcPr>
          <w:p>
            <w:r>
              <w:rPr>
                <w:sz w:val="18"/>
              </w:rPr>
            </w:r>
            <w:r>
              <w:rPr>
                <w:b w:val="0"/>
                <w:sz w:val="17"/>
              </w:rPr>
              <w:t>P0</w:t>
            </w:r>
          </w:p>
        </w:tc>
        <w:tc>
          <w:tcPr>
            <w:tcW w:type="dxa" w:w="1656"/>
            <w:vAlign w:val="center"/>
          </w:tcPr>
          <w:p>
            <w:r>
              <w:rPr>
                <w:sz w:val="18"/>
              </w:rPr>
            </w:r>
            <w:r>
              <w:rPr>
                <w:b w:val="0"/>
                <w:sz w:val="17"/>
              </w:rPr>
              <w:t>Rate Card</w:t>
            </w:r>
          </w:p>
        </w:tc>
        <w:tc>
          <w:tcPr>
            <w:tcW w:type="dxa" w:w="4320"/>
            <w:vAlign w:val="center"/>
          </w:tcPr>
          <w:p>
            <w:r>
              <w:rPr>
                <w:sz w:val="18"/>
              </w:rPr>
            </w:r>
            <w:r>
              <w:rPr>
                <w:b w:val="0"/>
                <w:sz w:val="17"/>
              </w:rPr>
              <w:t>Rate Card reflects v5.2-era taxonomy/BOM and omits v5.3 changes.</w:t>
            </w:r>
          </w:p>
        </w:tc>
        <w:tc>
          <w:tcPr>
            <w:tcW w:type="dxa" w:w="3744"/>
            <w:vAlign w:val="center"/>
          </w:tcPr>
          <w:p>
            <w:r>
              <w:rPr>
                <w:sz w:val="18"/>
              </w:rPr>
            </w:r>
            <w:r>
              <w:rPr>
                <w:b w:val="0"/>
                <w:sz w:val="17"/>
              </w:rPr>
              <w:t>Every current CAD fence type and BOM branch has a matching tested rate-card fixture.</w:t>
            </w:r>
          </w:p>
        </w:tc>
      </w:tr>
      <w:tr>
        <w:tc>
          <w:tcPr>
            <w:tcW w:type="dxa" w:w="1008"/>
            <w:vAlign w:val="center"/>
            <w:shd w:fill="F7F3EE"/>
          </w:tcPr>
          <w:p>
            <w:r>
              <w:rPr>
                <w:sz w:val="18"/>
              </w:rPr>
            </w:r>
            <w:r>
              <w:rPr>
                <w:b w:val="0"/>
                <w:sz w:val="17"/>
              </w:rPr>
              <w:t>TD-003</w:t>
            </w:r>
          </w:p>
        </w:tc>
        <w:tc>
          <w:tcPr>
            <w:tcW w:type="dxa" w:w="792"/>
            <w:vAlign w:val="center"/>
            <w:shd w:fill="F7F3EE"/>
          </w:tcPr>
          <w:p>
            <w:r>
              <w:rPr>
                <w:sz w:val="18"/>
              </w:rPr>
            </w:r>
            <w:r>
              <w:rPr>
                <w:b w:val="0"/>
                <w:sz w:val="17"/>
              </w:rPr>
              <w:t>P0</w:t>
            </w:r>
          </w:p>
        </w:tc>
        <w:tc>
          <w:tcPr>
            <w:tcW w:type="dxa" w:w="1656"/>
            <w:vAlign w:val="center"/>
            <w:shd w:fill="F7F3EE"/>
          </w:tcPr>
          <w:p>
            <w:r>
              <w:rPr>
                <w:sz w:val="18"/>
              </w:rPr>
            </w:r>
            <w:r>
              <w:rPr>
                <w:b w:val="0"/>
                <w:sz w:val="17"/>
              </w:rPr>
              <w:t>Quote safety</w:t>
            </w:r>
          </w:p>
        </w:tc>
        <w:tc>
          <w:tcPr>
            <w:tcW w:type="dxa" w:w="4320"/>
            <w:vAlign w:val="center"/>
            <w:shd w:fill="F7F3EE"/>
          </w:tcPr>
          <w:p>
            <w:r>
              <w:rPr>
                <w:sz w:val="18"/>
              </w:rPr>
            </w:r>
            <w:r>
              <w:rPr>
                <w:b w:val="0"/>
                <w:sz w:val="17"/>
              </w:rPr>
              <w:t>Missing or zero required costs can yield polished totals.</w:t>
            </w:r>
          </w:p>
        </w:tc>
        <w:tc>
          <w:tcPr>
            <w:tcW w:type="dxa" w:w="3744"/>
            <w:vAlign w:val="center"/>
            <w:shd w:fill="F7F3EE"/>
          </w:tcPr>
          <w:p>
            <w:r>
              <w:rPr>
                <w:sz w:val="18"/>
              </w:rPr>
            </w:r>
            <w:r>
              <w:rPr>
                <w:b w:val="0"/>
                <w:sz w:val="17"/>
              </w:rPr>
              <w:t>Quote generation blocks or prominently warns with itemized missing data.</w:t>
            </w:r>
          </w:p>
        </w:tc>
      </w:tr>
      <w:tr>
        <w:tc>
          <w:tcPr>
            <w:tcW w:type="dxa" w:w="1008"/>
            <w:vAlign w:val="center"/>
          </w:tcPr>
          <w:p>
            <w:r>
              <w:rPr>
                <w:sz w:val="18"/>
              </w:rPr>
            </w:r>
            <w:r>
              <w:rPr>
                <w:b w:val="0"/>
                <w:sz w:val="17"/>
              </w:rPr>
              <w:t>TD-004</w:t>
            </w:r>
          </w:p>
        </w:tc>
        <w:tc>
          <w:tcPr>
            <w:tcW w:type="dxa" w:w="792"/>
            <w:vAlign w:val="center"/>
          </w:tcPr>
          <w:p>
            <w:r>
              <w:rPr>
                <w:sz w:val="18"/>
              </w:rPr>
            </w:r>
            <w:r>
              <w:rPr>
                <w:b w:val="0"/>
                <w:sz w:val="17"/>
              </w:rPr>
              <w:t>P0</w:t>
            </w:r>
          </w:p>
        </w:tc>
        <w:tc>
          <w:tcPr>
            <w:tcW w:type="dxa" w:w="1656"/>
            <w:vAlign w:val="center"/>
          </w:tcPr>
          <w:p>
            <w:r>
              <w:rPr>
                <w:sz w:val="18"/>
              </w:rPr>
            </w:r>
            <w:r>
              <w:rPr>
                <w:b w:val="0"/>
                <w:sz w:val="17"/>
              </w:rPr>
              <w:t>Client pricing</w:t>
            </w:r>
          </w:p>
        </w:tc>
        <w:tc>
          <w:tcPr>
            <w:tcW w:type="dxa" w:w="4320"/>
            <w:vAlign w:val="center"/>
          </w:tcPr>
          <w:p>
            <w:r>
              <w:rPr>
                <w:sz w:val="18"/>
              </w:rPr>
            </w:r>
            <w:r>
              <w:rPr>
                <w:b w:val="0"/>
                <w:sz w:val="17"/>
              </w:rPr>
              <w:t>Static guide conflicts with engine outputs.</w:t>
            </w:r>
          </w:p>
        </w:tc>
        <w:tc>
          <w:tcPr>
            <w:tcW w:type="dxa" w:w="3744"/>
            <w:vAlign w:val="center"/>
          </w:tcPr>
          <w:p>
            <w:r>
              <w:rPr>
                <w:sz w:val="18"/>
              </w:rPr>
            </w:r>
            <w:r>
              <w:rPr>
                <w:b w:val="0"/>
                <w:sz w:val="17"/>
              </w:rPr>
              <w:t>Guide generated from named engine/dataset revision.</w:t>
            </w:r>
          </w:p>
        </w:tc>
      </w:tr>
      <w:tr>
        <w:tc>
          <w:tcPr>
            <w:tcW w:type="dxa" w:w="1008"/>
            <w:vAlign w:val="center"/>
            <w:shd w:fill="F7F3EE"/>
          </w:tcPr>
          <w:p>
            <w:r>
              <w:rPr>
                <w:sz w:val="18"/>
              </w:rPr>
            </w:r>
            <w:r>
              <w:rPr>
                <w:b w:val="0"/>
                <w:sz w:val="17"/>
              </w:rPr>
              <w:t>TD-005</w:t>
            </w:r>
          </w:p>
        </w:tc>
        <w:tc>
          <w:tcPr>
            <w:tcW w:type="dxa" w:w="792"/>
            <w:vAlign w:val="center"/>
            <w:shd w:fill="F7F3EE"/>
          </w:tcPr>
          <w:p>
            <w:r>
              <w:t>Closed by architecture decision</w:t>
            </w:r>
          </w:p>
        </w:tc>
        <w:tc>
          <w:tcPr>
            <w:tcW w:type="dxa" w:w="1656"/>
            <w:vAlign w:val="center"/>
            <w:shd w:fill="F7F3EE"/>
          </w:tcPr>
          <w:p>
            <w:r>
              <w:t>FenceScraper</w:t>
            </w:r>
          </w:p>
        </w:tc>
        <w:tc>
          <w:tcPr>
            <w:tcW w:type="dxa" w:w="4320"/>
            <w:vAlign w:val="center"/>
            <w:shd w:fill="F7F3EE"/>
          </w:tcPr>
          <w:p>
            <w:r>
              <w:t>Legacy implementation couples discovery to an unauthenticated Anthropic browser request and exposed browser-held key.</w:t>
            </w:r>
          </w:p>
        </w:tc>
        <w:tc>
          <w:tcPr>
            <w:tcW w:type="dxa" w:w="3744"/>
            <w:vAlign w:val="center"/>
            <w:shd w:fill="F7F3EE"/>
          </w:tcPr>
          <w:p>
            <w:r>
              <w:t>Superseded by ADR-008 in Revision 23. Core discovery will use deterministic source connectors and require no LLM key; removal/replacement occurs during Level 1 implementation.</w:t>
            </w:r>
          </w:p>
        </w:tc>
      </w:tr>
      <w:tr>
        <w:tc>
          <w:tcPr>
            <w:tcW w:type="dxa" w:w="1008"/>
            <w:vAlign w:val="center"/>
          </w:tcPr>
          <w:p>
            <w:r>
              <w:rPr>
                <w:sz w:val="18"/>
              </w:rPr>
              <w:t>TD-006</w:t>
            </w:r>
          </w:p>
        </w:tc>
        <w:tc>
          <w:tcPr>
            <w:tcW w:type="dxa" w:w="792"/>
            <w:vAlign w:val="center"/>
          </w:tcPr>
          <w:p>
            <w:r>
              <w:rPr>
                <w:sz w:val="18"/>
              </w:rPr>
              <w:t>Closed in FenceScraper v2.1</w:t>
            </w:r>
          </w:p>
        </w:tc>
        <w:tc>
          <w:tcPr>
            <w:tcW w:type="dxa" w:w="1656"/>
            <w:vAlign w:val="center"/>
          </w:tcPr>
          <w:p>
            <w:r>
              <w:rPr>
                <w:sz w:val="18"/>
              </w:rPr>
              <w:t>FenceScraper security</w:t>
            </w:r>
          </w:p>
        </w:tc>
        <w:tc>
          <w:tcPr>
            <w:tcW w:type="dxa" w:w="4320"/>
            <w:vAlign w:val="center"/>
          </w:tcPr>
          <w:p>
            <w:r>
              <w:rPr>
                <w:sz w:val="18"/>
              </w:rPr>
              <w:t>Resolved: external bid fields and log messages are no longer inserted through HTML interpolation.</w:t>
            </w:r>
          </w:p>
        </w:tc>
        <w:tc>
          <w:tcPr>
            <w:tcW w:type="dxa" w:w="3744"/>
            <w:vAlign w:val="center"/>
          </w:tcPr>
          <w:p>
            <w:r>
              <w:rPr>
                <w:sz w:val="18"/>
              </w:rPr>
              <w:t>Verified in source: untrusted values use textContent/DOM construction; outbound bid URLs are restricted to HTTP/HTTPS and opened with noopener/noreferrer.</w:t>
            </w:r>
          </w:p>
        </w:tc>
      </w:tr>
      <w:tr>
        <w:tc>
          <w:tcPr>
            <w:tcW w:type="dxa" w:w="1008"/>
            <w:vAlign w:val="center"/>
            <w:shd w:fill="F7F3EE"/>
          </w:tcPr>
          <w:p>
            <w:r>
              <w:rPr>
                <w:sz w:val="18"/>
              </w:rPr>
            </w:r>
            <w:r>
              <w:rPr>
                <w:b w:val="0"/>
                <w:sz w:val="17"/>
              </w:rPr>
              <w:t>TD-007</w:t>
            </w:r>
          </w:p>
        </w:tc>
        <w:tc>
          <w:tcPr>
            <w:tcW w:type="dxa" w:w="792"/>
            <w:vAlign w:val="center"/>
            <w:shd w:fill="F7F3EE"/>
          </w:tcPr>
          <w:p>
            <w:r>
              <w:rPr>
                <w:sz w:val="18"/>
              </w:rPr>
              <w:t>Closed in FenceScraper v2.2</w:t>
            </w:r>
          </w:p>
        </w:tc>
        <w:tc>
          <w:tcPr>
            <w:tcW w:type="dxa" w:w="1656"/>
            <w:vAlign w:val="center"/>
            <w:shd w:fill="F7F3EE"/>
          </w:tcPr>
          <w:p>
            <w:r>
              <w:rPr>
                <w:sz w:val="18"/>
              </w:rPr>
            </w:r>
            <w:r>
              <w:rPr>
                <w:b w:val="0"/>
                <w:sz w:val="17"/>
              </w:rPr>
              <w:t>FenceScraper reliability</w:t>
            </w:r>
          </w:p>
        </w:tc>
        <w:tc>
          <w:tcPr>
            <w:tcW w:type="dxa" w:w="4320"/>
            <w:vAlign w:val="center"/>
            <w:shd w:fill="F7F3EE"/>
          </w:tcPr>
          <w:p>
            <w:r>
              <w:rPr>
                <w:sz w:val="18"/>
              </w:rPr>
              <w:t>Resolved: enabled sources run concurrently; stalled requests time out; one failed source no longer blocks or cancels the others; NC IPS responses are structurally validated.</w:t>
            </w:r>
          </w:p>
        </w:tc>
        <w:tc>
          <w:tcPr>
            <w:tcW w:type="dxa" w:w="3744"/>
            <w:vAlign w:val="center"/>
            <w:shd w:fill="F7F3EE"/>
          </w:tcPr>
          <w:p>
            <w:r>
              <w:rPr>
                <w:sz w:val="18"/>
              </w:rPr>
              <w:t>Verified in source: Promise.allSettled orchestration, AbortController timeouts, source-specific failure logging, HTTP checks, JSON guards, and solicitation-table validation.</w:t>
            </w:r>
          </w:p>
        </w:tc>
      </w:tr>
      <w:tr>
        <w:tc>
          <w:tcPr>
            <w:tcW w:type="dxa" w:w="1008"/>
            <w:vAlign w:val="center"/>
          </w:tcPr>
          <w:p>
            <w:r>
              <w:rPr>
                <w:sz w:val="18"/>
              </w:rPr>
            </w:r>
            <w:r>
              <w:rPr>
                <w:b w:val="0"/>
                <w:sz w:val="17"/>
              </w:rPr>
              <w:t>TD-008</w:t>
            </w:r>
          </w:p>
        </w:tc>
        <w:tc>
          <w:tcPr>
            <w:tcW w:type="dxa" w:w="792"/>
            <w:vAlign w:val="center"/>
          </w:tcPr>
          <w:p>
            <w:r>
              <w:rPr>
                <w:sz w:val="18"/>
              </w:rPr>
            </w:r>
            <w:r>
              <w:rPr>
                <w:b w:val="0"/>
                <w:sz w:val="17"/>
              </w:rPr>
              <w:t>P1</w:t>
            </w:r>
          </w:p>
        </w:tc>
        <w:tc>
          <w:tcPr>
            <w:tcW w:type="dxa" w:w="1656"/>
            <w:vAlign w:val="center"/>
          </w:tcPr>
          <w:p>
            <w:r>
              <w:rPr>
                <w:sz w:val="18"/>
              </w:rPr>
            </w:r>
            <w:r>
              <w:rPr>
                <w:b w:val="0"/>
                <w:sz w:val="17"/>
              </w:rPr>
              <w:t>Testing</w:t>
            </w:r>
          </w:p>
        </w:tc>
        <w:tc>
          <w:tcPr>
            <w:tcW w:type="dxa" w:w="4320"/>
            <w:vAlign w:val="center"/>
          </w:tcPr>
          <w:p>
            <w:r>
              <w:rPr>
                <w:sz w:val="18"/>
              </w:rPr>
            </w:r>
            <w:r>
              <w:rPr>
                <w:b w:val="0"/>
                <w:sz w:val="17"/>
              </w:rPr>
              <w:t>No automated calculation, migration, or round-trip suite.</w:t>
            </w:r>
          </w:p>
        </w:tc>
        <w:tc>
          <w:tcPr>
            <w:tcW w:type="dxa" w:w="3744"/>
            <w:vAlign w:val="center"/>
          </w:tcPr>
          <w:p>
            <w:r>
              <w:rPr>
                <w:sz w:val="18"/>
              </w:rPr>
            </w:r>
            <w:r>
              <w:rPr>
                <w:b w:val="0"/>
                <w:sz w:val="17"/>
              </w:rPr>
              <w:t>Fixtures cover all fence types, gates, site conditions, imports, and representative saved jobs.</w:t>
            </w:r>
          </w:p>
        </w:tc>
      </w:tr>
      <w:tr>
        <w:tc>
          <w:tcPr>
            <w:tcW w:type="dxa" w:w="1008"/>
            <w:vAlign w:val="center"/>
            <w:shd w:fill="F7F3EE"/>
          </w:tcPr>
          <w:p>
            <w:r>
              <w:rPr>
                <w:sz w:val="18"/>
              </w:rPr>
            </w:r>
            <w:r>
              <w:rPr>
                <w:b w:val="0"/>
                <w:sz w:val="17"/>
              </w:rPr>
              <w:t>TD-009</w:t>
            </w:r>
          </w:p>
        </w:tc>
        <w:tc>
          <w:tcPr>
            <w:tcW w:type="dxa" w:w="792"/>
            <w:vAlign w:val="center"/>
            <w:shd w:fill="F7F3EE"/>
          </w:tcPr>
          <w:p>
            <w:r>
              <w:rPr>
                <w:sz w:val="18"/>
              </w:rPr>
            </w:r>
            <w:r>
              <w:rPr>
                <w:b w:val="0"/>
                <w:sz w:val="17"/>
              </w:rPr>
              <w:t>P2</w:t>
            </w:r>
          </w:p>
        </w:tc>
        <w:tc>
          <w:tcPr>
            <w:tcW w:type="dxa" w:w="1656"/>
            <w:vAlign w:val="center"/>
            <w:shd w:fill="F7F3EE"/>
          </w:tcPr>
          <w:p>
            <w:r>
              <w:rPr>
                <w:sz w:val="18"/>
              </w:rPr>
            </w:r>
            <w:r>
              <w:rPr>
                <w:b w:val="0"/>
                <w:sz w:val="17"/>
              </w:rPr>
              <w:t>Offline PDF</w:t>
            </w:r>
          </w:p>
        </w:tc>
        <w:tc>
          <w:tcPr>
            <w:tcW w:type="dxa" w:w="4320"/>
            <w:vAlign w:val="center"/>
            <w:shd w:fill="F7F3EE"/>
          </w:tcPr>
          <w:p>
            <w:r>
              <w:rPr>
                <w:sz w:val="18"/>
              </w:rPr>
            </w:r>
            <w:r>
              <w:rPr>
                <w:b w:val="0"/>
                <w:sz w:val="17"/>
              </w:rPr>
              <w:t>jsPDF CDN prevents guaranteed offline PDF.</w:t>
            </w:r>
          </w:p>
        </w:tc>
        <w:tc>
          <w:tcPr>
            <w:tcW w:type="dxa" w:w="3744"/>
            <w:vAlign w:val="center"/>
            <w:shd w:fill="F7F3EE"/>
          </w:tcPr>
          <w:p>
            <w:r>
              <w:rPr>
                <w:sz w:val="18"/>
              </w:rPr>
            </w:r>
            <w:r>
              <w:rPr>
                <w:b w:val="0"/>
                <w:sz w:val="17"/>
              </w:rPr>
              <w:t>Chosen approach documented: embedded library, service worker cache, or accepted limitation with visible failure.</w:t>
            </w:r>
          </w:p>
        </w:tc>
      </w:tr>
      <w:tr>
        <w:tc>
          <w:tcPr>
            <w:tcW w:type="dxa" w:w="1008"/>
            <w:vAlign w:val="center"/>
          </w:tcPr>
          <w:p>
            <w:r>
              <w:rPr>
                <w:sz w:val="18"/>
              </w:rPr>
            </w:r>
            <w:r>
              <w:rPr>
                <w:b w:val="0"/>
                <w:sz w:val="17"/>
              </w:rPr>
              <w:t>TD-010</w:t>
            </w:r>
          </w:p>
        </w:tc>
        <w:tc>
          <w:tcPr>
            <w:tcW w:type="dxa" w:w="792"/>
            <w:vAlign w:val="center"/>
          </w:tcPr>
          <w:p>
            <w:r>
              <w:rPr>
                <w:sz w:val="18"/>
              </w:rPr>
            </w:r>
            <w:r>
              <w:rPr>
                <w:b w:val="0"/>
                <w:sz w:val="17"/>
              </w:rPr>
              <w:t>P2</w:t>
            </w:r>
          </w:p>
        </w:tc>
        <w:tc>
          <w:tcPr>
            <w:tcW w:type="dxa" w:w="1656"/>
            <w:vAlign w:val="center"/>
          </w:tcPr>
          <w:p>
            <w:r>
              <w:rPr>
                <w:sz w:val="18"/>
              </w:rPr>
            </w:r>
            <w:r>
              <w:rPr>
                <w:b w:val="0"/>
                <w:sz w:val="17"/>
              </w:rPr>
              <w:t>Documentation</w:t>
            </w:r>
          </w:p>
        </w:tc>
        <w:tc>
          <w:tcPr>
            <w:tcW w:type="dxa" w:w="4320"/>
            <w:vAlign w:val="center"/>
          </w:tcPr>
          <w:p>
            <w:r>
              <w:rPr>
                <w:sz w:val="18"/>
              </w:rPr>
            </w:r>
            <w:r>
              <w:rPr>
                <w:b w:val="0"/>
                <w:sz w:val="17"/>
              </w:rPr>
              <w:t>Legacy narrative and current specification were interleaved.</w:t>
            </w:r>
          </w:p>
        </w:tc>
        <w:tc>
          <w:tcPr>
            <w:tcW w:type="dxa" w:w="3744"/>
            <w:vAlign w:val="center"/>
          </w:tcPr>
          <w:p>
            <w:r>
              <w:t>Revision 25 remains current; release notes move to archive.</w:t>
            </w:r>
          </w:p>
        </w:tc>
      </w:tr>
      <w:tr>
        <w:tc>
          <w:tcPr>
            <w:tcW w:type="dxa" w:w="1008"/>
            <w:vAlign w:val="center"/>
            <w:shd w:fill="F7F3EE"/>
          </w:tcPr>
          <w:p>
            <w:r>
              <w:rPr>
                <w:sz w:val="18"/>
              </w:rPr>
            </w:r>
            <w:r>
              <w:rPr>
                <w:b w:val="0"/>
                <w:sz w:val="17"/>
              </w:rPr>
              <w:t>TD-011</w:t>
            </w:r>
          </w:p>
        </w:tc>
        <w:tc>
          <w:tcPr>
            <w:tcW w:type="dxa" w:w="792"/>
            <w:vAlign w:val="center"/>
            <w:shd w:fill="F7F3EE"/>
          </w:tcPr>
          <w:p>
            <w:r>
              <w:rPr>
                <w:sz w:val="18"/>
              </w:rPr>
              <w:t>Closed in v5.3.1</w:t>
            </w:r>
          </w:p>
        </w:tc>
        <w:tc>
          <w:tcPr>
            <w:tcW w:type="dxa" w:w="1656"/>
            <w:vAlign w:val="center"/>
            <w:shd w:fill="F7F3EE"/>
          </w:tcPr>
          <w:p>
            <w:r>
              <w:rPr>
                <w:sz w:val="18"/>
              </w:rPr>
            </w:r>
            <w:r>
              <w:rPr>
                <w:b w:val="0"/>
                <w:sz w:val="17"/>
              </w:rPr>
              <w:t>Resource cleanup</w:t>
            </w:r>
          </w:p>
        </w:tc>
        <w:tc>
          <w:tcPr>
            <w:tcW w:type="dxa" w:w="4320"/>
            <w:vAlign w:val="center"/>
            <w:shd w:fill="F7F3EE"/>
          </w:tcPr>
          <w:p>
            <w:r>
              <w:rPr>
                <w:sz w:val="18"/>
              </w:rPr>
              <w:t>Resolved: the cost-price JSON export now revokes its generated object URL after the download trigger.</w:t>
            </w:r>
          </w:p>
        </w:tc>
        <w:tc>
          <w:tcPr>
            <w:tcW w:type="dxa" w:w="3744"/>
            <w:vAlign w:val="center"/>
            <w:shd w:fill="F7F3EE"/>
          </w:tcPr>
          <w:p>
            <w:r>
              <w:rPr>
                <w:sz w:val="18"/>
              </w:rPr>
              <w:t>Verified in source: every current createObjectURL path in CAD and Rate Card has a paired revokeObjectURL call.</w:t>
            </w:r>
          </w:p>
        </w:tc>
      </w:tr>
      <w:tr>
        <w:tc>
          <w:tcPr>
            <w:tcW w:type="dxa" w:w="1008"/>
            <w:vAlign w:val="center"/>
          </w:tcPr>
          <w:p>
            <w:r>
              <w:rPr>
                <w:sz w:val="18"/>
              </w:rPr>
            </w:r>
            <w:r>
              <w:rPr>
                <w:b w:val="0"/>
                <w:sz w:val="17"/>
              </w:rPr>
              <w:t>TD-012</w:t>
            </w:r>
          </w:p>
        </w:tc>
        <w:tc>
          <w:tcPr>
            <w:tcW w:type="dxa" w:w="792"/>
            <w:vAlign w:val="center"/>
          </w:tcPr>
          <w:p>
            <w:r>
              <w:rPr>
                <w:sz w:val="18"/>
              </w:rPr>
            </w:r>
            <w:r>
              <w:rPr>
                <w:b w:val="0"/>
                <w:sz w:val="17"/>
              </w:rPr>
              <w:t>P3</w:t>
            </w:r>
          </w:p>
        </w:tc>
        <w:tc>
          <w:tcPr>
            <w:tcW w:type="dxa" w:w="1656"/>
            <w:vAlign w:val="center"/>
          </w:tcPr>
          <w:p>
            <w:r>
              <w:rPr>
                <w:sz w:val="18"/>
              </w:rPr>
            </w:r>
            <w:r>
              <w:rPr>
                <w:b w:val="0"/>
                <w:sz w:val="17"/>
              </w:rPr>
              <w:t>Apple Pencil</w:t>
            </w:r>
          </w:p>
        </w:tc>
        <w:tc>
          <w:tcPr>
            <w:tcW w:type="dxa" w:w="4320"/>
            <w:vAlign w:val="center"/>
          </w:tcPr>
          <w:p>
            <w:r>
              <w:rPr>
                <w:sz w:val="18"/>
              </w:rPr>
            </w:r>
            <w:r>
              <w:rPr>
                <w:b w:val="0"/>
                <w:sz w:val="17"/>
              </w:rPr>
              <w:t>Workflow not fully tested on target newer hardware.</w:t>
            </w:r>
          </w:p>
        </w:tc>
        <w:tc>
          <w:tcPr>
            <w:tcW w:type="dxa" w:w="3744"/>
            <w:vAlign w:val="center"/>
          </w:tcPr>
          <w:p>
            <w:r>
              <w:rPr>
                <w:sz w:val="18"/>
              </w:rPr>
            </w:r>
            <w:r>
              <w:rPr>
                <w:b w:val="0"/>
                <w:sz w:val="17"/>
              </w:rPr>
              <w:t>Documented device test pass with known limitations.</w:t>
            </w:r>
          </w:p>
        </w:tc>
      </w:tr>
      <w:tr>
        <w:tc>
          <w:tcPr>
            <w:tcW w:type="dxa" w:w="2045"/>
          </w:tcPr>
          <w:p>
            <w:r>
              <w:rPr>
                <w:sz w:val="18"/>
              </w:rPr>
              <w:t>TD-013</w:t>
            </w:r>
          </w:p>
        </w:tc>
        <w:tc>
          <w:tcPr>
            <w:tcW w:type="dxa" w:w="2045"/>
          </w:tcPr>
          <w:p>
            <w:r>
              <w:rPr>
                <w:sz w:val="18"/>
              </w:rPr>
              <w:t>P1</w:t>
            </w:r>
          </w:p>
        </w:tc>
        <w:tc>
          <w:tcPr>
            <w:tcW w:type="dxa" w:w="2045"/>
          </w:tcPr>
          <w:p>
            <w:r>
              <w:rPr>
                <w:sz w:val="18"/>
              </w:rPr>
              <w:t>Export architecture</w:t>
            </w:r>
          </w:p>
        </w:tc>
        <w:tc>
          <w:tcPr>
            <w:tcW w:type="dxa" w:w="2045"/>
          </w:tcPr>
          <w:p>
            <w:r>
              <w:rPr>
                <w:sz w:val="18"/>
              </w:rPr>
              <w:t>Current PDF output is not separated into intentional proposal, scope-exhibit, and installer-document classes.</w:t>
            </w:r>
          </w:p>
        </w:tc>
        <w:tc>
          <w:tcPr>
            <w:tcW w:type="dxa" w:w="2045"/>
          </w:tcPr>
          <w:p>
            <w:r>
              <w:rPr>
                <w:sz w:val="18"/>
              </w:rPr>
              <w:t>All three document classes derive from live job state and pass visual and calculation-consistency fixtures.</w:t>
            </w:r>
          </w:p>
        </w:tc>
      </w:tr>
      <w:tr>
        <w:tc>
          <w:tcPr>
            <w:tcW w:type="dxa" w:w="2045"/>
          </w:tcPr>
          <w:p>
            <w:r>
              <w:rPr>
                <w:sz w:val="18"/>
              </w:rPr>
              <w:t>TD-014</w:t>
            </w:r>
          </w:p>
        </w:tc>
        <w:tc>
          <w:tcPr>
            <w:tcW w:type="dxa" w:w="2045"/>
          </w:tcPr>
          <w:p>
            <w:r>
              <w:rPr>
                <w:sz w:val="18"/>
              </w:rPr>
              <w:t>P2</w:t>
            </w:r>
          </w:p>
        </w:tc>
        <w:tc>
          <w:tcPr>
            <w:tcW w:type="dxa" w:w="2045"/>
          </w:tcPr>
          <w:p>
            <w:r>
              <w:rPr>
                <w:sz w:val="18"/>
              </w:rPr>
              <w:t>Commercial plan takeoff</w:t>
            </w:r>
          </w:p>
        </w:tc>
        <w:tc>
          <w:tcPr>
            <w:tcW w:type="dxa" w:w="2045"/>
          </w:tcPr>
          <w:p>
            <w:r>
              <w:rPr>
                <w:sz w:val="18"/>
              </w:rPr>
              <w:t>No imported PDF/image underlay with two-point calibration and source metadata exists.</w:t>
            </w:r>
          </w:p>
        </w:tc>
        <w:tc>
          <w:tcPr>
            <w:tcW w:type="dxa" w:w="2045"/>
          </w:tcPr>
          <w:p>
            <w:r>
              <w:rPr>
                <w:sz w:val="18"/>
              </w:rPr>
              <w:t>A representative plan page can be imported, calibrated, traced, saved, reloaded, and exported without scale or metadata drift.</w:t>
            </w:r>
          </w:p>
        </w:tc>
      </w:tr>
      <w:tr>
        <w:tc>
          <w:tcPr>
            <w:tcW w:type="dxa" w:w="2045"/>
          </w:tcPr>
          <w:p>
            <w:r>
              <w:rPr>
                <w:sz w:val="18"/>
              </w:rPr>
              <w:t>TD-015</w:t>
            </w:r>
          </w:p>
        </w:tc>
        <w:tc>
          <w:tcPr>
            <w:tcW w:type="dxa" w:w="2045"/>
          </w:tcPr>
          <w:p>
            <w:r>
              <w:rPr>
                <w:sz w:val="18"/>
              </w:rPr>
              <w:t>P2</w:t>
            </w:r>
          </w:p>
        </w:tc>
        <w:tc>
          <w:tcPr>
            <w:tcW w:type="dxa" w:w="2045"/>
          </w:tcPr>
          <w:p>
            <w:r>
              <w:rPr>
                <w:sz w:val="18"/>
              </w:rPr>
              <w:t>Commercial metadata</w:t>
            </w:r>
          </w:p>
        </w:tc>
        <w:tc>
          <w:tcPr>
            <w:tcW w:type="dxa" w:w="2045"/>
          </w:tcPr>
          <w:p>
            <w:r>
              <w:rPr>
                <w:sz w:val="18"/>
              </w:rPr>
              <w:t>Current element contracts do not carry sheet, revision, scope class, alternate, phase, or stable gate schedule identifiers.</w:t>
            </w:r>
          </w:p>
        </w:tc>
        <w:tc>
          <w:tcPr>
            <w:tcW w:type="dxa" w:w="2045"/>
          </w:tcPr>
          <w:p>
            <w:r>
              <w:rPr>
                <w:sz w:val="18"/>
              </w:rPr>
              <w:t>Versioned job schema stores and migrates the target metadata without changing existing BOM behavior.</w:t>
            </w:r>
          </w:p>
        </w:tc>
      </w:tr>
      <w:tr>
        <w:tc>
          <w:tcPr>
            <w:tcW w:type="dxa" w:w="2045"/>
          </w:tcPr>
          <w:p>
            <w:r>
              <w:rPr>
                <w:sz w:val="18"/>
              </w:rPr>
              <w:t>TD-016</w:t>
            </w:r>
          </w:p>
        </w:tc>
        <w:tc>
          <w:tcPr>
            <w:tcW w:type="dxa" w:w="2045"/>
          </w:tcPr>
          <w:p>
            <w:r>
              <w:rPr>
                <w:sz w:val="18"/>
              </w:rPr>
              <w:t>P2</w:t>
            </w:r>
          </w:p>
        </w:tc>
        <w:tc>
          <w:tcPr>
            <w:tcW w:type="dxa" w:w="2045"/>
          </w:tcPr>
          <w:p>
            <w:r>
              <w:rPr>
                <w:sz w:val="18"/>
              </w:rPr>
              <w:t>Revision control</w:t>
            </w:r>
          </w:p>
        </w:tc>
        <w:tc>
          <w:tcPr>
            <w:tcW w:type="dxa" w:w="2045"/>
          </w:tcPr>
          <w:p>
            <w:r>
              <w:rPr>
                <w:sz w:val="18"/>
              </w:rPr>
              <w:t>No object-level comparison reports added, removed, or modified fence scope.</w:t>
            </w:r>
          </w:p>
        </w:tc>
        <w:tc>
          <w:tcPr>
            <w:tcW w:type="dxa" w:w="2045"/>
          </w:tcPr>
          <w:p>
            <w:r>
              <w:rPr>
                <w:sz w:val="18"/>
              </w:rPr>
              <w:t>Two saved scope revisions produce an auditable summary of footage, system, gate, and classification changes.</w:t>
            </w:r>
          </w:p>
        </w:tc>
      </w:tr>
      <w:tr>
        <w:tc>
          <w:tcPr>
            <w:tcW w:type="dxa" w:w="2045"/>
          </w:tcPr>
          <w:p>
            <w:r>
              <w:rPr>
                <w:sz w:val="18"/>
              </w:rPr>
              <w:t>TD-017</w:t>
            </w:r>
          </w:p>
        </w:tc>
        <w:tc>
          <w:tcPr>
            <w:tcW w:type="dxa" w:w="2045"/>
          </w:tcPr>
          <w:p>
            <w:r>
              <w:rPr>
                <w:sz w:val="18"/>
              </w:rPr>
              <w:t>P2</w:t>
            </w:r>
          </w:p>
        </w:tc>
        <w:tc>
          <w:tcPr>
            <w:tcW w:type="dxa" w:w="2045"/>
          </w:tcPr>
          <w:p>
            <w:r>
              <w:rPr>
                <w:sz w:val="18"/>
              </w:rPr>
              <w:t>Structured export</w:t>
            </w:r>
          </w:p>
        </w:tc>
        <w:tc>
          <w:tcPr>
            <w:tcW w:type="dxa" w:w="2045"/>
          </w:tcPr>
          <w:p>
            <w:r>
              <w:rPr>
                <w:sz w:val="18"/>
              </w:rPr>
              <w:t>No canonical CSV takeoff export connects FenceBound quantities to estimating, supplier, and accounting workflows.</w:t>
            </w:r>
          </w:p>
        </w:tc>
        <w:tc>
          <w:tcPr>
            <w:tcW w:type="dxa" w:w="2045"/>
          </w:tcPr>
          <w:p>
            <w:r>
              <w:rPr>
                <w:sz w:val="18"/>
              </w:rPr>
              <w:t>CSV fixture exports deterministic rows and reconciles to visible BOM/pricing totals.</w:t>
            </w:r>
          </w:p>
        </w:tc>
      </w:tr>
      <w:tr>
        <w:tc>
          <w:tcPr>
            <w:tcW w:type="dxa" w:w="2045"/>
          </w:tcPr>
          <w:p>
            <w:r>
              <w:rPr>
                <w:sz w:val="18"/>
              </w:rPr>
              <w:t xml:space="preserve">TD-018</w:t>
            </w:r>
          </w:p>
        </w:tc>
        <w:tc>
          <w:tcPr>
            <w:tcW w:type="dxa" w:w="2045"/>
          </w:tcPr>
          <w:p>
            <w:r>
              <w:rPr>
                <w:sz w:val="18"/>
              </w:rPr>
              <w:t xml:space="preserve">Closed in FenceScraper v2.4</w:t>
            </w:r>
          </w:p>
        </w:tc>
        <w:tc>
          <w:tcPr>
            <w:tcW w:type="dxa" w:w="2045"/>
          </w:tcPr>
          <w:p>
            <w:r>
              <w:rPr>
                <w:sz w:val="18"/>
              </w:rPr>
              <w:t xml:space="preserve">FenceScraper bid-tab parsing</w:t>
            </w:r>
          </w:p>
        </w:tc>
        <w:tc>
          <w:tcPr>
            <w:tcW w:type="dxa" w:w="2045"/>
          </w:tcPr>
          <w:p>
            <w:r>
              <w:rPr>
                <w:sz w:val="18"/>
              </w:rPr>
              <w:t xml:space="preserve">Resolved: NCDOT bid-tab XLS files are headless and repeat contracts with more than three bidders across blocks; naive parsing double-counts jobs and drops bidders past the third.</w:t>
            </w:r>
          </w:p>
        </w:tc>
        <w:tc>
          <w:tcPr>
            <w:tcW w:type="dxa" w:w="2045"/>
          </w:tcPr>
          <w:p>
            <w:r>
              <w:rPr>
                <w:sz w:val="18"/>
              </w:rPr>
              <w:t xml:space="preserve">Verified in source: parser unions bidders across blocks by (let | contract | line); a gate against the real L260616 fixture confirms 2,700 item-rows collapse to 1,215 unique items and 6,851 price records, with the five-bidder STL BEAM GUARDRAIL line assembled on one record.</w:t>
            </w:r>
          </w:p>
        </w:tc>
      </w:tr>
      <w:tr>
        <w:tc>
          <w:tcPr>
            <w:tcW w:type="dxa" w:w="2045"/>
          </w:tcPr>
          <w:p>
            <w:r>
              <w:rPr>
                <w:sz w:val="18"/>
              </w:rPr>
              <w:t xml:space="preserve">TD-019</w:t>
            </w:r>
          </w:p>
        </w:tc>
        <w:tc>
          <w:tcPr>
            <w:tcW w:type="dxa" w:w="2045"/>
          </w:tcPr>
          <w:p>
            <w:r>
              <w:rPr>
                <w:sz w:val="18"/>
              </w:rPr>
              <w:t xml:space="preserve">Closed in FenceScraper v2.5</w:t>
            </w:r>
          </w:p>
        </w:tc>
        <w:tc>
          <w:tcPr>
            <w:tcW w:type="dxa" w:w="2045"/>
          </w:tcPr>
          <w:p>
            <w:r>
              <w:rPr>
                <w:sz w:val="18"/>
              </w:rPr>
              <w:t xml:space="preserve">FenceScraper county mapping</w:t>
            </w:r>
          </w:p>
        </w:tc>
        <w:tc>
          <w:tcPr>
            <w:tcW w:type="dxa" w:w="2045"/>
          </w:tcPr>
          <w:p>
            <w:r>
              <w:rPr>
                <w:sz w:val="18"/>
              </w:rPr>
              <w:t xml:space="preserve">Resolved: the county-to-NCDOT-division map covered only the seeded operating area, leaving most NC lets without a division.</w:t>
            </w:r>
          </w:p>
        </w:tc>
        <w:tc>
          <w:tcPr>
            <w:tcW w:type="dxa" w:w="2045"/>
          </w:tcPr>
          <w:p>
            <w:r>
              <w:rPr>
                <w:sz w:val="18"/>
              </w:rPr>
              <w:t xml:space="preserve">All 100 NC counties are source-verified against NCDOT primary references (County/Division/District Guide, cross-checked with the 2026-01-28 Division Traffic Engineer list); divisionForCounty returns verified:true for every county and {division:null} for unknown names — nothing is guessed. Two recall/seed errors were corrected against the source: Halifax (Division 4) and Richmond (Division 8). Gate asserts 100-county coverage, no duplicate assignment, and both corrections against regression.</w:t>
            </w:r>
          </w:p>
        </w:tc>
      </w:tr>
      <w:tr>
        <w:tc>
          <w:tcPr>
            <w:tcW w:type="dxa" w:w="2045"/>
          </w:tcPr>
          <w:p>
            <w:r>
              <w:rPr>
                <w:sz w:val="18"/>
              </w:rPr>
              <w:t xml:space="preserve">TD-020</w:t>
            </w:r>
          </w:p>
        </w:tc>
        <w:tc>
          <w:tcPr>
            <w:tcW w:type="dxa" w:w="2045"/>
          </w:tcPr>
          <w:p>
            <w:r>
              <w:rPr>
                <w:sz w:val="18"/>
              </w:rPr>
              <w:t xml:space="preserve">P2 (observed-market slice complete)</w:t>
            </w:r>
          </w:p>
        </w:tc>
        <w:tc>
          <w:tcPr>
            <w:tcW w:type="dxa" w:w="2045"/>
          </w:tcPr>
          <w:p>
            <w:r>
              <w:rPr>
                <w:sz w:val="18"/>
              </w:rPr>
              <w:t xml:space="preserve">FenceScraper benchmark view</w:t>
            </w:r>
          </w:p>
        </w:tc>
        <w:tc>
          <w:tcPr>
            <w:tcW w:type="dxa" w:w="2045"/>
          </w:tcPr>
          <w:p>
            <w:r>
              <w:rPr>
                <w:sz w:val="18"/>
              </w:rPr>
              <w:t xml:space="preserve">Competitor unit prices have no reference benchmark, and licensed RSMeans cost data is unavailable until the business license is active.</w:t>
            </w:r>
          </w:p>
        </w:tc>
        <w:tc>
          <w:tcPr>
            <w:tcW w:type="dxa" w:w="2045"/>
          </w:tcPr>
          <w:p>
            <w:r>
              <w:rPr>
                <w:sz w:val="18"/>
              </w:rPr>
              <w:t xml:space="preserve">Benchmark view renders the observed-market basis from live bid-tab records; the RSMeans basis is an optional provider that reports unavailable without fabricating prices (empty state renders a label, never $0); items align through a CSI MasterFormat crosswalk (flagged unverified until confirmed); a gate asserts no fabricated benchmark and a clean empty-state render. Remaining: wire the HTML view in FenceScraper, confirm CSI codes, and import a licensed RSMeans store.</w:t>
            </w:r>
          </w:p>
        </w:tc>
      </w:tr>
      <w:tr>
        <w:tc>
          <w:tcPr>
            <w:tcW w:type="dxa" w:w="2045"/>
          </w:tcPr>
          <w:p>
            <w:r>
              <w:rPr>
                <w:sz w:val="18"/>
              </w:rPr>
              <w:t xml:space="preserve">TD-021</w:t>
            </w:r>
          </w:p>
        </w:tc>
        <w:tc>
          <w:tcPr>
            <w:tcW w:type="dxa" w:w="2045"/>
          </w:tcPr>
          <w:p>
            <w:r>
              <w:rPr>
                <w:sz w:val="18"/>
              </w:rPr>
              <w:t xml:space="preserve">Closed in FenceScraper v2.5</w:t>
            </w:r>
          </w:p>
        </w:tc>
        <w:tc>
          <w:tcPr>
            <w:tcW w:type="dxa" w:w="2045"/>
          </w:tcPr>
          <w:p>
            <w:r>
              <w:rPr>
                <w:sz w:val="18"/>
              </w:rPr>
              <w:t xml:space="preserve">FenceScraper relevance scoring</w:t>
            </w:r>
          </w:p>
        </w:tc>
        <w:tc>
          <w:tcPr>
            <w:tcW w:type="dxa" w:w="2045"/>
          </w:tcPr>
          <w:p>
            <w:r>
              <w:rPr>
                <w:sz w:val="18"/>
              </w:rPr>
              <w:t xml:space="preserve">Resolved: substring relevance matching scored the term "gate" inside unrelated words such as "aggregate," inflating fence-relevance on non-fence items.</w:t>
            </w:r>
          </w:p>
        </w:tc>
        <w:tc>
          <w:tcPr>
            <w:tcW w:type="dxa" w:w="2045"/>
          </w:tcPr>
          <w:p>
            <w:r>
              <w:rPr>
                <w:sz w:val="18"/>
              </w:rPr>
              <w:t xml:space="preserve">Relevance terms now match on word boundaries. Verified by gate and a full-fixture diff: only the five AGGREGATE false positives dropped to zero, with no legitimate fence, guardrail, or gate item affected.</w:t>
            </w:r>
          </w:p>
        </w:tc>
      </w:tr>
    </w:tbl>
    <w:p/>
    <w:p>
      <w:r/>
    </w:p>
    <w:p>
      <w:pPr>
        <w:pStyle w:val="Heading1"/>
      </w:pPr>
      <w:r>
        <w:t>10. Current Known Issues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vAlign w:val="center"/>
            <w:shd w:fill="E87512"/>
          </w:tcPr>
          <w:p>
            <w:r>
              <w:rPr>
                <w:sz w:val="18"/>
              </w:rPr>
            </w:r>
            <w:r>
              <w:rPr>
                <w:b/>
                <w:color w:val="FFFFFF"/>
                <w:sz w:val="18"/>
              </w:rPr>
              <w:t>Issue</w:t>
            </w:r>
          </w:p>
        </w:tc>
        <w:tc>
          <w:tcPr>
            <w:tcW w:type="dxa" w:w="2160"/>
            <w:vAlign w:val="center"/>
            <w:shd w:fill="E87512"/>
          </w:tcPr>
          <w:p>
            <w:r>
              <w:rPr>
                <w:sz w:val="18"/>
              </w:rPr>
            </w:r>
            <w:r>
              <w:rPr>
                <w:b/>
                <w:color w:val="FFFFFF"/>
                <w:sz w:val="18"/>
              </w:rPr>
              <w:t>Status</w:t>
            </w:r>
          </w:p>
        </w:tc>
        <w:tc>
          <w:tcPr>
            <w:tcW w:type="dxa" w:w="5760"/>
            <w:vAlign w:val="center"/>
            <w:shd w:fill="E87512"/>
          </w:tcPr>
          <w:p>
            <w:r>
              <w:rPr>
                <w:sz w:val="18"/>
              </w:rPr>
            </w:r>
            <w:r>
              <w:rPr>
                <w:b/>
                <w:color w:val="FFFFFF"/>
                <w:sz w:val="18"/>
              </w:rPr>
              <w:t>Notes</w:t>
            </w:r>
          </w:p>
        </w:tc>
      </w:tr>
      <w:tr>
        <w:tc>
          <w:tcPr>
            <w:tcW w:type="dxa" w:w="3024"/>
            <w:vAlign w:val="center"/>
            <w:shd w:fill="F7F3EE"/>
          </w:tcPr>
          <w:p>
            <w:r>
              <w:rPr>
                <w:sz w:val="18"/>
              </w:rPr>
            </w:r>
            <w:r>
              <w:rPr>
                <w:b w:val="0"/>
                <w:sz w:val="17"/>
              </w:rPr>
              <w:t>localStorage-only jobs</w:t>
            </w:r>
          </w:p>
        </w:tc>
        <w:tc>
          <w:tcPr>
            <w:tcW w:type="dxa" w:w="2160"/>
            <w:vAlign w:val="center"/>
            <w:shd w:fill="F7F3EE"/>
          </w:tcPr>
          <w:p>
            <w:r>
              <w:rPr>
                <w:sz w:val="18"/>
              </w:rPr>
            </w:r>
            <w:r>
              <w:rPr>
                <w:b w:val="0"/>
                <w:sz w:val="17"/>
              </w:rPr>
              <w:t>Accepted limitation</w:t>
            </w:r>
          </w:p>
        </w:tc>
        <w:tc>
          <w:tcPr>
            <w:tcW w:type="dxa" w:w="5760"/>
            <w:vAlign w:val="center"/>
            <w:shd w:fill="F7F3EE"/>
          </w:tcPr>
          <w:p>
            <w:r>
              <w:rPr>
                <w:sz w:val="18"/>
              </w:rPr>
            </w:r>
            <w:r>
              <w:rPr>
                <w:b w:val="0"/>
                <w:sz w:val="17"/>
              </w:rPr>
              <w:t>No cross-device sync; backups and exports remain necessary.</w:t>
            </w:r>
          </w:p>
        </w:tc>
      </w:tr>
      <w:tr>
        <w:tc>
          <w:tcPr>
            <w:tcW w:type="dxa" w:w="3024"/>
            <w:vAlign w:val="center"/>
          </w:tcPr>
          <w:p>
            <w:r>
              <w:rPr>
                <w:sz w:val="18"/>
              </w:rPr>
            </w:r>
            <w:r>
              <w:rPr>
                <w:b w:val="0"/>
                <w:sz w:val="17"/>
              </w:rPr>
              <w:t>PDF offline dependency</w:t>
            </w:r>
          </w:p>
        </w:tc>
        <w:tc>
          <w:tcPr>
            <w:tcW w:type="dxa" w:w="2160"/>
            <w:vAlign w:val="center"/>
          </w:tcPr>
          <w:p>
            <w:r>
              <w:rPr>
                <w:sz w:val="18"/>
              </w:rPr>
            </w:r>
            <w:r>
              <w:rPr>
                <w:b w:val="0"/>
                <w:sz w:val="17"/>
              </w:rPr>
              <w:t>Accepted with improvement option</w:t>
            </w:r>
          </w:p>
        </w:tc>
        <w:tc>
          <w:tcPr>
            <w:tcW w:type="dxa" w:w="5760"/>
            <w:vAlign w:val="center"/>
          </w:tcPr>
          <w:p>
            <w:r>
              <w:rPr>
                <w:sz w:val="18"/>
              </w:rPr>
            </w:r>
            <w:r>
              <w:rPr>
                <w:b w:val="0"/>
                <w:sz w:val="17"/>
              </w:rPr>
              <w:t>PNG works offline; PDF requires available jsPDF unless caching/embedding changes.</w:t>
            </w:r>
          </w:p>
        </w:tc>
      </w:tr>
      <w:tr>
        <w:tc>
          <w:tcPr>
            <w:tcW w:type="dxa" w:w="3024"/>
            <w:vAlign w:val="center"/>
            <w:shd w:fill="F7F3EE"/>
          </w:tcPr>
          <w:p>
            <w:r>
              <w:rPr>
                <w:sz w:val="18"/>
              </w:rPr>
            </w:r>
            <w:r>
              <w:rPr>
                <w:b w:val="0"/>
                <w:sz w:val="17"/>
              </w:rPr>
              <w:t>Move with overlapping generated posts</w:t>
            </w:r>
          </w:p>
        </w:tc>
        <w:tc>
          <w:tcPr>
            <w:tcW w:type="dxa" w:w="2160"/>
            <w:vAlign w:val="center"/>
            <w:shd w:fill="F7F3EE"/>
          </w:tcPr>
          <w:p>
            <w:r>
              <w:rPr>
                <w:sz w:val="18"/>
              </w:rPr>
            </w:r>
            <w:r>
              <w:rPr>
                <w:b w:val="0"/>
                <w:sz w:val="17"/>
              </w:rPr>
              <w:t>Open, low priority</w:t>
            </w:r>
          </w:p>
        </w:tc>
        <w:tc>
          <w:tcPr>
            <w:tcW w:type="dxa" w:w="5760"/>
            <w:vAlign w:val="center"/>
            <w:shd w:fill="F7F3EE"/>
          </w:tcPr>
          <w:p>
            <w:r>
              <w:rPr>
                <w:sz w:val="18"/>
              </w:rPr>
            </w:r>
            <w:r>
              <w:rPr>
                <w:b w:val="0"/>
                <w:sz w:val="17"/>
              </w:rPr>
              <w:t>Shared-position behavior requires regression fixture before modification.</w:t>
            </w:r>
          </w:p>
        </w:tc>
      </w:tr>
      <w:tr>
        <w:tc>
          <w:tcPr>
            <w:tcW w:type="dxa" w:w="3024"/>
            <w:vAlign w:val="center"/>
          </w:tcPr>
          <w:p>
            <w:r>
              <w:rPr>
                <w:sz w:val="18"/>
              </w:rPr>
            </w:r>
            <w:r>
              <w:rPr>
                <w:b w:val="0"/>
                <w:sz w:val="17"/>
              </w:rPr>
              <w:t>Terrain slope percentage</w:t>
            </w:r>
          </w:p>
        </w:tc>
        <w:tc>
          <w:tcPr>
            <w:tcW w:type="dxa" w:w="2160"/>
            <w:vAlign w:val="center"/>
          </w:tcPr>
          <w:p>
            <w:r>
              <w:rPr>
                <w:sz w:val="18"/>
              </w:rPr>
              <w:t>Policy definition needed</w:t>
            </w:r>
          </w:p>
        </w:tc>
        <w:tc>
          <w:tcPr>
            <w:tcW w:type="dxa" w:w="5760"/>
            <w:vAlign w:val="center"/>
          </w:tcPr>
          <w:p>
            <w:r>
              <w:rPr>
                <w:sz w:val="18"/>
              </w:rPr>
              <w:t>Treat slope primarily as an installation/spec input. Price impact should be threshold-based for extreme conditions, not a continuous formula by default.</w:t>
            </w:r>
          </w:p>
        </w:tc>
      </w:tr>
      <w:tr>
        <w:tc>
          <w:tcPr>
            <w:tcW w:type="dxa" w:w="3024"/>
            <w:vAlign w:val="center"/>
            <w:shd w:fill="F7F3EE"/>
          </w:tcPr>
          <w:p>
            <w:r>
              <w:rPr>
                <w:sz w:val="18"/>
              </w:rPr>
            </w:r>
            <w:r>
              <w:rPr>
                <w:b w:val="0"/>
                <w:sz w:val="17"/>
              </w:rPr>
              <w:t>Post adder presentation</w:t>
            </w:r>
          </w:p>
        </w:tc>
        <w:tc>
          <w:tcPr>
            <w:tcW w:type="dxa" w:w="2160"/>
            <w:vAlign w:val="center"/>
            <w:shd w:fill="F7F3EE"/>
          </w:tcPr>
          <w:p>
            <w:r>
              <w:rPr>
                <w:sz w:val="18"/>
              </w:rPr>
            </w:r>
            <w:r>
              <w:rPr>
                <w:b w:val="0"/>
                <w:sz w:val="17"/>
              </w:rPr>
              <w:t>Presentation gap</w:t>
            </w:r>
          </w:p>
        </w:tc>
        <w:tc>
          <w:tcPr>
            <w:tcW w:type="dxa" w:w="5760"/>
            <w:vAlign w:val="center"/>
            <w:shd w:fill="F7F3EE"/>
          </w:tcPr>
          <w:p>
            <w:r>
              <w:rPr>
                <w:sz w:val="18"/>
              </w:rPr>
            </w:r>
            <w:r>
              <w:rPr>
                <w:b w:val="0"/>
                <w:sz w:val="17"/>
              </w:rPr>
              <w:t>Counts/materials exist; explicit customer-facing dollar lines may still be desired.</w:t>
            </w:r>
          </w:p>
        </w:tc>
      </w:tr>
      <w:tr>
        <w:tc>
          <w:tcPr>
            <w:tcW w:type="dxa" w:w="3024"/>
            <w:vAlign w:val="center"/>
          </w:tcPr>
          <w:p>
            <w:r>
              <w:rPr>
                <w:sz w:val="18"/>
              </w:rPr>
            </w:r>
            <w:r>
              <w:rPr>
                <w:b w:val="0"/>
                <w:sz w:val="17"/>
              </w:rPr>
              <w:t>Pricing values</w:t>
            </w:r>
          </w:p>
        </w:tc>
        <w:tc>
          <w:tcPr>
            <w:tcW w:type="dxa" w:w="2160"/>
            <w:vAlign w:val="center"/>
          </w:tcPr>
          <w:p>
            <w:r>
              <w:rPr>
                <w:sz w:val="18"/>
              </w:rPr>
            </w:r>
            <w:r>
              <w:rPr>
                <w:b w:val="0"/>
                <w:sz w:val="17"/>
              </w:rPr>
              <w:t>Provisional</w:t>
            </w:r>
          </w:p>
        </w:tc>
        <w:tc>
          <w:tcPr>
            <w:tcW w:type="dxa" w:w="5760"/>
            <w:vAlign w:val="center"/>
          </w:tcPr>
          <w:p>
            <w:r>
              <w:rPr>
                <w:sz w:val="18"/>
              </w:rPr>
            </w:r>
            <w:r>
              <w:rPr>
                <w:b w:val="0"/>
                <w:sz w:val="17"/>
              </w:rPr>
              <w:t>Not a software defect; blocked by commercial data access.</w:t>
            </w:r>
          </w:p>
        </w:tc>
      </w:tr>
      <w:tr>
        <w:tc>
          <w:tcPr>
            <w:tcW w:type="dxa" w:w="3024"/>
            <w:vAlign w:val="center"/>
            <w:shd w:fill="F7F3EE"/>
          </w:tcPr>
          <w:p>
            <w:r>
              <w:rPr>
                <w:sz w:val="18"/>
              </w:rPr>
            </w:r>
            <w:r>
              <w:rPr>
                <w:b w:val="0"/>
                <w:sz w:val="17"/>
              </w:rPr>
              <w:t>Rate Card/CAD synchronization</w:t>
            </w:r>
          </w:p>
        </w:tc>
        <w:tc>
          <w:tcPr>
            <w:tcW w:type="dxa" w:w="2160"/>
            <w:vAlign w:val="center"/>
            <w:shd w:fill="F7F3EE"/>
          </w:tcPr>
          <w:p>
            <w:r>
              <w:rPr>
                <w:sz w:val="18"/>
              </w:rPr>
            </w:r>
            <w:r>
              <w:rPr>
                <w:b w:val="0"/>
                <w:sz w:val="17"/>
              </w:rPr>
              <w:t>Open defect</w:t>
            </w:r>
          </w:p>
        </w:tc>
        <w:tc>
          <w:tcPr>
            <w:tcW w:type="dxa" w:w="5760"/>
            <w:vAlign w:val="center"/>
            <w:shd w:fill="F7F3EE"/>
          </w:tcPr>
          <w:p>
            <w:r>
              <w:rPr>
                <w:sz w:val="18"/>
              </w:rPr>
            </w:r>
            <w:r>
              <w:rPr>
                <w:b w:val="0"/>
                <w:sz w:val="17"/>
              </w:rPr>
              <w:t>Core integration promise currently invalid.</w:t>
            </w:r>
          </w:p>
        </w:tc>
      </w:tr>
      <w:tr>
        <w:tc>
          <w:tcPr>
            <w:tcW w:type="dxa" w:w="3024"/>
            <w:vAlign w:val="center"/>
          </w:tcPr>
          <w:p>
            <w:r>
              <w:rPr>
                <w:sz w:val="18"/>
              </w:rPr>
            </w:r>
            <w:r>
              <w:rPr>
                <w:b w:val="0"/>
                <w:sz w:val="17"/>
              </w:rPr>
              <w:t>FenceScraper source quality</w:t>
            </w:r>
          </w:p>
        </w:tc>
        <w:tc>
          <w:tcPr>
            <w:tcW w:type="dxa" w:w="2160"/>
            <w:vAlign w:val="center"/>
          </w:tcPr>
          <w:p>
            <w:r>
              <w:t>Structural limitation / architecture locked</w:t>
            </w:r>
          </w:p>
        </w:tc>
        <w:tc>
          <w:tcPr>
            <w:tcW w:type="dxa" w:w="5760"/>
            <w:vAlign w:val="center"/>
          </w:tcPr>
          <w:p>
            <w:r>
              <w:t>Prompt-based public search cannot equal dependable source access. Replace prompt-led discovery with deterministic source connectors, normalized records, validation, deduplication, and scoring. LLM use is optional enrichment only.</w:t>
            </w:r>
          </w:p>
        </w:tc>
      </w:tr>
      <w:tr>
        <w:tc>
          <w:tcPr>
            <w:tcW w:type="dxa" w:w="3408"/>
          </w:tcPr>
          <w:p>
            <w:r>
              <w:rPr>
                <w:sz w:val="18"/>
              </w:rPr>
              <w:t>Apple Pencil precision</w:t>
            </w:r>
          </w:p>
        </w:tc>
        <w:tc>
          <w:tcPr>
            <w:tcW w:type="dxa" w:w="3408"/>
          </w:tcPr>
          <w:p>
            <w:r>
              <w:rPr>
                <w:sz w:val="18"/>
              </w:rPr>
              <w:t>Optimization opportunity</w:t>
            </w:r>
          </w:p>
        </w:tc>
        <w:tc>
          <w:tcPr>
            <w:tcW w:type="dxa" w:w="3408"/>
          </w:tcPr>
          <w:p>
            <w:r>
              <w:rPr>
                <w:sz w:val="18"/>
              </w:rPr>
              <w:t>General support appears acceptable; pursue fine-tuning only if snap/placement precision still lags after grid/snap fixes.</w:t>
            </w:r>
          </w:p>
        </w:tc>
      </w:tr>
      <w:tr>
        <w:tc>
          <w:tcPr>
            <w:tcW w:type="dxa" w:w="3408"/>
          </w:tcPr>
          <w:p>
            <w:r>
              <w:rPr>
                <w:sz w:val="18"/>
              </w:rPr>
              <w:t>Commercial plan underlay</w:t>
            </w:r>
          </w:p>
        </w:tc>
        <w:tc>
          <w:tcPr>
            <w:tcW w:type="dxa" w:w="3408"/>
          </w:tcPr>
          <w:p>
            <w:r>
              <w:rPr>
                <w:sz w:val="18"/>
              </w:rPr>
              <w:t>Strategic capability not implemented</w:t>
            </w:r>
          </w:p>
        </w:tc>
        <w:tc>
          <w:tcPr>
            <w:tcW w:type="dxa" w:w="3408"/>
          </w:tcPr>
          <w:p>
            <w:r>
              <w:rPr>
                <w:sz w:val="18"/>
              </w:rPr>
              <w:t>Required for calibrated takeoff from GC plan sets; must follow stabilization and export professionalization.</w:t>
            </w:r>
          </w:p>
        </w:tc>
      </w:tr>
      <w:tr>
        <w:tc>
          <w:tcPr>
            <w:tcW w:type="dxa" w:w="3408"/>
          </w:tcPr>
          <w:p>
            <w:r>
              <w:rPr>
                <w:sz w:val="18"/>
              </w:rPr>
              <w:t>Commercial scope metadata</w:t>
            </w:r>
          </w:p>
        </w:tc>
        <w:tc>
          <w:tcPr>
            <w:tcW w:type="dxa" w:w="3408"/>
          </w:tcPr>
          <w:p>
            <w:r>
              <w:rPr>
                <w:sz w:val="18"/>
              </w:rPr>
              <w:t>Target contract not implemented</w:t>
            </w:r>
          </w:p>
        </w:tc>
        <w:tc>
          <w:tcPr>
            <w:tcW w:type="dxa" w:w="3408"/>
          </w:tcPr>
          <w:p>
            <w:r>
              <w:rPr>
                <w:sz w:val="18"/>
              </w:rPr>
              <w:t>Needed for sheet/revision lineage, alternates, demolition, by-others, unresolved scope, and object-level revision comparison.</w:t>
            </w:r>
          </w:p>
        </w:tc>
      </w:tr>
      <w:tr>
        <w:tc>
          <w:tcPr>
            <w:tcW w:type="dxa" w:w="3408"/>
          </w:tcPr>
          <w:p>
            <w:r>
              <w:rPr>
                <w:sz w:val="18"/>
              </w:rPr>
              <w:t>CSV takeoff export</w:t>
            </w:r>
          </w:p>
        </w:tc>
        <w:tc>
          <w:tcPr>
            <w:tcW w:type="dxa" w:w="3408"/>
          </w:tcPr>
          <w:p>
            <w:r>
              <w:rPr>
                <w:sz w:val="18"/>
              </w:rPr>
              <w:t>Open product gap</w:t>
            </w:r>
          </w:p>
        </w:tc>
        <w:tc>
          <w:tcPr>
            <w:tcW w:type="dxa" w:w="3408"/>
          </w:tcPr>
          <w:p>
            <w:r>
              <w:rPr>
                <w:sz w:val="18"/>
              </w:rPr>
              <w:t>Higher near-term interoperability value than DXF import.</w:t>
            </w:r>
          </w:p>
        </w:tc>
      </w:tr>
      <w:tr>
        <w:tc>
          <w:tcPr>
            <w:tcW w:type="dxa" w:w="3408"/>
          </w:tcPr>
          <w:p>
            <w:r>
              <w:t>FenceScraper provider-neutral intelligence interface</w:t>
            </w:r>
          </w:p>
        </w:tc>
        <w:tc>
          <w:tcPr>
            <w:tcW w:type="dxa" w:w="3408"/>
          </w:tcPr>
          <w:p>
            <w:r>
              <w:t>Punch list / future</w:t>
            </w:r>
          </w:p>
        </w:tc>
        <w:tc>
          <w:tcPr>
            <w:tcW w:type="dxa" w:w="3408"/>
          </w:tcPr>
          <w:p>
            <w:r>
              <w:t>Level 2. Define an optional intelligence-provider contract supporting rules, local models, or interchangeable remote providers without coupling core scanning to any vendor.</w:t>
            </w:r>
          </w:p>
        </w:tc>
      </w:tr>
    </w:tbl>
    <w:p/>
    <w:p>
      <w:pPr>
        <w:pStyle w:val="Heading2"/>
      </w:pPr>
      <w:r>
        <w:t>10.1 Completed but Previously Left on the Punch List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vAlign w:val="center"/>
            <w:shd w:fill="E87512"/>
          </w:tcPr>
          <w:p>
            <w:r>
              <w:rPr>
                <w:sz w:val="18"/>
              </w:rPr>
            </w:r>
            <w:r>
              <w:rPr>
                <w:b/>
                <w:color w:val="FFFFFF"/>
                <w:sz w:val="18"/>
              </w:rPr>
              <w:t>Item</w:t>
            </w:r>
          </w:p>
        </w:tc>
        <w:tc>
          <w:tcPr>
            <w:tcW w:type="dxa" w:w="6768"/>
            <w:vAlign w:val="center"/>
            <w:shd w:fill="E87512"/>
          </w:tcPr>
          <w:p>
            <w:r>
              <w:t>Revision 23 disposition</w:t>
            </w:r>
          </w:p>
        </w:tc>
      </w:tr>
      <w:tr>
        <w:tc>
          <w:tcPr>
            <w:tcW w:type="dxa" w:w="3600"/>
            <w:vAlign w:val="center"/>
            <w:shd w:fill="F7F3EE"/>
          </w:tcPr>
          <w:p>
            <w:r>
              <w:rPr>
                <w:sz w:val="18"/>
              </w:rPr>
            </w:r>
            <w:r>
              <w:rPr>
                <w:b w:val="0"/>
                <w:sz w:val="17"/>
              </w:rPr>
              <w:t>FenceScraper rebuild</w:t>
            </w:r>
          </w:p>
        </w:tc>
        <w:tc>
          <w:tcPr>
            <w:tcW w:type="dxa" w:w="6768"/>
            <w:vAlign w:val="center"/>
            <w:shd w:fill="F7F3EE"/>
          </w:tcPr>
          <w:p>
            <w:r>
              <w:rPr>
                <w:sz w:val="18"/>
              </w:rPr>
            </w:r>
            <w:r>
              <w:rPr>
                <w:b w:val="0"/>
                <w:sz w:val="17"/>
              </w:rPr>
              <w:t>Completed as v2 prototype; quality work remains.</w:t>
            </w:r>
          </w:p>
        </w:tc>
      </w:tr>
      <w:tr>
        <w:tc>
          <w:tcPr>
            <w:tcW w:type="dxa" w:w="3600"/>
            <w:vAlign w:val="center"/>
          </w:tcPr>
          <w:p>
            <w:r>
              <w:rPr>
                <w:sz w:val="18"/>
              </w:rPr>
            </w:r>
            <w:r>
              <w:rPr>
                <w:b w:val="0"/>
                <w:sz w:val="17"/>
              </w:rPr>
              <w:t>Terrain pricing wiring</w:t>
            </w:r>
          </w:p>
        </w:tc>
        <w:tc>
          <w:tcPr>
            <w:tcW w:type="dxa" w:w="6768"/>
            <w:vAlign w:val="center"/>
          </w:tcPr>
          <w:p>
            <w:r>
              <w:rPr>
                <w:sz w:val="18"/>
              </w:rPr>
            </w:r>
            <w:r>
              <w:rPr>
                <w:b w:val="0"/>
                <w:sz w:val="17"/>
              </w:rPr>
              <w:t>Implemented via pricing condition controls; percentage formula remains unresolved.</w:t>
            </w:r>
          </w:p>
        </w:tc>
      </w:tr>
      <w:tr>
        <w:tc>
          <w:tcPr>
            <w:tcW w:type="dxa" w:w="3600"/>
            <w:vAlign w:val="center"/>
            <w:shd w:fill="F7F3EE"/>
          </w:tcPr>
          <w:p>
            <w:r>
              <w:rPr>
                <w:sz w:val="18"/>
              </w:rPr>
            </w:r>
            <w:r>
              <w:rPr>
                <w:b w:val="0"/>
                <w:sz w:val="17"/>
              </w:rPr>
              <w:t>PWA icon/manifest</w:t>
            </w:r>
          </w:p>
        </w:tc>
        <w:tc>
          <w:tcPr>
            <w:tcW w:type="dxa" w:w="6768"/>
            <w:vAlign w:val="center"/>
            <w:shd w:fill="F7F3EE"/>
          </w:tcPr>
          <w:p>
            <w:r>
              <w:rPr>
                <w:sz w:val="18"/>
              </w:rPr>
            </w:r>
            <w:r>
              <w:rPr>
                <w:b w:val="0"/>
                <w:sz w:val="17"/>
              </w:rPr>
              <w:t>Completed; full offline service-worker strategy remains separate.</w:t>
            </w:r>
          </w:p>
        </w:tc>
      </w:tr>
      <w:tr>
        <w:tc>
          <w:tcPr>
            <w:tcW w:type="dxa" w:w="3600"/>
            <w:vAlign w:val="center"/>
          </w:tcPr>
          <w:p>
            <w:r>
              <w:rPr>
                <w:sz w:val="18"/>
              </w:rPr>
            </w:r>
            <w:r>
              <w:rPr>
                <w:b w:val="0"/>
                <w:sz w:val="17"/>
              </w:rPr>
              <w:t>Shadowbox type</w:t>
            </w:r>
          </w:p>
        </w:tc>
        <w:tc>
          <w:tcPr>
            <w:tcW w:type="dxa" w:w="6768"/>
            <w:vAlign w:val="center"/>
          </w:tcPr>
          <w:p>
            <w:r>
              <w:rPr>
                <w:sz w:val="18"/>
              </w:rPr>
            </w:r>
            <w:r>
              <w:rPr>
                <w:b w:val="0"/>
                <w:sz w:val="17"/>
              </w:rPr>
              <w:t>Completed in CAD v5.3.</w:t>
            </w:r>
          </w:p>
        </w:tc>
      </w:tr>
      <w:tr>
        <w:tc>
          <w:tcPr>
            <w:tcW w:type="dxa" w:w="3600"/>
            <w:vAlign w:val="center"/>
            <w:shd w:fill="F7F3EE"/>
          </w:tcPr>
          <w:p>
            <w:r>
              <w:rPr>
                <w:sz w:val="18"/>
              </w:rPr>
            </w:r>
            <w:r>
              <w:rPr>
                <w:b w:val="0"/>
                <w:sz w:val="17"/>
              </w:rPr>
              <w:t>Material-first taxonomy</w:t>
            </w:r>
          </w:p>
        </w:tc>
        <w:tc>
          <w:tcPr>
            <w:tcW w:type="dxa" w:w="6768"/>
            <w:vAlign w:val="center"/>
            <w:shd w:fill="F7F3EE"/>
          </w:tcPr>
          <w:p>
            <w:r>
              <w:rPr>
                <w:sz w:val="18"/>
              </w:rPr>
            </w:r>
            <w:r>
              <w:rPr>
                <w:b w:val="0"/>
                <w:sz w:val="17"/>
              </w:rPr>
              <w:t>Completed in CAD v5.2+.</w:t>
            </w:r>
          </w:p>
        </w:tc>
      </w:tr>
      <w:tr>
        <w:tc>
          <w:tcPr>
            <w:tcW w:type="dxa" w:w="3600"/>
            <w:vAlign w:val="center"/>
          </w:tcPr>
          <w:p>
            <w:r>
              <w:rPr>
                <w:sz w:val="18"/>
              </w:rPr>
            </w:r>
            <w:r>
              <w:rPr>
                <w:b w:val="0"/>
                <w:sz w:val="17"/>
              </w:rPr>
              <w:t>Fastener corrections</w:t>
            </w:r>
          </w:p>
        </w:tc>
        <w:tc>
          <w:tcPr>
            <w:tcW w:type="dxa" w:w="6768"/>
            <w:vAlign w:val="center"/>
          </w:tcPr>
          <w:p>
            <w:r>
              <w:rPr>
                <w:sz w:val="18"/>
              </w:rPr>
            </w:r>
            <w:r>
              <w:rPr>
                <w:b w:val="0"/>
                <w:sz w:val="17"/>
              </w:rPr>
              <w:t>Completed in CAD v5.3; Rate Card propagation remains incomplete.</w:t>
            </w:r>
          </w:p>
        </w:tc>
      </w:tr>
      <w:tr>
        <w:tc>
          <w:tcPr>
            <w:tcW w:type="dxa" w:w="3600"/>
            <w:vAlign w:val="center"/>
            <w:shd w:fill="F7F3EE"/>
          </w:tcPr>
          <w:p>
            <w:r>
              <w:rPr>
                <w:sz w:val="18"/>
              </w:rPr>
            </w:r>
            <w:r>
              <w:rPr>
                <w:b w:val="0"/>
                <w:sz w:val="17"/>
              </w:rPr>
              <w:t>Autosave/error surface/cost editor</w:t>
            </w:r>
          </w:p>
        </w:tc>
        <w:tc>
          <w:tcPr>
            <w:tcW w:type="dxa" w:w="6768"/>
            <w:vAlign w:val="center"/>
            <w:shd w:fill="F7F3EE"/>
          </w:tcPr>
          <w:p>
            <w:r>
              <w:rPr>
                <w:sz w:val="18"/>
              </w:rPr>
            </w:r>
            <w:r>
              <w:rPr>
                <w:b w:val="0"/>
                <w:sz w:val="17"/>
              </w:rPr>
              <w:t>Documented as implemented in current CAD baseline.</w:t>
            </w:r>
          </w:p>
        </w:tc>
      </w:tr>
      <w:tr>
        <w:tc>
          <w:tcPr>
            <w:tcW w:type="dxa" w:w="5112"/>
          </w:tcPr>
          <w:p>
            <w:r>
              <w:rPr>
                <w:sz w:val="18"/>
              </w:rPr>
              <w:t>Generated object URL cleanup (TD-011)</w:t>
            </w:r>
          </w:p>
        </w:tc>
        <w:tc>
          <w:tcPr>
            <w:tcW w:type="dxa" w:w="5112"/>
          </w:tcPr>
          <w:p>
            <w:r>
              <w:rPr>
                <w:sz w:val="18"/>
              </w:rPr>
              <w:t>Completed in FenceboundCAD v5.3.1; cost-price JSON export now revokes the generated URL after triggering download.</w:t>
            </w:r>
          </w:p>
        </w:tc>
      </w:tr>
      <w:tr>
        <w:tc>
          <w:tcPr>
            <w:tcW w:type="dxa" w:w="5112"/>
          </w:tcPr>
          <w:p>
            <w:r>
              <w:rPr>
                <w:sz w:val="18"/>
              </w:rPr>
              <w:t>FenceScraper untrusted rendering and URL validation (TD-006)</w:t>
            </w:r>
          </w:p>
        </w:tc>
        <w:tc>
          <w:tcPr>
            <w:tcW w:type="dxa" w:w="5112"/>
          </w:tcPr>
          <w:p>
            <w:r>
              <w:rPr>
                <w:sz w:val="18"/>
              </w:rPr>
              <w:t>Completed in FenceScraper v2.1; result cards and logs use safe DOM/text rendering, and outbound URLs are protocol-validated.</w:t>
            </w:r>
          </w:p>
        </w:tc>
      </w:tr>
      <w:tr>
        <w:tc>
          <w:tcPr>
            <w:tcW w:type="dxa" w:w="5112"/>
          </w:tcPr>
          <w:p>
            <w:r>
              <w:rPr>
                <w:sz w:val="18"/>
              </w:rPr>
              <w:t>FenceScraper source reliability (TD-007)</w:t>
            </w:r>
          </w:p>
        </w:tc>
        <w:tc>
          <w:tcPr>
            <w:tcW w:type="dxa" w:w="5112"/>
          </w:tcPr>
          <w:p>
            <w:r>
              <w:rPr>
                <w:sz w:val="18"/>
              </w:rPr>
              <w:t>Completed in FenceScraper v2.2; source scans run in parallel with timeouts, isolated failures, progress completion tracking, and defensive NC IPS parsing.</w:t>
            </w:r>
          </w:p>
        </w:tc>
      </w:tr>
    </w:tbl>
    <w:p/>
    <w:p>
      <w:pPr>
        <w:pStyle w:val="Heading2"/>
      </w:pPr>
      <w:r>
        <w:t>10.2 Active Product Roadmap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vAlign w:val="center"/>
            <w:shd w:fill="E87512"/>
          </w:tcPr>
          <w:p>
            <w:r>
              <w:rPr>
                <w:sz w:val="18"/>
              </w:rPr>
              <w:t>Phase / priority</w:t>
            </w:r>
          </w:p>
        </w:tc>
        <w:tc>
          <w:tcPr>
            <w:tcW w:type="dxa" w:w="8928"/>
            <w:vAlign w:val="center"/>
            <w:shd w:fill="E87512"/>
          </w:tcPr>
          <w:p>
            <w:r>
              <w:rPr>
                <w:sz w:val="18"/>
              </w:rPr>
              <w:t>Work and exit condition</w:t>
            </w:r>
          </w:p>
        </w:tc>
      </w:tr>
      <w:tr>
        <w:tc>
          <w:tcPr>
            <w:tcW w:type="dxa" w:w="5112"/>
          </w:tcPr>
          <w:p>
            <w:r>
              <w:rPr>
                <w:sz w:val="18"/>
              </w:rPr>
              <w:t>Phase 1 / P0: Stabilize the spine</w:t>
            </w:r>
          </w:p>
        </w:tc>
        <w:tc>
          <w:tcPr>
            <w:tcW w:type="dxa" w:w="5112"/>
          </w:tcPr>
          <w:p>
            <w:r>
              <w:rPr>
                <w:sz w:val="18"/>
              </w:rPr>
              <w:t>Repair pricing schema and Rate Card parity; enforce quote safety; build calculation, saved-job migration, and round-trip tests. Exit when drawing, BOM, pricing, persistence, panel totals, and exports agree from one authoritative state.</w:t>
            </w:r>
          </w:p>
        </w:tc>
      </w:tr>
      <w:tr>
        <w:tc>
          <w:tcPr>
            <w:tcW w:type="dxa" w:w="5112"/>
          </w:tcPr>
          <w:p>
            <w:r>
              <w:rPr>
                <w:sz w:val="18"/>
              </w:rPr>
              <w:t>Phase 2 / P1: Professionalize outputs</w:t>
            </w:r>
          </w:p>
        </w:tc>
        <w:tc>
          <w:tcPr>
            <w:tcW w:type="dxa" w:w="5112"/>
          </w:tcPr>
          <w:p>
            <w:r>
              <w:t>Create client proposal, commercial scope exhibit, installer packet, CSV takeoff, JSON backup, revision identifier, legends, and fence/gate schedules. In parallel, begin FenceScraper Level 1 connector architecture where it does not delay the estimate artifact: normalized opportunity schema, deterministic source adapters, validation, deduplication, scoring, persistence, and export.</w:t>
            </w:r>
          </w:p>
        </w:tc>
      </w:tr>
      <w:tr>
        <w:tc>
          <w:tcPr>
            <w:tcW w:type="dxa" w:w="5112"/>
          </w:tcPr>
          <w:p>
            <w:r>
              <w:rPr>
                <w:sz w:val="18"/>
              </w:rPr>
              <w:t>Phase 3 / P2: Commercial plan takeoff</w:t>
            </w:r>
          </w:p>
        </w:tc>
        <w:tc>
          <w:tcPr>
            <w:tcW w:type="dxa" w:w="5112"/>
          </w:tcPr>
          <w:p>
            <w:r>
              <w:rPr>
                <w:sz w:val="18"/>
              </w:rPr>
              <w:t>Add PDF/image underlay, two-point calibration, source-page metadata, trace mode, fence-system assignment, demolition/by-others/unresolved classes, alternates, optional phase tags, and marked scope export. This is the pivotal professional expansion.</w:t>
            </w:r>
          </w:p>
        </w:tc>
      </w:tr>
      <w:tr>
        <w:tc>
          <w:tcPr>
            <w:tcW w:type="dxa" w:w="5112"/>
          </w:tcPr>
          <w:p>
            <w:r>
              <w:rPr>
                <w:sz w:val="18"/>
              </w:rPr>
              <w:t>Phase 4 / P2: Object-level revision control</w:t>
            </w:r>
          </w:p>
        </w:tc>
        <w:tc>
          <w:tcPr>
            <w:tcW w:type="dxa" w:w="5112"/>
          </w:tcPr>
          <w:p>
            <w:r>
              <w:rPr>
                <w:sz w:val="18"/>
              </w:rPr>
              <w:t>Compare saved FenceBound scope revisions and report added, removed, and modified runs, systems, lengths, gates, and classifications. Begin with object comparison rather than generic pixel comparison.</w:t>
            </w:r>
          </w:p>
        </w:tc>
      </w:tr>
      <w:tr>
        <w:tc>
          <w:tcPr>
            <w:tcW w:type="dxa" w:w="5112"/>
          </w:tcPr>
          <w:p>
            <w:r>
              <w:rPr>
                <w:sz w:val="18"/>
              </w:rPr>
              <w:t>Phase 5 / P2-P3: Restrained DXF export</w:t>
            </w:r>
          </w:p>
        </w:tc>
        <w:tc>
          <w:tcPr>
            <w:tcW w:type="dxa" w:w="5112"/>
          </w:tcPr>
          <w:p>
            <w:r>
              <w:rPr>
                <w:sz w:val="18"/>
              </w:rPr>
              <w:t>Export simplified layer-organized geometry, text, gates, boundaries, dimensions, and units after the internal geometry and metadata contracts are stable. Import remains later.</w:t>
            </w:r>
          </w:p>
        </w:tc>
      </w:tr>
      <w:tr>
        <w:tc>
          <w:tcPr>
            <w:tcW w:type="dxa" w:w="5112"/>
          </w:tcPr>
          <w:p>
            <w:r>
              <w:rPr>
                <w:sz w:val="18"/>
              </w:rPr>
              <w:t>Phase 6 / Future: Bid and project workflow</w:t>
            </w:r>
          </w:p>
        </w:tc>
        <w:tc>
          <w:tcPr>
            <w:tcW w:type="dxa" w:w="5112"/>
          </w:tcPr>
          <w:p>
            <w:r>
              <w:t>Connect opportunity, plan set, takeoff, estimate, proposal, revision, award status, change order, installer packet, and completion record only after the core estimate artifact is dependable. Add the optional provider-neutral FenceScraper intelligence interface only after deterministic source acquisition is stable.</w:t>
            </w:r>
          </w:p>
        </w:tc>
      </w:tr>
      <w:tr>
        <w:tc>
          <w:tcPr>
            <w:tcW w:type="dxa" w:w="5112"/>
          </w:tcPr>
          <w:p>
            <w:r>
              <w:rPr>
                <w:sz w:val="18"/>
              </w:rPr>
              <w:t>Phase 7 / Demand-gated: Collaboration</w:t>
            </w:r>
          </w:p>
        </w:tc>
        <w:tc>
          <w:tcPr>
            <w:tcW w:type="dxa" w:w="5112"/>
          </w:tcPr>
          <w:p>
            <w:r>
              <w:rPr>
                <w:sz w:val="18"/>
              </w:rPr>
              <w:t>Add shared jobs, review, permissions, cloud templates, and centralized price books only when actual multi-user demand justifies infrastructure. Do not rebuild Bluebeam Studio or generic document management.</w:t>
            </w:r>
          </w:p>
        </w:tc>
      </w:tr>
    </w:tbl>
    <w:p/>
    <w:p>
      <w:r/>
    </w:p>
    <w:p>
      <w:pPr>
        <w:pStyle w:val="Heading1"/>
      </w:pPr>
      <w:r>
        <w:t>11. Business Dependency Register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vAlign w:val="center"/>
            <w:shd w:fill="E87512"/>
          </w:tcPr>
          <w:p>
            <w:r>
              <w:rPr>
                <w:sz w:val="18"/>
              </w:rPr>
            </w:r>
            <w:r>
              <w:rPr>
                <w:b/>
                <w:color w:val="FFFFFF"/>
                <w:sz w:val="18"/>
              </w:rPr>
              <w:t>Dependency</w:t>
            </w:r>
          </w:p>
        </w:tc>
        <w:tc>
          <w:tcPr>
            <w:tcW w:type="dxa" w:w="4176"/>
            <w:vAlign w:val="center"/>
            <w:shd w:fill="E87512"/>
          </w:tcPr>
          <w:p>
            <w:r>
              <w:rPr>
                <w:sz w:val="18"/>
              </w:rPr>
            </w:r>
            <w:r>
              <w:rPr>
                <w:b/>
                <w:color w:val="FFFFFF"/>
                <w:sz w:val="18"/>
              </w:rPr>
              <w:t>Why it matters</w:t>
            </w:r>
          </w:p>
        </w:tc>
        <w:tc>
          <w:tcPr>
            <w:tcW w:type="dxa" w:w="4464"/>
            <w:vAlign w:val="center"/>
            <w:shd w:fill="E87512"/>
          </w:tcPr>
          <w:p>
            <w:r>
              <w:rPr>
                <w:sz w:val="18"/>
              </w:rPr>
            </w:r>
            <w:r>
              <w:rPr>
                <w:b/>
                <w:color w:val="FFFFFF"/>
                <w:sz w:val="18"/>
              </w:rPr>
              <w:t>Software response while blocked</w:t>
            </w:r>
          </w:p>
        </w:tc>
      </w:tr>
      <w:tr>
        <w:tc>
          <w:tcPr>
            <w:tcW w:type="dxa" w:w="2304"/>
            <w:vAlign w:val="center"/>
            <w:shd w:fill="F7F3EE"/>
          </w:tcPr>
          <w:p>
            <w:r>
              <w:rPr>
                <w:sz w:val="18"/>
              </w:rPr>
            </w:r>
            <w:r>
              <w:rPr>
                <w:b w:val="0"/>
                <w:sz w:val="17"/>
              </w:rPr>
              <w:t>LLC / EIN / banking</w:t>
            </w:r>
          </w:p>
        </w:tc>
        <w:tc>
          <w:tcPr>
            <w:tcW w:type="dxa" w:w="4176"/>
            <w:vAlign w:val="center"/>
            <w:shd w:fill="F7F3EE"/>
          </w:tcPr>
          <w:p>
            <w:r>
              <w:rPr>
                <w:sz w:val="18"/>
              </w:rPr>
            </w:r>
            <w:r>
              <w:rPr>
                <w:b w:val="0"/>
                <w:sz w:val="17"/>
              </w:rPr>
              <w:t>Distributor onboarding and commercial operations.</w:t>
            </w:r>
          </w:p>
        </w:tc>
        <w:tc>
          <w:tcPr>
            <w:tcW w:type="dxa" w:w="4464"/>
            <w:vAlign w:val="center"/>
            <w:shd w:fill="F7F3EE"/>
          </w:tcPr>
          <w:p>
            <w:r>
              <w:rPr>
                <w:sz w:val="18"/>
              </w:rPr>
            </w:r>
            <w:r>
              <w:rPr>
                <w:b w:val="0"/>
                <w:sz w:val="17"/>
              </w:rPr>
              <w:t>Keep costs provisional; do not fabricate wholesale data.</w:t>
            </w:r>
          </w:p>
        </w:tc>
      </w:tr>
      <w:tr>
        <w:tc>
          <w:tcPr>
            <w:tcW w:type="dxa" w:w="2304"/>
            <w:vAlign w:val="center"/>
          </w:tcPr>
          <w:p>
            <w:r>
              <w:rPr>
                <w:sz w:val="18"/>
              </w:rPr>
            </w:r>
            <w:r>
              <w:rPr>
                <w:b w:val="0"/>
                <w:sz w:val="17"/>
              </w:rPr>
              <w:t>General liability and commercial auto</w:t>
            </w:r>
          </w:p>
        </w:tc>
        <w:tc>
          <w:tcPr>
            <w:tcW w:type="dxa" w:w="4176"/>
            <w:vAlign w:val="center"/>
          </w:tcPr>
          <w:p>
            <w:r>
              <w:rPr>
                <w:sz w:val="18"/>
              </w:rPr>
            </w:r>
            <w:r>
              <w:rPr>
                <w:b w:val="0"/>
                <w:sz w:val="17"/>
              </w:rPr>
              <w:t>Contract and supplier requirements.</w:t>
            </w:r>
          </w:p>
        </w:tc>
        <w:tc>
          <w:tcPr>
            <w:tcW w:type="dxa" w:w="4464"/>
            <w:vAlign w:val="center"/>
          </w:tcPr>
          <w:p>
            <w:r>
              <w:rPr>
                <w:sz w:val="18"/>
              </w:rPr>
            </w:r>
            <w:r>
              <w:rPr>
                <w:b w:val="0"/>
                <w:sz w:val="17"/>
              </w:rPr>
              <w:t>Track as business readiness, not code debt.</w:t>
            </w:r>
          </w:p>
        </w:tc>
      </w:tr>
      <w:tr>
        <w:tc>
          <w:tcPr>
            <w:tcW w:type="dxa" w:w="2304"/>
            <w:vAlign w:val="center"/>
            <w:shd w:fill="F7F3EE"/>
          </w:tcPr>
          <w:p>
            <w:r>
              <w:rPr>
                <w:sz w:val="18"/>
              </w:rPr>
            </w:r>
            <w:r>
              <w:rPr>
                <w:b w:val="0"/>
                <w:sz w:val="17"/>
              </w:rPr>
              <w:t>Distributor accounts</w:t>
            </w:r>
          </w:p>
        </w:tc>
        <w:tc>
          <w:tcPr>
            <w:tcW w:type="dxa" w:w="4176"/>
            <w:vAlign w:val="center"/>
            <w:shd w:fill="F7F3EE"/>
          </w:tcPr>
          <w:p>
            <w:r>
              <w:rPr>
                <w:sz w:val="18"/>
              </w:rPr>
            </w:r>
            <w:r>
              <w:rPr>
                <w:b w:val="0"/>
                <w:sz w:val="17"/>
              </w:rPr>
              <w:t>Actual negotiated buy costs and package data.</w:t>
            </w:r>
          </w:p>
        </w:tc>
        <w:tc>
          <w:tcPr>
            <w:tcW w:type="dxa" w:w="4464"/>
            <w:vAlign w:val="center"/>
            <w:shd w:fill="F7F3EE"/>
          </w:tcPr>
          <w:p>
            <w:r>
              <w:rPr>
                <w:sz w:val="18"/>
              </w:rPr>
            </w:r>
            <w:r>
              <w:rPr>
                <w:b w:val="0"/>
                <w:sz w:val="17"/>
              </w:rPr>
              <w:t>Maintain schema and editor; delay production price claims.</w:t>
            </w:r>
          </w:p>
        </w:tc>
      </w:tr>
      <w:tr>
        <w:tc>
          <w:tcPr>
            <w:tcW w:type="dxa" w:w="2304"/>
            <w:vAlign w:val="center"/>
          </w:tcPr>
          <w:p>
            <w:r>
              <w:rPr>
                <w:sz w:val="18"/>
              </w:rPr>
            </w:r>
            <w:r>
              <w:rPr>
                <w:b w:val="0"/>
                <w:sz w:val="17"/>
              </w:rPr>
              <w:t>Truck/equipment</w:t>
            </w:r>
          </w:p>
        </w:tc>
        <w:tc>
          <w:tcPr>
            <w:tcW w:type="dxa" w:w="4176"/>
            <w:vAlign w:val="center"/>
          </w:tcPr>
          <w:p>
            <w:r>
              <w:rPr>
                <w:sz w:val="18"/>
              </w:rPr>
            </w:r>
            <w:r>
              <w:rPr>
                <w:b w:val="0"/>
                <w:sz w:val="17"/>
              </w:rPr>
              <w:t>Operational capacity and field validation.</w:t>
            </w:r>
          </w:p>
        </w:tc>
        <w:tc>
          <w:tcPr>
            <w:tcW w:type="dxa" w:w="4464"/>
            <w:vAlign w:val="center"/>
          </w:tcPr>
          <w:p>
            <w:r>
              <w:rPr>
                <w:sz w:val="18"/>
              </w:rPr>
            </w:r>
            <w:r>
              <w:rPr>
                <w:b w:val="0"/>
                <w:sz w:val="17"/>
              </w:rPr>
              <w:t>Continue controlled software testing without claiming scaled readiness.</w:t>
            </w:r>
          </w:p>
        </w:tc>
      </w:tr>
      <w:tr>
        <w:tc>
          <w:tcPr>
            <w:tcW w:type="dxa" w:w="2304"/>
            <w:vAlign w:val="center"/>
            <w:shd w:fill="F7F3EE"/>
          </w:tcPr>
          <w:p>
            <w:r>
              <w:rPr>
                <w:sz w:val="18"/>
              </w:rPr>
            </w:r>
            <w:r>
              <w:rPr>
                <w:b w:val="0"/>
                <w:sz w:val="17"/>
              </w:rPr>
              <w:t>Completed jobs and invoices</w:t>
            </w:r>
          </w:p>
        </w:tc>
        <w:tc>
          <w:tcPr>
            <w:tcW w:type="dxa" w:w="4176"/>
            <w:vAlign w:val="center"/>
            <w:shd w:fill="F7F3EE"/>
          </w:tcPr>
          <w:p>
            <w:r>
              <w:rPr>
                <w:sz w:val="18"/>
              </w:rPr>
            </w:r>
            <w:r>
              <w:rPr>
                <w:b w:val="0"/>
                <w:sz w:val="17"/>
              </w:rPr>
              <w:t>Production rates, waste, real margins.</w:t>
            </w:r>
          </w:p>
        </w:tc>
        <w:tc>
          <w:tcPr>
            <w:tcW w:type="dxa" w:w="4464"/>
            <w:vAlign w:val="center"/>
            <w:shd w:fill="F7F3EE"/>
          </w:tcPr>
          <w:p>
            <w:r>
              <w:rPr>
                <w:sz w:val="18"/>
              </w:rPr>
            </w:r>
            <w:r>
              <w:rPr>
                <w:b w:val="0"/>
                <w:sz w:val="17"/>
              </w:rPr>
              <w:t>Design import/history model to accept later evidence.</w:t>
            </w:r>
          </w:p>
        </w:tc>
      </w:tr>
      <w:tr>
        <w:tc>
          <w:tcPr>
            <w:tcW w:type="dxa" w:w="2304"/>
            <w:vAlign w:val="center"/>
          </w:tcPr>
          <w:p>
            <w:r>
              <w:rPr>
                <w:sz w:val="18"/>
              </w:rPr>
            </w:r>
            <w:r>
              <w:rPr>
                <w:b w:val="0"/>
                <w:sz w:val="17"/>
              </w:rPr>
              <w:t>Permit and licensing verification</w:t>
            </w:r>
          </w:p>
        </w:tc>
        <w:tc>
          <w:tcPr>
            <w:tcW w:type="dxa" w:w="4176"/>
            <w:vAlign w:val="center"/>
          </w:tcPr>
          <w:p>
            <w:r>
              <w:rPr>
                <w:sz w:val="18"/>
              </w:rPr>
            </w:r>
            <w:r>
              <w:rPr>
                <w:b w:val="0"/>
                <w:sz w:val="17"/>
              </w:rPr>
              <w:t>Bid and scope compliance.</w:t>
            </w:r>
          </w:p>
        </w:tc>
        <w:tc>
          <w:tcPr>
            <w:tcW w:type="dxa" w:w="4464"/>
            <w:vAlign w:val="center"/>
          </w:tcPr>
          <w:p>
            <w:r>
              <w:rPr>
                <w:sz w:val="18"/>
              </w:rPr>
            </w:r>
            <w:r>
              <w:rPr>
                <w:b w:val="0"/>
                <w:sz w:val="17"/>
              </w:rPr>
              <w:t>Keep legal claims out of software logic unless sourced and maintained.</w:t>
            </w:r>
          </w:p>
        </w:tc>
      </w:tr>
      <w:tr>
        <w:tc>
          <w:tcPr>
            <w:tcW w:type="dxa" w:w="2304"/>
            <w:vAlign w:val="center"/>
            <w:shd w:fill="F7F3EE"/>
          </w:tcPr>
          <w:p>
            <w:r>
              <w:rPr>
                <w:sz w:val="18"/>
              </w:rPr>
            </w:r>
            <w:r>
              <w:rPr>
                <w:b w:val="0"/>
                <w:sz w:val="17"/>
              </w:rPr>
              <w:t>Bid portal subscriptions/APIs</w:t>
            </w:r>
          </w:p>
        </w:tc>
        <w:tc>
          <w:tcPr>
            <w:tcW w:type="dxa" w:w="4176"/>
            <w:vAlign w:val="center"/>
            <w:shd w:fill="F7F3EE"/>
          </w:tcPr>
          <w:p>
            <w:r>
              <w:rPr>
                <w:sz w:val="18"/>
              </w:rPr>
            </w:r>
            <w:r>
              <w:rPr>
                <w:b w:val="0"/>
                <w:sz w:val="17"/>
              </w:rPr>
              <w:t>Reliable opportunity data.</w:t>
            </w:r>
          </w:p>
        </w:tc>
        <w:tc>
          <w:tcPr>
            <w:tcW w:type="dxa" w:w="4464"/>
            <w:vAlign w:val="center"/>
            <w:shd w:fill="F7F3EE"/>
          </w:tcPr>
          <w:p>
            <w:r>
              <w:t>Build deterministic public-source connectors first. Add permissioned connectors when credentials or subscriptions become available; keep AI optional.</w:t>
            </w:r>
          </w:p>
        </w:tc>
      </w:tr>
    </w:tbl>
    <w:p/>
    <w:tbl>
      <w:tblPr>
        <w:tblW w:type="auto" w:w="0"/>
        <w:jc w:val="center"/>
        <w:tblLook w:firstColumn="1" w:firstRow="1" w:lastColumn="0" w:lastRow="0" w:noHBand="0" w:noVBand="1" w:val="04A0"/>
      </w:tblPr>
      <w:tblGrid>
        <w:gridCol w:w="10224"/>
      </w:tblGrid>
      <w:tr>
        <w:tc>
          <w:tcPr>
            <w:tcW w:type="dxa" w:w="10224"/>
            <w:shd w:fill="EAF4EA"/>
          </w:tcPr>
          <w:p>
            <w:r>
              <w:rPr>
                <w:b/>
                <w:color w:val="2E7D32"/>
                <w:sz w:val="18"/>
              </w:rPr>
              <w:t xml:space="preserve">BUSINESS RULE  </w:t>
            </w:r>
            <w:r>
              <w:rPr>
                <w:sz w:val="18"/>
              </w:rPr>
              <w:t>The absence of distributor access is not permission to estimate hidden wholesale prices. The correct interim behavior is to label values provisional and preserve a clean replacement path.</w:t>
            </w:r>
          </w:p>
        </w:tc>
      </w:tr>
    </w:tbl>
    <w:p/>
    <w:p>
      <w:r/>
    </w:p>
    <w:p>
      <w:pPr>
        <w:pStyle w:val="Heading1"/>
      </w:pPr>
      <w:r>
        <w:t>12. Development and Verification Protocol</w:t>
      </w:r>
    </w:p>
    <w:p>
      <w:pPr>
        <w:pStyle w:val="Heading2"/>
      </w:pPr>
      <w:r>
        <w:t>12.1 Session Start</w:t>
      </w:r>
    </w:p>
    <w:p>
      <w:pPr>
        <w:pStyle w:val="ListNumber"/>
      </w:pPr>
      <w:r>
        <w:t>Confirm the exact source files and versions attached for the session.</w:t>
      </w:r>
    </w:p>
    <w:p>
      <w:pPr>
        <w:pStyle w:val="ListNumber"/>
      </w:pPr>
      <w:r>
        <w:t>Read the relevant current source before editing. For cross-cutting changes, inspect all affected tools.</w:t>
      </w:r>
    </w:p>
    <w:p>
      <w:pPr>
        <w:pStyle w:val="ListNumber"/>
      </w:pPr>
      <w:r>
        <w:t>Restate only unresolved requirements or blockers. Do not repeat an approved plan.</w:t>
      </w:r>
    </w:p>
    <w:p>
      <w:pPr>
        <w:pStyle w:val="ListNumber"/>
      </w:pPr>
      <w:r>
        <w:t>Create a backup or new revision before modification.</w:t>
      </w:r>
    </w:p>
    <w:p>
      <w:pPr>
        <w:pStyle w:val="ListNumber"/>
      </w:pPr>
      <w:r>
        <w:t>Perform the work and return an artifact, not a promise.</w:t>
      </w:r>
    </w:p>
    <w:p>
      <w:pPr>
        <w:pStyle w:val="Heading2"/>
      </w:pPr>
      <w:r>
        <w:t>12.2 Change Protocol</w:t>
      </w:r>
    </w:p>
    <w:p>
      <w:pPr>
        <w:pStyle w:val="ListNumber"/>
      </w:pPr>
      <w:r>
        <w:t>Trace the complete interaction or data path before changing one function.</w:t>
      </w:r>
    </w:p>
    <w:p>
      <w:pPr>
        <w:pStyle w:val="ListNumber"/>
      </w:pPr>
      <w:r>
        <w:t>Identify shared state, duplicated formulas, imports/exports, and saved-job implications.</w:t>
      </w:r>
    </w:p>
    <w:p>
      <w:pPr>
        <w:pStyle w:val="ListNumber"/>
      </w:pPr>
      <w:r>
        <w:t>Change the smallest coherent surface that solves the problem.</w:t>
      </w:r>
    </w:p>
    <w:p>
      <w:pPr>
        <w:pStyle w:val="ListNumber"/>
      </w:pPr>
      <w:r>
        <w:t>Re-check neighboring functions and every consumer of the changed data.</w:t>
      </w:r>
    </w:p>
    <w:p>
      <w:pPr>
        <w:pStyle w:val="ListNumber"/>
      </w:pPr>
      <w:r>
        <w:t>Run syntax checks, representative fixtures, import/export round trips, and visual checks where applicable.</w:t>
      </w:r>
    </w:p>
    <w:p>
      <w:pPr>
        <w:pStyle w:val="ListNumber"/>
      </w:pPr>
      <w:r>
        <w:t>Update the DevBible change log, compatibility matrix, and debt register in the same session.</w:t>
      </w:r>
    </w:p>
    <w:p>
      <w:pPr>
        <w:pStyle w:val="Heading2"/>
      </w:pPr>
      <w:r>
        <w:t>12.3 Pre-Release Audit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vAlign w:val="center"/>
            <w:shd w:fill="E87512"/>
          </w:tcPr>
          <w:p>
            <w:r>
              <w:rPr>
                <w:sz w:val="18"/>
              </w:rPr>
            </w:r>
            <w:r>
              <w:rPr>
                <w:b/>
                <w:color w:val="FFFFFF"/>
                <w:sz w:val="18"/>
              </w:rPr>
              <w:t>Area</w:t>
            </w:r>
          </w:p>
        </w:tc>
        <w:tc>
          <w:tcPr>
            <w:tcW w:type="dxa" w:w="8496"/>
            <w:vAlign w:val="center"/>
            <w:shd w:fill="E87512"/>
          </w:tcPr>
          <w:p>
            <w:r>
              <w:rPr>
                <w:sz w:val="18"/>
              </w:rPr>
            </w:r>
            <w:r>
              <w:rPr>
                <w:b/>
                <w:color w:val="FFFFFF"/>
                <w:sz w:val="18"/>
              </w:rPr>
              <w:t>Required check</w:t>
            </w:r>
          </w:p>
        </w:tc>
      </w:tr>
      <w:tr>
        <w:tc>
          <w:tcPr>
            <w:tcW w:type="dxa" w:w="1872"/>
            <w:vAlign w:val="center"/>
            <w:shd w:fill="F7F3EE"/>
          </w:tcPr>
          <w:p>
            <w:r>
              <w:rPr>
                <w:sz w:val="18"/>
              </w:rPr>
            </w:r>
            <w:r>
              <w:rPr>
                <w:b w:val="0"/>
                <w:sz w:val="17"/>
              </w:rPr>
              <w:t>Runtime</w:t>
            </w:r>
          </w:p>
        </w:tc>
        <w:tc>
          <w:tcPr>
            <w:tcW w:type="dxa" w:w="8496"/>
            <w:vAlign w:val="center"/>
            <w:shd w:fill="F7F3EE"/>
          </w:tcPr>
          <w:p>
            <w:r>
              <w:rPr>
                <w:sz w:val="18"/>
              </w:rPr>
            </w:r>
            <w:r>
              <w:rPr>
                <w:b w:val="0"/>
                <w:sz w:val="17"/>
              </w:rPr>
              <w:t>No syntax errors; no missing handlers; no console-breaking initialization path.</w:t>
            </w:r>
          </w:p>
        </w:tc>
      </w:tr>
      <w:tr>
        <w:tc>
          <w:tcPr>
            <w:tcW w:type="dxa" w:w="1872"/>
            <w:vAlign w:val="center"/>
          </w:tcPr>
          <w:p>
            <w:r>
              <w:rPr>
                <w:sz w:val="18"/>
              </w:rPr>
            </w:r>
            <w:r>
              <w:rPr>
                <w:b w:val="0"/>
                <w:sz w:val="17"/>
              </w:rPr>
              <w:t>Touch</w:t>
            </w:r>
          </w:p>
        </w:tc>
        <w:tc>
          <w:tcPr>
            <w:tcW w:type="dxa" w:w="8496"/>
            <w:vAlign w:val="center"/>
          </w:tcPr>
          <w:p>
            <w:r>
              <w:rPr>
                <w:sz w:val="18"/>
              </w:rPr>
            </w:r>
            <w:r>
              <w:rPr>
                <w:b w:val="0"/>
                <w:sz w:val="17"/>
              </w:rPr>
              <w:t>Primary actions work through unified touch/mouse path; changedTouches handling preserved.</w:t>
            </w:r>
          </w:p>
        </w:tc>
      </w:tr>
      <w:tr>
        <w:tc>
          <w:tcPr>
            <w:tcW w:type="dxa" w:w="1872"/>
            <w:vAlign w:val="center"/>
            <w:shd w:fill="F7F3EE"/>
          </w:tcPr>
          <w:p>
            <w:r>
              <w:rPr>
                <w:sz w:val="18"/>
              </w:rPr>
            </w:r>
            <w:r>
              <w:rPr>
                <w:b w:val="0"/>
                <w:sz w:val="17"/>
              </w:rPr>
              <w:t>Drawing</w:t>
            </w:r>
          </w:p>
        </w:tc>
        <w:tc>
          <w:tcPr>
            <w:tcW w:type="dxa" w:w="8496"/>
            <w:vAlign w:val="center"/>
            <w:shd w:fill="F7F3EE"/>
          </w:tcPr>
          <w:p>
            <w:r>
              <w:rPr>
                <w:sz w:val="18"/>
              </w:rPr>
            </w:r>
            <w:r>
              <w:rPr>
                <w:b w:val="0"/>
                <w:sz w:val="17"/>
              </w:rPr>
              <w:t>Posts, endpoints, snap target, boundary exclusions, and canvas redraw remain coherent.</w:t>
            </w:r>
          </w:p>
        </w:tc>
      </w:tr>
      <w:tr>
        <w:tc>
          <w:tcPr>
            <w:tcW w:type="dxa" w:w="1872"/>
            <w:vAlign w:val="center"/>
          </w:tcPr>
          <w:p>
            <w:r>
              <w:rPr>
                <w:sz w:val="18"/>
              </w:rPr>
            </w:r>
            <w:r>
              <w:rPr>
                <w:b w:val="0"/>
                <w:sz w:val="17"/>
              </w:rPr>
              <w:t>BOM</w:t>
            </w:r>
          </w:p>
        </w:tc>
        <w:tc>
          <w:tcPr>
            <w:tcW w:type="dxa" w:w="8496"/>
            <w:vAlign w:val="center"/>
          </w:tcPr>
          <w:p>
            <w:r>
              <w:rPr>
                <w:sz w:val="18"/>
              </w:rPr>
            </w:r>
            <w:r>
              <w:rPr>
                <w:b w:val="0"/>
                <w:sz w:val="17"/>
              </w:rPr>
              <w:t>All current types produce expected lines and quantities for fixed fixtures.</w:t>
            </w:r>
          </w:p>
        </w:tc>
      </w:tr>
      <w:tr>
        <w:tc>
          <w:tcPr>
            <w:tcW w:type="dxa" w:w="1872"/>
            <w:vAlign w:val="center"/>
            <w:shd w:fill="F7F3EE"/>
          </w:tcPr>
          <w:p>
            <w:r>
              <w:rPr>
                <w:sz w:val="18"/>
              </w:rPr>
            </w:r>
            <w:r>
              <w:rPr>
                <w:b w:val="0"/>
                <w:sz w:val="17"/>
              </w:rPr>
              <w:t>Pricing</w:t>
            </w:r>
          </w:p>
        </w:tc>
        <w:tc>
          <w:tcPr>
            <w:tcW w:type="dxa" w:w="8496"/>
            <w:vAlign w:val="center"/>
            <w:shd w:fill="F7F3EE"/>
          </w:tcPr>
          <w:p>
            <w:r>
              <w:rPr>
                <w:sz w:val="18"/>
              </w:rPr>
            </w:r>
            <w:r>
              <w:rPr>
                <w:b w:val="0"/>
                <w:sz w:val="17"/>
              </w:rPr>
              <w:t>Every required BOM item resolves to a valid cost or blocks quoting.</w:t>
            </w:r>
          </w:p>
        </w:tc>
      </w:tr>
      <w:tr>
        <w:tc>
          <w:tcPr>
            <w:tcW w:type="dxa" w:w="1872"/>
            <w:vAlign w:val="center"/>
          </w:tcPr>
          <w:p>
            <w:r>
              <w:rPr>
                <w:sz w:val="18"/>
              </w:rPr>
            </w:r>
            <w:r>
              <w:rPr>
                <w:b w:val="0"/>
                <w:sz w:val="17"/>
              </w:rPr>
              <w:t>Persistence</w:t>
            </w:r>
          </w:p>
        </w:tc>
        <w:tc>
          <w:tcPr>
            <w:tcW w:type="dxa" w:w="8496"/>
            <w:vAlign w:val="center"/>
          </w:tcPr>
          <w:p>
            <w:r>
              <w:rPr>
                <w:sz w:val="18"/>
              </w:rPr>
            </w:r>
            <w:r>
              <w:rPr>
                <w:b w:val="0"/>
                <w:sz w:val="17"/>
              </w:rPr>
              <w:t>Old representative jobs load without silent data loss; current jobs round-trip.</w:t>
            </w:r>
          </w:p>
        </w:tc>
      </w:tr>
      <w:tr>
        <w:tc>
          <w:tcPr>
            <w:tcW w:type="dxa" w:w="1872"/>
            <w:vAlign w:val="center"/>
            <w:shd w:fill="F7F3EE"/>
          </w:tcPr>
          <w:p>
            <w:r>
              <w:rPr>
                <w:sz w:val="18"/>
              </w:rPr>
            </w:r>
            <w:r>
              <w:rPr>
                <w:b w:val="0"/>
                <w:sz w:val="17"/>
              </w:rPr>
              <w:t>Exports</w:t>
            </w:r>
          </w:p>
        </w:tc>
        <w:tc>
          <w:tcPr>
            <w:tcW w:type="dxa" w:w="8496"/>
            <w:vAlign w:val="center"/>
            <w:shd w:fill="F7F3EE"/>
          </w:tcPr>
          <w:p>
            <w:r>
              <w:rPr>
                <w:sz w:val="18"/>
              </w:rPr>
            </w:r>
            <w:r>
              <w:rPr>
                <w:b w:val="0"/>
                <w:sz w:val="17"/>
              </w:rPr>
              <w:t>Panel, PDF, and guide totals derive from the same calculation.</w:t>
            </w:r>
          </w:p>
        </w:tc>
      </w:tr>
      <w:tr>
        <w:tc>
          <w:tcPr>
            <w:tcW w:type="dxa" w:w="1872"/>
            <w:vAlign w:val="center"/>
          </w:tcPr>
          <w:p>
            <w:r>
              <w:rPr>
                <w:sz w:val="18"/>
              </w:rPr>
            </w:r>
            <w:r>
              <w:rPr>
                <w:b w:val="0"/>
                <w:sz w:val="17"/>
              </w:rPr>
              <w:t>Integration</w:t>
            </w:r>
          </w:p>
        </w:tc>
        <w:tc>
          <w:tcPr>
            <w:tcW w:type="dxa" w:w="8496"/>
            <w:vAlign w:val="center"/>
          </w:tcPr>
          <w:p>
            <w:r>
              <w:rPr>
                <w:sz w:val="18"/>
              </w:rPr>
            </w:r>
            <w:r>
              <w:rPr>
                <w:b w:val="0"/>
                <w:sz w:val="17"/>
              </w:rPr>
              <w:t>Schema versions and compatibility metadata are correct.</w:t>
            </w:r>
          </w:p>
        </w:tc>
      </w:tr>
      <w:tr>
        <w:tc>
          <w:tcPr>
            <w:tcW w:type="dxa" w:w="1872"/>
            <w:vAlign w:val="center"/>
            <w:shd w:fill="F7F3EE"/>
          </w:tcPr>
          <w:p>
            <w:r>
              <w:rPr>
                <w:sz w:val="18"/>
              </w:rPr>
            </w:r>
            <w:r>
              <w:rPr>
                <w:b w:val="0"/>
                <w:sz w:val="17"/>
              </w:rPr>
              <w:t>Documentation</w:t>
            </w:r>
          </w:p>
        </w:tc>
        <w:tc>
          <w:tcPr>
            <w:tcW w:type="dxa" w:w="8496"/>
            <w:vAlign w:val="center"/>
            <w:shd w:fill="F7F3EE"/>
          </w:tcPr>
          <w:p>
            <w:r>
              <w:rPr>
                <w:sz w:val="18"/>
              </w:rPr>
            </w:r>
            <w:r>
              <w:rPr>
                <w:b w:val="0"/>
                <w:sz w:val="17"/>
              </w:rPr>
              <w:t>Revision, status, debt, and archive updated.</w:t>
            </w:r>
          </w:p>
        </w:tc>
      </w:tr>
      <w:tr>
        <w:tc>
          <w:tcPr>
            <w:tcW w:type="dxa" w:w="1872"/>
            <w:vAlign w:val="center"/>
          </w:tcPr>
          <w:p>
            <w:r>
              <w:rPr>
                <w:sz w:val="18"/>
              </w:rPr>
            </w:r>
            <w:r>
              <w:rPr>
                <w:b w:val="0"/>
                <w:sz w:val="17"/>
              </w:rPr>
              <w:t>Visual QA</w:t>
            </w:r>
          </w:p>
        </w:tc>
        <w:tc>
          <w:tcPr>
            <w:tcW w:type="dxa" w:w="8496"/>
            <w:vAlign w:val="center"/>
          </w:tcPr>
          <w:p>
            <w:r>
              <w:rPr>
                <w:sz w:val="18"/>
              </w:rPr>
            </w:r>
            <w:r>
              <w:rPr>
                <w:b w:val="0"/>
                <w:sz w:val="17"/>
              </w:rPr>
              <w:t>Render/export inspected on target screen sizes and document pages.</w:t>
            </w:r>
          </w:p>
        </w:tc>
      </w:tr>
      <w:tr>
        <w:tc>
          <w:tcPr>
            <w:tcW w:type="dxa" w:w="5112"/>
          </w:tcPr>
          <w:p>
            <w:r>
              <w:rPr>
                <w:sz w:val="18"/>
              </w:rPr>
              <w:t>Commercial metadata</w:t>
            </w:r>
          </w:p>
        </w:tc>
        <w:tc>
          <w:tcPr>
            <w:tcW w:type="dxa" w:w="5112"/>
          </w:tcPr>
          <w:p>
            <w:r>
              <w:rPr>
                <w:sz w:val="18"/>
              </w:rPr>
              <w:t>Source sheet, revision, scope class, alternate, phase, gate IDs, and calibration linkage survive save/load and export when implemented.</w:t>
            </w:r>
          </w:p>
        </w:tc>
      </w:tr>
      <w:tr>
        <w:tc>
          <w:tcPr>
            <w:tcW w:type="dxa" w:w="5112"/>
          </w:tcPr>
          <w:p>
            <w:r>
              <w:rPr>
                <w:sz w:val="18"/>
              </w:rPr>
              <w:t>Calibration</w:t>
            </w:r>
          </w:p>
        </w:tc>
        <w:tc>
          <w:tcPr>
            <w:tcW w:type="dxa" w:w="5112"/>
          </w:tcPr>
          <w:p>
            <w:r>
              <w:rPr>
                <w:sz w:val="18"/>
              </w:rPr>
              <w:t>Known-distance fixtures preserve scale through save/load and export; invalidated calibration produces visible warnings.</w:t>
            </w:r>
          </w:p>
        </w:tc>
      </w:tr>
      <w:tr>
        <w:tc>
          <w:tcPr>
            <w:tcW w:type="dxa" w:w="5112"/>
          </w:tcPr>
          <w:p>
            <w:r>
              <w:rPr>
                <w:sz w:val="18"/>
              </w:rPr>
              <w:t>Revision comparison</w:t>
            </w:r>
          </w:p>
        </w:tc>
        <w:tc>
          <w:tcPr>
            <w:tcW w:type="dxa" w:w="5112"/>
          </w:tcPr>
          <w:p>
            <w:r>
              <w:rPr>
                <w:sz w:val="18"/>
              </w:rPr>
              <w:t>Added, removed, and modified scope fixtures reconcile to BOM and price changes.</w:t>
            </w:r>
          </w:p>
        </w:tc>
      </w:tr>
    </w:tbl>
    <w:p/>
    <w:p>
      <w:r/>
    </w:p>
    <w:p>
      <w:pPr>
        <w:pStyle w:val="Heading1"/>
      </w:pPr>
      <w:r>
        <w:t>13. AI and Developer Onboarding</w:t>
      </w:r>
    </w:p>
    <w:tbl>
      <w:tblPr>
        <w:tblW w:type="auto" w:w="0"/>
        <w:jc w:val="center"/>
        <w:tblLook w:firstColumn="1" w:firstRow="1" w:lastColumn="0" w:lastRow="0" w:noHBand="0" w:noVBand="1" w:val="04A0"/>
      </w:tblPr>
      <w:tblGrid>
        <w:gridCol w:w="10224"/>
      </w:tblGrid>
      <w:tr>
        <w:tc>
          <w:tcPr>
            <w:tcW w:type="dxa" w:w="10224"/>
            <w:shd w:fill="FFF4E5"/>
          </w:tcPr>
          <w:p>
            <w:r>
              <w:t>READ ORDER  1) Revision 23, 2) current source files, 3) latest change log, 4) relevant business reference. Chat history is not authoritative.</w:t>
            </w:r>
          </w:p>
        </w:tc>
      </w:tr>
    </w:tbl>
    <w:p/>
    <w:p>
      <w:pPr>
        <w:pStyle w:val="Heading2"/>
      </w:pPr>
      <w:r>
        <w:t>13.1 Compact Session Brief</w:t>
      </w:r>
    </w:p>
    <w:p>
      <w:pPr>
        <w:pStyle w:val="CodeBlock"/>
      </w:pPr>
      <w:r>
        <w:t>Project: FenceBound software ecosystem.</w:t>
        <w:br/>
        <w:t>Primary app: FenceboundCAD v5.3, single-file vanilla JavaScript, Canvas, global S state, localStorage, touch-first iPad workflow.</w:t>
        <w:br/>
        <w:t>Canonical documentation: FenceBound Development Bible Revision 19.</w:t>
        <w:br/>
        <w:t>Strategic product position: PDF plan context → FenceBound scope intelligence → professional PDF/CSV outputs, with restrained DXF interoperability when required.</w:t>
        <w:br/>
        <w:t>Hard constraints: preserve single-file/no-build CAD architecture unless an ADR approves change; do not guess; mark uncertainty; do not present provisional pricing as verified.</w:t>
        <w:br/>
        <w:t>Current priority: [insert task].</w:t>
        <w:br/>
        <w:t>Attached authoritative files: [list exact filenames and versions].</w:t>
        <w:br/>
        <w:t>Deliverable: updated file plus concise work log.</w:t>
      </w:r>
    </w:p>
    <w:p>
      <w:pPr>
        <w:pStyle w:val="Heading2"/>
      </w:pPr>
      <w:r>
        <w:t>13.2 Required Behavior</w:t>
      </w:r>
    </w:p>
    <w:p>
      <w:pPr>
        <w:pStyle w:val="ListBullet"/>
      </w:pPr>
      <w:r>
        <w:t>Work first after approval; do not emit repeated plans.</w:t>
      </w:r>
    </w:p>
    <w:p>
      <w:pPr>
        <w:pStyle w:val="ListBullet"/>
      </w:pPr>
      <w:r>
        <w:t>Use concise developer-style updates.</w:t>
      </w:r>
    </w:p>
    <w:p>
      <w:pPr>
        <w:pStyle w:val="ListBullet"/>
      </w:pPr>
      <w:r>
        <w:t>Never claim background work continues after the response ends.</w:t>
      </w:r>
    </w:p>
    <w:p>
      <w:pPr>
        <w:pStyle w:val="ListBullet"/>
      </w:pPr>
      <w:r>
        <w:t>Return a versioned artifact each completed work cycle.</w:t>
      </w:r>
    </w:p>
    <w:p>
      <w:pPr>
        <w:pStyle w:val="ListBullet"/>
      </w:pPr>
      <w:r>
        <w:t>When blocked, state the exact missing file, decision, or evidence in one compact note.</w:t>
      </w:r>
    </w:p>
    <w:p>
      <w:pPr>
        <w:pStyle w:val="ListBullet"/>
      </w:pPr>
      <w:r>
        <w:t>Do not silently rewrite owner business facts or infer legal/financial claims.</w:t>
      </w:r>
    </w:p>
    <w:p>
      <w:pPr>
        <w:pStyle w:val="ListBullet"/>
      </w:pPr>
      <w:r>
        <w:t>Preserve backups and avoid destructive in-place edits unless explicitly requested.</w:t>
      </w:r>
    </w:p>
    <w:p>
      <w:r/>
    </w:p>
    <w:p>
      <w:pPr>
        <w:pStyle w:val="Heading1"/>
      </w:pPr>
      <w:r>
        <w:t>14. Architecture Decision Records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152"/>
            <w:vAlign w:val="center"/>
            <w:shd w:fill="E87512"/>
          </w:tcPr>
          <w:p>
            <w:r>
              <w:rPr>
                <w:sz w:val="18"/>
              </w:rPr>
            </w:r>
            <w:r>
              <w:rPr>
                <w:b/>
                <w:color w:val="FFFFFF"/>
                <w:sz w:val="18"/>
              </w:rPr>
              <w:t>ADR</w:t>
            </w:r>
          </w:p>
        </w:tc>
        <w:tc>
          <w:tcPr>
            <w:tcW w:type="dxa" w:w="1152"/>
            <w:vAlign w:val="center"/>
            <w:shd w:fill="E87512"/>
          </w:tcPr>
          <w:p>
            <w:r>
              <w:rPr>
                <w:sz w:val="18"/>
              </w:rPr>
            </w:r>
            <w:r>
              <w:rPr>
                <w:b/>
                <w:color w:val="FFFFFF"/>
                <w:sz w:val="18"/>
              </w:rPr>
              <w:t>Status</w:t>
            </w:r>
          </w:p>
        </w:tc>
        <w:tc>
          <w:tcPr>
            <w:tcW w:type="dxa" w:w="2880"/>
            <w:vAlign w:val="center"/>
            <w:shd w:fill="E87512"/>
          </w:tcPr>
          <w:p>
            <w:r>
              <w:rPr>
                <w:sz w:val="18"/>
              </w:rPr>
            </w:r>
            <w:r>
              <w:rPr>
                <w:b/>
                <w:color w:val="FFFFFF"/>
                <w:sz w:val="18"/>
              </w:rPr>
              <w:t>Decision</w:t>
            </w:r>
          </w:p>
        </w:tc>
        <w:tc>
          <w:tcPr>
            <w:tcW w:type="dxa" w:w="5328"/>
            <w:vAlign w:val="center"/>
            <w:shd w:fill="E87512"/>
          </w:tcPr>
          <w:p>
            <w:r>
              <w:rPr>
                <w:sz w:val="18"/>
              </w:rPr>
            </w:r>
            <w:r>
              <w:rPr>
                <w:b/>
                <w:color w:val="FFFFFF"/>
                <w:sz w:val="18"/>
              </w:rPr>
              <w:t>Rationale / consequence</w:t>
            </w:r>
          </w:p>
        </w:tc>
      </w:tr>
      <w:tr>
        <w:tc>
          <w:tcPr>
            <w:tcW w:type="dxa" w:w="1152"/>
            <w:vAlign w:val="center"/>
            <w:shd w:fill="F7F3EE"/>
          </w:tcPr>
          <w:p>
            <w:r>
              <w:rPr>
                <w:sz w:val="18"/>
              </w:rPr>
            </w:r>
            <w:r>
              <w:rPr>
                <w:b w:val="0"/>
                <w:sz w:val="17"/>
              </w:rPr>
              <w:t>ADR-001</w:t>
            </w:r>
          </w:p>
        </w:tc>
        <w:tc>
          <w:tcPr>
            <w:tcW w:type="dxa" w:w="1152"/>
            <w:vAlign w:val="center"/>
            <w:shd w:fill="F7F3EE"/>
          </w:tcPr>
          <w:p>
            <w:r>
              <w:rPr>
                <w:sz w:val="18"/>
              </w:rPr>
            </w:r>
            <w:r>
              <w:rPr>
                <w:b w:val="0"/>
                <w:sz w:val="17"/>
              </w:rPr>
              <w:t>Accepted</w:t>
            </w:r>
          </w:p>
        </w:tc>
        <w:tc>
          <w:tcPr>
            <w:tcW w:type="dxa" w:w="2880"/>
            <w:vAlign w:val="center"/>
            <w:shd w:fill="F7F3EE"/>
          </w:tcPr>
          <w:p>
            <w:r>
              <w:rPr>
                <w:sz w:val="18"/>
              </w:rPr>
            </w:r>
            <w:r>
              <w:rPr>
                <w:b w:val="0"/>
                <w:sz w:val="17"/>
              </w:rPr>
              <w:t>Single-file CAD deployment</w:t>
            </w:r>
          </w:p>
        </w:tc>
        <w:tc>
          <w:tcPr>
            <w:tcW w:type="dxa" w:w="5328"/>
            <w:vAlign w:val="center"/>
            <w:shd w:fill="F7F3EE"/>
          </w:tcPr>
          <w:p>
            <w:r>
              <w:rPr>
                <w:sz w:val="18"/>
              </w:rPr>
            </w:r>
            <w:r>
              <w:rPr>
                <w:b w:val="0"/>
                <w:sz w:val="17"/>
              </w:rPr>
              <w:t>FenceboundCAD remains a self-contained HTML file to support Netlify Drop, simple backups, and low operational overhead. Consequence: code organization must remain disciplined inside one file.</w:t>
            </w:r>
          </w:p>
        </w:tc>
      </w:tr>
      <w:tr>
        <w:tc>
          <w:tcPr>
            <w:tcW w:type="dxa" w:w="1152"/>
            <w:vAlign w:val="center"/>
          </w:tcPr>
          <w:p>
            <w:r>
              <w:rPr>
                <w:sz w:val="18"/>
              </w:rPr>
            </w:r>
            <w:r>
              <w:rPr>
                <w:b w:val="0"/>
                <w:sz w:val="17"/>
              </w:rPr>
              <w:t>ADR-002</w:t>
            </w:r>
          </w:p>
        </w:tc>
        <w:tc>
          <w:tcPr>
            <w:tcW w:type="dxa" w:w="1152"/>
            <w:vAlign w:val="center"/>
          </w:tcPr>
          <w:p>
            <w:r>
              <w:rPr>
                <w:sz w:val="18"/>
              </w:rPr>
            </w:r>
            <w:r>
              <w:rPr>
                <w:b w:val="0"/>
                <w:sz w:val="17"/>
              </w:rPr>
              <w:t>Accepted</w:t>
            </w:r>
          </w:p>
        </w:tc>
        <w:tc>
          <w:tcPr>
            <w:tcW w:type="dxa" w:w="2880"/>
            <w:vAlign w:val="center"/>
          </w:tcPr>
          <w:p>
            <w:r>
              <w:rPr>
                <w:sz w:val="18"/>
              </w:rPr>
            </w:r>
            <w:r>
              <w:rPr>
                <w:b w:val="0"/>
                <w:sz w:val="17"/>
              </w:rPr>
              <w:t>Vanilla JavaScript and Canvas</w:t>
            </w:r>
          </w:p>
        </w:tc>
        <w:tc>
          <w:tcPr>
            <w:tcW w:type="dxa" w:w="5328"/>
            <w:vAlign w:val="center"/>
          </w:tcPr>
          <w:p>
            <w:r>
              <w:rPr>
                <w:sz w:val="18"/>
              </w:rPr>
            </w:r>
            <w:r>
              <w:rPr>
                <w:b w:val="0"/>
                <w:sz w:val="17"/>
              </w:rPr>
              <w:t>The CAD uses direct DOM and Canvas APIs. Framework migration is not authorized absent a quantified business need.</w:t>
            </w:r>
          </w:p>
        </w:tc>
      </w:tr>
      <w:tr>
        <w:tc>
          <w:tcPr>
            <w:tcW w:type="dxa" w:w="1152"/>
            <w:vAlign w:val="center"/>
            <w:shd w:fill="F7F3EE"/>
          </w:tcPr>
          <w:p>
            <w:r>
              <w:rPr>
                <w:sz w:val="18"/>
              </w:rPr>
            </w:r>
            <w:r>
              <w:rPr>
                <w:b w:val="0"/>
                <w:sz w:val="17"/>
              </w:rPr>
              <w:t>ADR-003</w:t>
            </w:r>
          </w:p>
        </w:tc>
        <w:tc>
          <w:tcPr>
            <w:tcW w:type="dxa" w:w="1152"/>
            <w:vAlign w:val="center"/>
            <w:shd w:fill="F7F3EE"/>
          </w:tcPr>
          <w:p>
            <w:r>
              <w:rPr>
                <w:sz w:val="18"/>
              </w:rPr>
            </w:r>
            <w:r>
              <w:rPr>
                <w:b w:val="0"/>
                <w:sz w:val="17"/>
              </w:rPr>
              <w:t>Accepted</w:t>
            </w:r>
          </w:p>
        </w:tc>
        <w:tc>
          <w:tcPr>
            <w:tcW w:type="dxa" w:w="2880"/>
            <w:vAlign w:val="center"/>
            <w:shd w:fill="F7F3EE"/>
          </w:tcPr>
          <w:p>
            <w:r>
              <w:rPr>
                <w:sz w:val="18"/>
              </w:rPr>
            </w:r>
            <w:r>
              <w:rPr>
                <w:b w:val="0"/>
                <w:sz w:val="17"/>
              </w:rPr>
              <w:t>Local-first persistence</w:t>
            </w:r>
          </w:p>
        </w:tc>
        <w:tc>
          <w:tcPr>
            <w:tcW w:type="dxa" w:w="5328"/>
            <w:vAlign w:val="center"/>
            <w:shd w:fill="F7F3EE"/>
          </w:tcPr>
          <w:p>
            <w:r>
              <w:rPr>
                <w:sz w:val="18"/>
              </w:rPr>
            </w:r>
            <w:r>
              <w:rPr>
                <w:b w:val="0"/>
                <w:sz w:val="17"/>
              </w:rPr>
              <w:t>Jobs live in localStorage and exported files. Cloud sync is deferred until a real multi-device or multi-user requirement justifies infrastructure.</w:t>
            </w:r>
          </w:p>
        </w:tc>
      </w:tr>
      <w:tr>
        <w:tc>
          <w:tcPr>
            <w:tcW w:type="dxa" w:w="1152"/>
            <w:vAlign w:val="center"/>
          </w:tcPr>
          <w:p>
            <w:r>
              <w:rPr>
                <w:sz w:val="18"/>
              </w:rPr>
            </w:r>
            <w:r>
              <w:rPr>
                <w:b w:val="0"/>
                <w:sz w:val="17"/>
              </w:rPr>
              <w:t>ADR-004</w:t>
            </w:r>
          </w:p>
        </w:tc>
        <w:tc>
          <w:tcPr>
            <w:tcW w:type="dxa" w:w="1152"/>
            <w:vAlign w:val="center"/>
          </w:tcPr>
          <w:p>
            <w:r>
              <w:rPr>
                <w:sz w:val="18"/>
              </w:rPr>
            </w:r>
            <w:r>
              <w:rPr>
                <w:b w:val="0"/>
                <w:sz w:val="17"/>
              </w:rPr>
              <w:t>Accepted</w:t>
            </w:r>
          </w:p>
        </w:tc>
        <w:tc>
          <w:tcPr>
            <w:tcW w:type="dxa" w:w="2880"/>
            <w:vAlign w:val="center"/>
          </w:tcPr>
          <w:p>
            <w:r>
              <w:rPr>
                <w:sz w:val="18"/>
              </w:rPr>
            </w:r>
            <w:r>
              <w:rPr>
                <w:b w:val="0"/>
                <w:sz w:val="17"/>
              </w:rPr>
              <w:t>Pricing engine independent of pricing data</w:t>
            </w:r>
          </w:p>
        </w:tc>
        <w:tc>
          <w:tcPr>
            <w:tcW w:type="dxa" w:w="5328"/>
            <w:vAlign w:val="center"/>
          </w:tcPr>
          <w:p>
            <w:r>
              <w:rPr>
                <w:sz w:val="18"/>
              </w:rPr>
            </w:r>
            <w:r>
              <w:rPr>
                <w:b w:val="0"/>
                <w:sz w:val="17"/>
              </w:rPr>
              <w:t>Formulas can be validated using provisional values. Economic accuracy requires real accessible distributor and labor data.</w:t>
            </w:r>
          </w:p>
        </w:tc>
      </w:tr>
      <w:tr>
        <w:tc>
          <w:tcPr>
            <w:tcW w:type="dxa" w:w="1152"/>
            <w:vAlign w:val="center"/>
            <w:shd w:fill="F7F3EE"/>
          </w:tcPr>
          <w:p>
            <w:r>
              <w:rPr>
                <w:sz w:val="18"/>
              </w:rPr>
            </w:r>
            <w:r>
              <w:rPr>
                <w:b w:val="0"/>
                <w:sz w:val="17"/>
              </w:rPr>
              <w:t>ADR-005</w:t>
            </w:r>
          </w:p>
        </w:tc>
        <w:tc>
          <w:tcPr>
            <w:tcW w:type="dxa" w:w="1152"/>
            <w:vAlign w:val="center"/>
            <w:shd w:fill="F7F3EE"/>
          </w:tcPr>
          <w:p>
            <w:r>
              <w:rPr>
                <w:sz w:val="18"/>
              </w:rPr>
            </w:r>
            <w:r>
              <w:rPr>
                <w:b w:val="0"/>
                <w:sz w:val="17"/>
              </w:rPr>
              <w:t>Accepted</w:t>
            </w:r>
          </w:p>
        </w:tc>
        <w:tc>
          <w:tcPr>
            <w:tcW w:type="dxa" w:w="2880"/>
            <w:vAlign w:val="center"/>
            <w:shd w:fill="F7F3EE"/>
          </w:tcPr>
          <w:p>
            <w:r>
              <w:rPr>
                <w:sz w:val="18"/>
              </w:rPr>
            </w:r>
            <w:r>
              <w:rPr>
                <w:b w:val="0"/>
                <w:sz w:val="17"/>
              </w:rPr>
              <w:t>Independent artifact versioning</w:t>
            </w:r>
          </w:p>
        </w:tc>
        <w:tc>
          <w:tcPr>
            <w:tcW w:type="dxa" w:w="5328"/>
            <w:vAlign w:val="center"/>
            <w:shd w:fill="F7F3EE"/>
          </w:tcPr>
          <w:p>
            <w:r>
              <w:rPr>
                <w:sz w:val="18"/>
              </w:rPr>
            </w:r>
            <w:r>
              <w:rPr>
                <w:b w:val="0"/>
                <w:sz w:val="17"/>
              </w:rPr>
              <w:t>CAD, Rate Card, Scraper, DevBible, pricing schema, dataset, and client guide version independently and publish compatibility metadata.</w:t>
            </w:r>
          </w:p>
        </w:tc>
      </w:tr>
      <w:tr>
        <w:tc>
          <w:tcPr>
            <w:tcW w:type="dxa" w:w="1152"/>
            <w:vAlign w:val="center"/>
          </w:tcPr>
          <w:p>
            <w:r>
              <w:rPr>
                <w:sz w:val="18"/>
              </w:rPr>
            </w:r>
            <w:r>
              <w:rPr>
                <w:b w:val="0"/>
                <w:sz w:val="17"/>
              </w:rPr>
              <w:t>ADR-006</w:t>
            </w:r>
          </w:p>
        </w:tc>
        <w:tc>
          <w:tcPr>
            <w:tcW w:type="dxa" w:w="1152"/>
            <w:vAlign w:val="center"/>
          </w:tcPr>
          <w:p>
            <w:r>
              <w:rPr>
                <w:sz w:val="18"/>
              </w:rPr>
            </w:r>
            <w:r>
              <w:rPr>
                <w:b w:val="0"/>
                <w:sz w:val="17"/>
              </w:rPr>
              <w:t>Proposed</w:t>
            </w:r>
          </w:p>
        </w:tc>
        <w:tc>
          <w:tcPr>
            <w:tcW w:type="dxa" w:w="2880"/>
            <w:vAlign w:val="center"/>
          </w:tcPr>
          <w:p>
            <w:r>
              <w:rPr>
                <w:sz w:val="18"/>
              </w:rPr>
            </w:r>
            <w:r>
              <w:rPr>
                <w:b w:val="0"/>
                <w:sz w:val="17"/>
              </w:rPr>
              <w:t>Canonical versioned pricing schema</w:t>
            </w:r>
          </w:p>
        </w:tc>
        <w:tc>
          <w:tcPr>
            <w:tcW w:type="dxa" w:w="5328"/>
            <w:vAlign w:val="center"/>
          </w:tcPr>
          <w:p>
            <w:r>
              <w:rPr>
                <w:sz w:val="18"/>
              </w:rPr>
            </w:r>
            <w:r>
              <w:rPr>
                <w:b w:val="0"/>
                <w:sz w:val="17"/>
              </w:rPr>
              <w:t>All pricing tools will normalize to schemaVersion 2 with object-based costs, units, validation, and migration reporting.</w:t>
            </w:r>
          </w:p>
        </w:tc>
      </w:tr>
      <w:tr>
        <w:tc>
          <w:tcPr>
            <w:tcW w:type="dxa" w:w="1152"/>
            <w:vAlign w:val="center"/>
            <w:shd w:fill="F7F3EE"/>
          </w:tcPr>
          <w:p>
            <w:r>
              <w:rPr>
                <w:sz w:val="18"/>
              </w:rPr>
            </w:r>
            <w:r>
              <w:rPr>
                <w:b w:val="0"/>
                <w:sz w:val="17"/>
              </w:rPr>
              <w:t>ADR-007</w:t>
            </w:r>
          </w:p>
        </w:tc>
        <w:tc>
          <w:tcPr>
            <w:tcW w:type="dxa" w:w="1152"/>
            <w:vAlign w:val="center"/>
            <w:shd w:fill="F7F3EE"/>
          </w:tcPr>
          <w:p>
            <w:r>
              <w:rPr>
                <w:sz w:val="18"/>
              </w:rPr>
            </w:r>
            <w:r>
              <w:rPr>
                <w:b w:val="0"/>
                <w:sz w:val="17"/>
              </w:rPr>
              <w:t>Accepted</w:t>
            </w:r>
          </w:p>
        </w:tc>
        <w:tc>
          <w:tcPr>
            <w:tcW w:type="dxa" w:w="2880"/>
            <w:vAlign w:val="center"/>
            <w:shd w:fill="F7F3EE"/>
          </w:tcPr>
          <w:p>
            <w:r>
              <w:rPr>
                <w:sz w:val="18"/>
              </w:rPr>
            </w:r>
            <w:r>
              <w:rPr>
                <w:b w:val="0"/>
                <w:sz w:val="17"/>
              </w:rPr>
              <w:t>Evidence-first documentation</w:t>
            </w:r>
          </w:p>
        </w:tc>
        <w:tc>
          <w:tcPr>
            <w:tcW w:type="dxa" w:w="5328"/>
            <w:vAlign w:val="center"/>
            <w:shd w:fill="F7F3EE"/>
          </w:tcPr>
          <w:p>
            <w:r>
              <w:rPr>
                <w:sz w:val="18"/>
              </w:rPr>
            </w:r>
            <w:r>
              <w:rPr>
                <w:b w:val="0"/>
                <w:sz w:val="17"/>
              </w:rPr>
              <w:t>Conflicts are recorded as Needs Verification until resolved by source code, owner instruction, or primary business evidence.</w:t>
            </w:r>
          </w:p>
        </w:tc>
      </w:tr>
      <w:tr>
        <w:tc>
          <w:tcPr>
            <w:tcW w:type="dxa" w:w="1152"/>
            <w:vAlign w:val="center"/>
          </w:tcPr>
          <w:p>
            <w:r>
              <w:rPr>
                <w:sz w:val="18"/>
              </w:rPr>
            </w:r>
            <w:r>
              <w:rPr>
                <w:b w:val="0"/>
                <w:sz w:val="17"/>
              </w:rPr>
              <w:t>ADR-008</w:t>
            </w:r>
          </w:p>
        </w:tc>
        <w:tc>
          <w:tcPr>
            <w:tcW w:type="dxa" w:w="1152"/>
            <w:vAlign w:val="center"/>
          </w:tcPr>
          <w:p>
            <w:r>
              <w:t>Accepted</w:t>
            </w:r>
          </w:p>
        </w:tc>
        <w:tc>
          <w:tcPr>
            <w:tcW w:type="dxa" w:w="2880"/>
            <w:vAlign w:val="center"/>
          </w:tcPr>
          <w:p>
            <w:r>
              <w:t>FenceScraper deterministic connector core</w:t>
            </w:r>
          </w:p>
        </w:tc>
        <w:tc>
          <w:tcPr>
            <w:tcW w:type="dxa" w:w="5328"/>
            <w:vAlign w:val="center"/>
          </w:tcPr>
          <w:p>
            <w:r>
              <w:t>Core bid discovery uses source-specific connectors, deterministic parsing, normalized opportunity records, validation, deduplication, scoring, persistence, and export. No language-model API is required. Source evidence remains authoritative. Consequence: Anthropic-specific browser-key remediation is superseded.</w:t>
            </w:r>
          </w:p>
        </w:tc>
      </w:tr>
      <w:tr>
        <w:tc>
          <w:tcPr>
            <w:tcW w:type="dxa" w:w="2556"/>
          </w:tcPr>
          <w:p>
            <w:r>
              <w:rPr>
                <w:sz w:val="18"/>
              </w:rPr>
              <w:t>ADR-009</w:t>
            </w:r>
          </w:p>
        </w:tc>
        <w:tc>
          <w:tcPr>
            <w:tcW w:type="dxa" w:w="2556"/>
          </w:tcPr>
          <w:p>
            <w:r>
              <w:rPr>
                <w:sz w:val="18"/>
              </w:rPr>
              <w:t>Accepted</w:t>
            </w:r>
          </w:p>
        </w:tc>
        <w:tc>
          <w:tcPr>
            <w:tcW w:type="dxa" w:w="2556"/>
          </w:tcPr>
          <w:p>
            <w:r>
              <w:rPr>
                <w:sz w:val="18"/>
              </w:rPr>
              <w:t>Cooperate with construction standards before displacement</w:t>
            </w:r>
          </w:p>
        </w:tc>
        <w:tc>
          <w:tcPr>
            <w:tcW w:type="dxa" w:w="2556"/>
          </w:tcPr>
          <w:p>
            <w:r>
              <w:rPr>
                <w:sz w:val="18"/>
              </w:rPr>
              <w:t>FenceBound owns fence-specific scope intelligence. PDF is the primary construction handshake; AutoCAD/DXF remains an interchange path when editable geometry is required. General-purpose CAD and document management are outside the near-term product boundary.</w:t>
            </w:r>
          </w:p>
        </w:tc>
      </w:tr>
      <w:tr>
        <w:tc>
          <w:tcPr>
            <w:tcW w:type="dxa" w:w="2556"/>
          </w:tcPr>
          <w:p>
            <w:r>
              <w:rPr>
                <w:sz w:val="18"/>
              </w:rPr>
              <w:t>ADR-010</w:t>
            </w:r>
          </w:p>
        </w:tc>
        <w:tc>
          <w:tcPr>
            <w:tcW w:type="dxa" w:w="2556"/>
          </w:tcPr>
          <w:p>
            <w:r>
              <w:rPr>
                <w:sz w:val="18"/>
              </w:rPr>
              <w:t>Proposed</w:t>
            </w:r>
          </w:p>
        </w:tc>
        <w:tc>
          <w:tcPr>
            <w:tcW w:type="dxa" w:w="2556"/>
          </w:tcPr>
          <w:p>
            <w:r>
              <w:rPr>
                <w:sz w:val="18"/>
              </w:rPr>
              <w:t>Calibrated plan underlay as pivotal commercial capability</w:t>
            </w:r>
          </w:p>
        </w:tc>
        <w:tc>
          <w:tcPr>
            <w:tcW w:type="dxa" w:w="2556"/>
          </w:tcPr>
          <w:p>
            <w:r>
              <w:rPr>
                <w:sz w:val="18"/>
              </w:rPr>
              <w:t>Commercial takeoff requires importing a plan page, two-point calibration, explicit calibration state, source metadata, tracing, and marked-scope export. It follows core stabilization and professional export work.</w:t>
            </w:r>
          </w:p>
        </w:tc>
      </w:tr>
      <w:tr>
        <w:tc>
          <w:tcPr>
            <w:tcW w:type="dxa" w:w="2556"/>
          </w:tcPr>
          <w:p>
            <w:r>
              <w:rPr>
                <w:sz w:val="18"/>
              </w:rPr>
              <w:t>ADR-011</w:t>
            </w:r>
          </w:p>
        </w:tc>
        <w:tc>
          <w:tcPr>
            <w:tcW w:type="dxa" w:w="2556"/>
          </w:tcPr>
          <w:p>
            <w:r>
              <w:rPr>
                <w:sz w:val="18"/>
              </w:rPr>
              <w:t>Proposed</w:t>
            </w:r>
          </w:p>
        </w:tc>
        <w:tc>
          <w:tcPr>
            <w:tcW w:type="dxa" w:w="2556"/>
          </w:tcPr>
          <w:p>
            <w:r>
              <w:rPr>
                <w:sz w:val="18"/>
              </w:rPr>
              <w:t>Object-level scope revision comparison</w:t>
            </w:r>
          </w:p>
        </w:tc>
        <w:tc>
          <w:tcPr>
            <w:tcW w:type="dxa" w:w="2556"/>
          </w:tcPr>
          <w:p>
            <w:r>
              <w:rPr>
                <w:sz w:val="18"/>
              </w:rPr>
              <w:t>Revision control should compare FenceBound objects and report changes in footage, systems, gates, and classifications before attempting generic pixel overlays.</w:t>
            </w:r>
          </w:p>
        </w:tc>
      </w:tr>
      <w:tr>
        <w:tc>
          <w:tcPr>
            <w:tcW w:type="dxa" w:w="2556"/>
          </w:tcPr>
          <w:p>
            <w:r>
              <w:rPr>
                <w:sz w:val="18"/>
              </w:rPr>
              <w:t>ADR-012</w:t>
            </w:r>
          </w:p>
        </w:tc>
        <w:tc>
          <w:tcPr>
            <w:tcW w:type="dxa" w:w="2556"/>
          </w:tcPr>
          <w:p>
            <w:r>
              <w:rPr>
                <w:sz w:val="18"/>
              </w:rPr>
              <w:t>Proposed</w:t>
            </w:r>
          </w:p>
        </w:tc>
        <w:tc>
          <w:tcPr>
            <w:tcW w:type="dxa" w:w="2556"/>
          </w:tcPr>
          <w:p>
            <w:r>
              <w:rPr>
                <w:sz w:val="18"/>
              </w:rPr>
              <w:t>Commercial scope metadata contract</w:t>
            </w:r>
          </w:p>
        </w:tc>
        <w:tc>
          <w:tcPr>
            <w:tcW w:type="dxa" w:w="2556"/>
          </w:tcPr>
          <w:p>
            <w:r>
              <w:rPr>
                <w:sz w:val="18"/>
              </w:rPr>
              <w:t>Versioned job data will preserve sheet, source revision, scope class, alternate, phase, gate schedule ID, clarification, and calibration linkage without altering historical quote assumptions.</w:t>
            </w:r>
          </w:p>
        </w:tc>
      </w:tr>
      <w:tr>
        <w:tc>
          <w:tcPr>
            <w:tcW w:type="dxa" w:w="2556"/>
          </w:tcPr>
          <w:p>
            <w:r>
              <w:t>ADR-013</w:t>
            </w:r>
          </w:p>
        </w:tc>
        <w:tc>
          <w:tcPr>
            <w:tcW w:type="dxa" w:w="2556"/>
          </w:tcPr>
          <w:p>
            <w:r>
              <w:t>Proposed</w:t>
            </w:r>
          </w:p>
        </w:tc>
        <w:tc>
          <w:tcPr>
            <w:tcW w:type="dxa" w:w="2556"/>
          </w:tcPr>
          <w:p>
            <w:r>
              <w:t>Optional provider-neutral intelligence boundary</w:t>
            </w:r>
          </w:p>
        </w:tc>
        <w:tc>
          <w:tcPr>
            <w:tcW w:type="dxa" w:w="2556"/>
          </w:tcPr>
          <w:p>
            <w:r>
              <w:t>After the deterministic connector core is stable, FenceScraper may expose an optional interface for rules, local models, or interchangeable remote AI providers. AI may enrich difficult extraction, classification, or summaries but cannot be required for scanning or serve as sole source evidence.</w:t>
            </w:r>
          </w:p>
        </w:tc>
      </w:tr>
    </w:tbl>
    <w:p/>
    <w:p>
      <w:r/>
    </w:p>
    <w:p>
      <w:pPr>
        <w:pStyle w:val="Heading1"/>
      </w:pPr>
      <w:r>
        <w:t>15. Historical Archive</w:t>
      </w:r>
    </w:p>
    <w:p>
      <w:r>
        <w:t>This section preserves useful development history without allowing obsolete behavior to pollute current specifications.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728"/>
            <w:vAlign w:val="center"/>
            <w:shd w:fill="E87512"/>
          </w:tcPr>
          <w:p>
            <w:r>
              <w:rPr>
                <w:sz w:val="18"/>
              </w:rPr>
            </w:r>
            <w:r>
              <w:rPr>
                <w:b/>
                <w:color w:val="FFFFFF"/>
                <w:sz w:val="18"/>
              </w:rPr>
              <w:t>Release</w:t>
            </w:r>
          </w:p>
        </w:tc>
        <w:tc>
          <w:tcPr>
            <w:tcW w:type="dxa" w:w="8496"/>
            <w:vAlign w:val="center"/>
            <w:shd w:fill="E87512"/>
          </w:tcPr>
          <w:p>
            <w:r>
              <w:rPr>
                <w:sz w:val="18"/>
              </w:rPr>
            </w:r>
            <w:r>
              <w:rPr>
                <w:b/>
                <w:color w:val="FFFFFF"/>
                <w:sz w:val="18"/>
              </w:rPr>
              <w:t>Historical milestone</w:t>
            </w:r>
          </w:p>
        </w:tc>
      </w:tr>
      <w:tr>
        <w:tc>
          <w:tcPr>
            <w:tcW w:type="dxa" w:w="1728"/>
            <w:vAlign w:val="center"/>
            <w:shd w:fill="F7F3EE"/>
          </w:tcPr>
          <w:p>
            <w:r>
              <w:rPr>
                <w:sz w:val="18"/>
              </w:rPr>
            </w:r>
            <w:r>
              <w:rPr>
                <w:b w:val="0"/>
                <w:sz w:val="17"/>
              </w:rPr>
              <w:t>v1-v3</w:t>
            </w:r>
          </w:p>
        </w:tc>
        <w:tc>
          <w:tcPr>
            <w:tcW w:type="dxa" w:w="8496"/>
            <w:vAlign w:val="center"/>
            <w:shd w:fill="F7F3EE"/>
          </w:tcPr>
          <w:p>
            <w:r>
              <w:rPr>
                <w:sz w:val="18"/>
              </w:rPr>
            </w:r>
            <w:r>
              <w:rPr>
                <w:b w:val="0"/>
                <w:sz w:val="17"/>
              </w:rPr>
              <w:t>Core drawing, posts, gates, labels, pan/zoom, auto-posts, BOM, save/load, undo, copy/paste, PDF/PNG, resizable panel.</w:t>
            </w:r>
          </w:p>
        </w:tc>
      </w:tr>
      <w:tr>
        <w:tc>
          <w:tcPr>
            <w:tcW w:type="dxa" w:w="1728"/>
            <w:vAlign w:val="center"/>
          </w:tcPr>
          <w:p>
            <w:r>
              <w:rPr>
                <w:sz w:val="18"/>
              </w:rPr>
            </w:r>
            <w:r>
              <w:rPr>
                <w:b w:val="0"/>
                <w:sz w:val="17"/>
              </w:rPr>
              <w:t>v4</w:t>
            </w:r>
          </w:p>
        </w:tc>
        <w:tc>
          <w:tcPr>
            <w:tcW w:type="dxa" w:w="8496"/>
            <w:vAlign w:val="center"/>
          </w:tcPr>
          <w:p>
            <w:r>
              <w:rPr>
                <w:sz w:val="18"/>
              </w:rPr>
            </w:r>
            <w:r>
              <w:rPr>
                <w:b w:val="0"/>
                <w:sz w:val="17"/>
              </w:rPr>
              <w:t>Introduced pricing and corrected barbed-wire/split-rail classification.</w:t>
            </w:r>
          </w:p>
        </w:tc>
      </w:tr>
      <w:tr>
        <w:tc>
          <w:tcPr>
            <w:tcW w:type="dxa" w:w="1728"/>
            <w:vAlign w:val="center"/>
            <w:shd w:fill="F7F3EE"/>
          </w:tcPr>
          <w:p>
            <w:r>
              <w:rPr>
                <w:sz w:val="18"/>
              </w:rPr>
            </w:r>
            <w:r>
              <w:rPr>
                <w:b w:val="0"/>
                <w:sz w:val="17"/>
              </w:rPr>
              <w:t>v4.3</w:t>
            </w:r>
          </w:p>
        </w:tc>
        <w:tc>
          <w:tcPr>
            <w:tcW w:type="dxa" w:w="8496"/>
            <w:vAlign w:val="center"/>
            <w:shd w:fill="F7F3EE"/>
          </w:tcPr>
          <w:p>
            <w:r>
              <w:rPr>
                <w:sz w:val="18"/>
              </w:rPr>
            </w:r>
            <w:r>
              <w:rPr>
                <w:b w:val="0"/>
                <w:sz w:val="17"/>
              </w:rPr>
              <w:t>Temp and ornamental presets; embedded PWA icons/manifest; version coherence.</w:t>
            </w:r>
          </w:p>
        </w:tc>
      </w:tr>
      <w:tr>
        <w:tc>
          <w:tcPr>
            <w:tcW w:type="dxa" w:w="1728"/>
            <w:vAlign w:val="center"/>
          </w:tcPr>
          <w:p>
            <w:r>
              <w:rPr>
                <w:sz w:val="18"/>
              </w:rPr>
            </w:r>
            <w:r>
              <w:rPr>
                <w:b w:val="0"/>
                <w:sz w:val="17"/>
              </w:rPr>
              <w:t>v4.4</w:t>
            </w:r>
          </w:p>
        </w:tc>
        <w:tc>
          <w:tcPr>
            <w:tcW w:type="dxa" w:w="8496"/>
            <w:vAlign w:val="center"/>
          </w:tcPr>
          <w:p>
            <w:r>
              <w:rPr>
                <w:sz w:val="18"/>
              </w:rPr>
            </w:r>
            <w:r>
              <w:rPr>
                <w:b w:val="0"/>
                <w:sz w:val="17"/>
              </w:rPr>
              <w:t>Panel collapse, adaptive labels, multi-touch guard.</w:t>
            </w:r>
          </w:p>
        </w:tc>
      </w:tr>
      <w:tr>
        <w:tc>
          <w:tcPr>
            <w:tcW w:type="dxa" w:w="1728"/>
            <w:vAlign w:val="center"/>
            <w:shd w:fill="F7F3EE"/>
          </w:tcPr>
          <w:p>
            <w:r>
              <w:rPr>
                <w:sz w:val="18"/>
              </w:rPr>
            </w:r>
            <w:r>
              <w:rPr>
                <w:b w:val="0"/>
                <w:sz w:val="17"/>
              </w:rPr>
              <w:t>v4.5/4.5.1</w:t>
            </w:r>
          </w:p>
        </w:tc>
        <w:tc>
          <w:tcPr>
            <w:tcW w:type="dxa" w:w="8496"/>
            <w:vAlign w:val="center"/>
            <w:shd w:fill="F7F3EE"/>
          </w:tcPr>
          <w:p>
            <w:r>
              <w:rPr>
                <w:sz w:val="18"/>
              </w:rPr>
            </w:r>
            <w:r>
              <w:rPr>
                <w:b w:val="0"/>
                <w:sz w:val="17"/>
              </w:rPr>
              <w:t>Lower zoom floor, endpoint snap, mobile header and disabled-button fixes.</w:t>
            </w:r>
          </w:p>
        </w:tc>
      </w:tr>
      <w:tr>
        <w:tc>
          <w:tcPr>
            <w:tcW w:type="dxa" w:w="1728"/>
            <w:vAlign w:val="center"/>
          </w:tcPr>
          <w:p>
            <w:r>
              <w:rPr>
                <w:sz w:val="18"/>
              </w:rPr>
            </w:r>
            <w:r>
              <w:rPr>
                <w:b w:val="0"/>
                <w:sz w:val="17"/>
              </w:rPr>
              <w:t>v4.6</w:t>
            </w:r>
          </w:p>
        </w:tc>
        <w:tc>
          <w:tcPr>
            <w:tcW w:type="dxa" w:w="8496"/>
            <w:vAlign w:val="center"/>
          </w:tcPr>
          <w:p>
            <w:r>
              <w:rPr>
                <w:sz w:val="18"/>
              </w:rPr>
            </w:r>
            <w:r>
              <w:rPr>
                <w:b w:val="0"/>
                <w:sz w:val="17"/>
              </w:rPr>
              <w:t>Replaced tier pricing with BOM-based COST_DB/LABOR/MARKUP model and price editor.</w:t>
            </w:r>
          </w:p>
        </w:tc>
      </w:tr>
      <w:tr>
        <w:tc>
          <w:tcPr>
            <w:tcW w:type="dxa" w:w="1728"/>
            <w:vAlign w:val="center"/>
            <w:shd w:fill="F7F3EE"/>
          </w:tcPr>
          <w:p>
            <w:r>
              <w:rPr>
                <w:sz w:val="18"/>
              </w:rPr>
            </w:r>
            <w:r>
              <w:rPr>
                <w:b w:val="0"/>
                <w:sz w:val="17"/>
              </w:rPr>
              <w:t>v4.7</w:t>
            </w:r>
          </w:p>
        </w:tc>
        <w:tc>
          <w:tcPr>
            <w:tcW w:type="dxa" w:w="8496"/>
            <w:vAlign w:val="center"/>
            <w:shd w:fill="F7F3EE"/>
          </w:tcPr>
          <w:p>
            <w:r>
              <w:rPr>
                <w:sz w:val="18"/>
              </w:rPr>
            </w:r>
            <w:r>
              <w:rPr>
                <w:b w:val="0"/>
                <w:sz w:val="17"/>
              </w:rPr>
              <w:t>Height-driven specs, embed logic, type-aware components, saved-job preservation.</w:t>
            </w:r>
          </w:p>
        </w:tc>
      </w:tr>
      <w:tr>
        <w:tc>
          <w:tcPr>
            <w:tcW w:type="dxa" w:w="1728"/>
            <w:vAlign w:val="center"/>
          </w:tcPr>
          <w:p>
            <w:r>
              <w:rPr>
                <w:sz w:val="18"/>
              </w:rPr>
            </w:r>
            <w:r>
              <w:rPr>
                <w:b w:val="0"/>
                <w:sz w:val="17"/>
              </w:rPr>
              <w:t>v5.2</w:t>
            </w:r>
          </w:p>
        </w:tc>
        <w:tc>
          <w:tcPr>
            <w:tcW w:type="dxa" w:w="8496"/>
            <w:vAlign w:val="center"/>
          </w:tcPr>
          <w:p>
            <w:r>
              <w:rPr>
                <w:sz w:val="18"/>
              </w:rPr>
            </w:r>
            <w:r>
              <w:rPr>
                <w:b w:val="0"/>
                <w:sz w:val="17"/>
              </w:rPr>
              <w:t>Material-first taxonomy; vinyl/cattle expansion; Rate Card rebuild attempt.</w:t>
            </w:r>
          </w:p>
        </w:tc>
      </w:tr>
      <w:tr>
        <w:tc>
          <w:tcPr>
            <w:tcW w:type="dxa" w:w="1728"/>
            <w:vAlign w:val="center"/>
            <w:shd w:fill="F7F3EE"/>
          </w:tcPr>
          <w:p>
            <w:r>
              <w:rPr>
                <w:sz w:val="18"/>
              </w:rPr>
            </w:r>
            <w:r>
              <w:rPr>
                <w:b w:val="0"/>
                <w:sz w:val="17"/>
              </w:rPr>
              <w:t>v5.3</w:t>
            </w:r>
          </w:p>
        </w:tc>
        <w:tc>
          <w:tcPr>
            <w:tcW w:type="dxa" w:w="8496"/>
            <w:vAlign w:val="center"/>
            <w:shd w:fill="F7F3EE"/>
          </w:tcPr>
          <w:p>
            <w:r>
              <w:rPr>
                <w:sz w:val="18"/>
              </w:rPr>
            </w:r>
            <w:r>
              <w:rPr>
                <w:b w:val="0"/>
                <w:sz w:val="17"/>
              </w:rPr>
              <w:t>Fixed grid; fine snap; minimum run floor; addon corrections; height defaults; fastener corrections.</w:t>
            </w:r>
          </w:p>
        </w:tc>
      </w:tr>
      <w:tr>
        <w:tc>
          <w:tcPr>
            <w:tcW w:type="dxa" w:w="5112"/>
          </w:tcPr>
          <w:p>
            <w:r>
              <w:rPr>
                <w:sz w:val="18"/>
              </w:rPr>
              <w:t>v5.3.1</w:t>
            </w:r>
          </w:p>
        </w:tc>
        <w:tc>
          <w:tcPr>
            <w:tcW w:type="dxa" w:w="5112"/>
          </w:tcPr>
          <w:p>
            <w:r>
              <w:rPr>
                <w:sz w:val="18"/>
              </w:rPr>
              <w:t>Closed TD-011 by pairing cost-price JSON export createObjectURL with deferred revokeObjectURL cleanup.</w:t>
            </w:r>
          </w:p>
        </w:tc>
      </w:tr>
      <w:tr>
        <w:tc>
          <w:tcPr>
            <w:tcW w:type="dxa" w:w="5112"/>
          </w:tcPr>
          <w:p>
            <w:r>
              <w:rPr>
                <w:sz w:val="18"/>
              </w:rPr>
              <w:t>FenceScraper v2.2</w:t>
            </w:r>
          </w:p>
        </w:tc>
        <w:tc>
          <w:tcPr>
            <w:tcW w:type="dxa" w:w="5112"/>
          </w:tcPr>
          <w:p>
            <w:r>
              <w:rPr>
                <w:sz w:val="18"/>
              </w:rPr>
              <w:t>Closed TD-007 with concurrent source execution, timeouts, isolated source failures, and defensive NC IPS parser validation.</w:t>
            </w:r>
          </w:p>
        </w:tc>
      </w:tr>
    </w:tbl>
    <w:p/>
    <w:p>
      <w:pPr>
        <w:pStyle w:val="Heading2"/>
      </w:pPr>
      <w:r>
        <w:t>15.1 Archived Concepts</w:t>
      </w:r>
    </w:p>
    <w:p>
      <w:pPr>
        <w:pStyle w:val="ListBullet"/>
      </w:pPr>
      <w:r>
        <w:t>Floor / Market / Premium tier tables are historical only.</w:t>
      </w:r>
    </w:p>
    <w:p>
      <w:pPr>
        <w:pStyle w:val="ListBullet"/>
      </w:pPr>
      <w:r>
        <w:t>Flat fence keys such as privacy, vinyl, and splitrail2/3/3fb are historical taxonomy.</w:t>
      </w:r>
    </w:p>
    <w:p>
      <w:pPr>
        <w:pStyle w:val="ListBullet"/>
      </w:pPr>
      <w:r>
        <w:t>Claims that Rate Card and CAD price files move freely are superseded by the Revision 19 compatibility finding.</w:t>
      </w:r>
    </w:p>
    <w:p>
      <w:pPr>
        <w:pStyle w:val="ListBullet"/>
      </w:pPr>
      <w:r>
        <w:t>Claims that terrain pricing is wholly unwired are superseded; only the numeric slope percentage linkage remains unclear.</w:t>
      </w:r>
    </w:p>
    <w:p>
      <w:pPr>
        <w:pStyle w:val="ListBullet"/>
      </w:pPr>
      <w:r>
        <w:t>FenceScraper rebuild is no longer pending; production hardening remains pending.</w:t>
      </w:r>
    </w:p>
    <w:p>
      <w:pPr>
        <w:pStyle w:val="ListBullet"/>
      </w:pPr>
      <w:r>
        <w:t>Gate clearance zone is archived as an optional notation concept; current swing visualization is considered sufficient in standard 2D use.</w:t>
      </w:r>
    </w:p>
    <w:p>
      <w:pPr>
        <w:pStyle w:val="ListBullet"/>
      </w:pPr>
      <w:r>
        <w:t>Phase zones are archived; separate drawings are the preferred approach over overlapping phase overlays on one canvas.</w:t>
      </w:r>
    </w:p>
    <w:p>
      <w:r/>
    </w:p>
    <w:p>
      <w:pPr>
        <w:pStyle w:val="Heading1"/>
      </w:pPr>
      <w:r>
        <w:t>Appendix A. Verification Snapshot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6912"/>
            <w:vAlign w:val="center"/>
            <w:shd w:fill="E87512"/>
          </w:tcPr>
          <w:p>
            <w:r>
              <w:rPr>
                <w:sz w:val="18"/>
              </w:rPr>
            </w:r>
            <w:r>
              <w:rPr>
                <w:b/>
                <w:color w:val="FFFFFF"/>
                <w:sz w:val="18"/>
              </w:rPr>
              <w:t>Statement</w:t>
            </w:r>
          </w:p>
        </w:tc>
        <w:tc>
          <w:tcPr>
            <w:tcW w:type="dxa" w:w="3312"/>
            <w:vAlign w:val="center"/>
            <w:shd w:fill="E87512"/>
          </w:tcPr>
          <w:p>
            <w:r>
              <w:rPr>
                <w:sz w:val="18"/>
              </w:rPr>
            </w:r>
            <w:r>
              <w:rPr>
                <w:b/>
                <w:color w:val="FFFFFF"/>
                <w:sz w:val="18"/>
              </w:rPr>
              <w:t>Evidence state</w:t>
            </w:r>
          </w:p>
        </w:tc>
      </w:tr>
      <w:tr>
        <w:tc>
          <w:tcPr>
            <w:tcW w:type="dxa" w:w="6912"/>
            <w:vAlign w:val="center"/>
            <w:shd w:fill="F7F3EE"/>
          </w:tcPr>
          <w:p>
            <w:r>
              <w:rPr>
                <w:sz w:val="18"/>
              </w:rPr>
              <w:t>CAD file identifies v5.3.1 and contains current material-first type work.</w:t>
            </w:r>
          </w:p>
        </w:tc>
        <w:tc>
          <w:tcPr>
            <w:tcW w:type="dxa" w:w="3312"/>
            <w:vAlign w:val="center"/>
            <w:shd w:fill="F7F3EE"/>
          </w:tcPr>
          <w:p>
            <w:r>
              <w:rPr>
                <w:sz w:val="18"/>
              </w:rPr>
            </w:r>
            <w:r>
              <w:rPr>
                <w:b w:val="0"/>
                <w:sz w:val="17"/>
              </w:rPr>
              <w:t>Verified in supplied FenceboundCAD HTML.</w:t>
            </w:r>
          </w:p>
        </w:tc>
      </w:tr>
      <w:tr>
        <w:tc>
          <w:tcPr>
            <w:tcW w:type="dxa" w:w="6912"/>
            <w:vAlign w:val="center"/>
          </w:tcPr>
          <w:p>
            <w:r>
              <w:rPr>
                <w:sz w:val="18"/>
              </w:rPr>
            </w:r>
            <w:r>
              <w:rPr>
                <w:b w:val="0"/>
                <w:sz w:val="17"/>
              </w:rPr>
              <w:t>CAD includes exterior screw and self-tapping screw cost entries.</w:t>
            </w:r>
          </w:p>
        </w:tc>
        <w:tc>
          <w:tcPr>
            <w:tcW w:type="dxa" w:w="3312"/>
            <w:vAlign w:val="center"/>
          </w:tcPr>
          <w:p>
            <w:r>
              <w:rPr>
                <w:sz w:val="18"/>
              </w:rPr>
            </w:r>
            <w:r>
              <w:rPr>
                <w:b w:val="0"/>
                <w:sz w:val="17"/>
              </w:rPr>
              <w:t>Verified in supplied FenceboundCAD HTML.</w:t>
            </w:r>
          </w:p>
        </w:tc>
      </w:tr>
      <w:tr>
        <w:tc>
          <w:tcPr>
            <w:tcW w:type="dxa" w:w="6912"/>
            <w:vAlign w:val="center"/>
            <w:shd w:fill="F7F3EE"/>
          </w:tcPr>
          <w:p>
            <w:r>
              <w:rPr>
                <w:sz w:val="18"/>
              </w:rPr>
            </w:r>
            <w:r>
              <w:rPr>
                <w:b w:val="0"/>
                <w:sz w:val="17"/>
              </w:rPr>
              <w:t>Rate Card lacks complete v5.3 parity and uses a different cost representation.</w:t>
            </w:r>
          </w:p>
        </w:tc>
        <w:tc>
          <w:tcPr>
            <w:tcW w:type="dxa" w:w="3312"/>
            <w:vAlign w:val="center"/>
            <w:shd w:fill="F7F3EE"/>
          </w:tcPr>
          <w:p>
            <w:r>
              <w:rPr>
                <w:sz w:val="18"/>
              </w:rPr>
            </w:r>
            <w:r>
              <w:rPr>
                <w:b w:val="0"/>
                <w:sz w:val="17"/>
              </w:rPr>
              <w:t>Verified in supplied Rate Card HTML.</w:t>
            </w:r>
          </w:p>
        </w:tc>
      </w:tr>
      <w:tr>
        <w:tc>
          <w:tcPr>
            <w:tcW w:type="dxa" w:w="6912"/>
            <w:vAlign w:val="center"/>
          </w:tcPr>
          <w:p>
            <w:r>
              <w:rPr>
                <w:sz w:val="18"/>
              </w:rPr>
            </w:r>
            <w:r>
              <w:rPr>
                <w:b w:val="0"/>
                <w:sz w:val="17"/>
              </w:rPr>
              <w:t>FenceScraper stores/reads an Anthropic key but the direct request architecture is not production-safe.</w:t>
            </w:r>
          </w:p>
        </w:tc>
        <w:tc>
          <w:tcPr>
            <w:tcW w:type="dxa" w:w="3312"/>
            <w:vAlign w:val="center"/>
          </w:tcPr>
          <w:p>
            <w:r>
              <w:t>Verified legacy implementation; architecture superseded by Revision 23 owner decision. Anthropic is not a required core dependency.</w:t>
            </w:r>
          </w:p>
        </w:tc>
      </w:tr>
      <w:tr>
        <w:tc>
          <w:tcPr>
            <w:tcW w:type="dxa" w:w="6912"/>
            <w:vAlign w:val="center"/>
            <w:shd w:fill="F7F3EE"/>
          </w:tcPr>
          <w:p>
            <w:r>
              <w:rPr>
                <w:sz w:val="18"/>
              </w:rPr>
            </w:r>
            <w:r>
              <w:rPr>
                <w:b w:val="0"/>
                <w:sz w:val="17"/>
              </w:rPr>
              <w:t>Client guide uses static starting prices independent of the live engine.</w:t>
            </w:r>
          </w:p>
        </w:tc>
        <w:tc>
          <w:tcPr>
            <w:tcW w:type="dxa" w:w="3312"/>
            <w:vAlign w:val="center"/>
            <w:shd w:fill="F7F3EE"/>
          </w:tcPr>
          <w:p>
            <w:r>
              <w:rPr>
                <w:sz w:val="18"/>
              </w:rPr>
            </w:r>
            <w:r>
              <w:rPr>
                <w:b w:val="0"/>
                <w:sz w:val="17"/>
              </w:rPr>
              <w:t>Verified in supplied Client Price Guide HTML.</w:t>
            </w:r>
          </w:p>
        </w:tc>
      </w:tr>
      <w:tr>
        <w:tc>
          <w:tcPr>
            <w:tcW w:type="dxa" w:w="6912"/>
            <w:vAlign w:val="center"/>
          </w:tcPr>
          <w:p>
            <w:r>
              <w:rPr>
                <w:sz w:val="18"/>
              </w:rPr>
            </w:r>
            <w:r>
              <w:rPr>
                <w:b w:val="0"/>
                <w:sz w:val="17"/>
              </w:rPr>
              <w:t>Distributor prices available to the owner are not yet known.</w:t>
            </w:r>
          </w:p>
        </w:tc>
        <w:tc>
          <w:tcPr>
            <w:tcW w:type="dxa" w:w="3312"/>
            <w:vAlign w:val="center"/>
          </w:tcPr>
          <w:p>
            <w:r>
              <w:rPr>
                <w:sz w:val="18"/>
              </w:rPr>
            </w:r>
            <w:r>
              <w:rPr>
                <w:b w:val="0"/>
                <w:sz w:val="17"/>
              </w:rPr>
              <w:t>Owner instruction; authoritative business constraint.</w:t>
            </w:r>
          </w:p>
        </w:tc>
      </w:tr>
      <w:tr>
        <w:tc>
          <w:tcPr>
            <w:tcW w:type="dxa" w:w="6912"/>
            <w:vAlign w:val="center"/>
            <w:shd w:fill="F7F3EE"/>
          </w:tcPr>
          <w:p>
            <w:r>
              <w:rPr>
                <w:sz w:val="18"/>
              </w:rPr>
            </w:r>
            <w:r>
              <w:rPr>
                <w:b w:val="0"/>
                <w:sz w:val="17"/>
              </w:rPr>
              <w:t>Exact distributor onboarding requirements and current legal thresholds.</w:t>
            </w:r>
          </w:p>
        </w:tc>
        <w:tc>
          <w:tcPr>
            <w:tcW w:type="dxa" w:w="3312"/>
            <w:vAlign w:val="center"/>
            <w:shd w:fill="F7F3EE"/>
          </w:tcPr>
          <w:p>
            <w:r>
              <w:rPr>
                <w:sz w:val="18"/>
              </w:rPr>
            </w:r>
            <w:r>
              <w:rPr>
                <w:b w:val="0"/>
                <w:sz w:val="17"/>
              </w:rPr>
              <w:t>Needs fresh primary-source verification before external reliance.</w:t>
            </w:r>
          </w:p>
        </w:tc>
      </w:tr>
      <w:tr>
        <w:tc>
          <w:tcPr>
            <w:tcW w:type="dxa" w:w="5112"/>
          </w:tcPr>
          <w:p>
            <w:r>
              <w:rPr>
                <w:sz w:val="18"/>
              </w:rPr>
              <w:t>All current CAD and Rate Card createObjectURL export paths have paired revokeObjectURL cleanup.</w:t>
            </w:r>
          </w:p>
        </w:tc>
        <w:tc>
          <w:tcPr>
            <w:tcW w:type="dxa" w:w="5112"/>
          </w:tcPr>
          <w:p>
            <w:r>
              <w:rPr>
                <w:sz w:val="18"/>
              </w:rPr>
              <w:t>Verified in supplied FenceboundCAD v5.3.1 and Rate Card HTML; TD-011 closed.</w:t>
            </w:r>
          </w:p>
        </w:tc>
      </w:tr>
      <w:tr>
        <w:tc>
          <w:tcPr>
            <w:tcW w:type="dxa" w:w="5112"/>
          </w:tcPr>
          <w:p>
            <w:r>
              <w:rPr>
                <w:sz w:val="18"/>
              </w:rPr>
              <w:t>FenceScraper v2.2 does not inject external bid fields or log messages through innerHTML; outbound result links are HTTP/HTTPS-only.</w:t>
            </w:r>
          </w:p>
        </w:tc>
        <w:tc>
          <w:tcPr>
            <w:tcW w:type="dxa" w:w="5112"/>
          </w:tcPr>
          <w:p>
            <w:r>
              <w:rPr>
                <w:sz w:val="18"/>
              </w:rPr>
              <w:t>Verified in supplied FenceScraper v2.1 HTML; TD-006 closed.</w:t>
            </w:r>
          </w:p>
        </w:tc>
      </w:tr>
      <w:tr>
        <w:tc>
          <w:tcPr>
            <w:tcW w:type="dxa" w:w="5112"/>
          </w:tcPr>
          <w:p>
            <w:r>
              <w:rPr>
                <w:sz w:val="18"/>
              </w:rPr>
              <w:t>FenceScraper v2.2 runs enabled sources concurrently and prevents a stalled or failed source from blocking the complete scan.</w:t>
            </w:r>
          </w:p>
        </w:tc>
        <w:tc>
          <w:tcPr>
            <w:tcW w:type="dxa" w:w="5112"/>
          </w:tcPr>
          <w:p>
            <w:r>
              <w:rPr>
                <w:sz w:val="18"/>
              </w:rPr>
              <w:t>Verified in supplied FenceScraper v2.2 HTML; TD-007 closed.</w:t>
            </w:r>
          </w:p>
        </w:tc>
      </w:tr>
      <w:tr>
        <w:tc>
          <w:tcPr>
            <w:tcW w:type="dxa" w:w="5112"/>
          </w:tcPr>
          <w:p>
            <w:r>
              <w:t>FenceScraper Level 1 architecture is deterministic and vendor-independent; Level 2 optional intelligence is deferred to the punch list.</w:t>
            </w:r>
          </w:p>
        </w:tc>
        <w:tc>
          <w:tcPr>
            <w:tcW w:type="dxa" w:w="5112"/>
          </w:tcPr>
          <w:p>
            <w:r>
              <w:t>Accepted owner decision recorded in Revision 23.</w:t>
            </w:r>
          </w:p>
        </w:tc>
      </w:tr>
    </w:tbl>
    <w:p/>
    <w:p>
      <w:pPr>
        <w:pStyle w:val="Heading1"/>
      </w:pPr>
      <w:r>
        <w:t>Appendix B. Owner-Supplied Business Context</w:t>
      </w:r>
    </w:p>
    <w:p>
      <w:r>
        <w:t>The legacy DevBible contains owner background, work history, contact information, launch tasks, and equipment plans. Revision 19 preserves only information required to guide software decisions. Sensitive or changeable business facts should be maintained in dedicated business documents rather than duplicated across the engineering manual.</w:t>
      </w:r>
    </w:p>
    <w:p>
      <w:pPr>
        <w:pStyle w:val="Heading1"/>
      </w:pPr>
      <w:r>
        <w:t>Appendix C. Maintenance Rules</w:t>
      </w:r>
    </w:p>
    <w:p>
      <w:pPr>
        <w:pStyle w:val="ListBullet"/>
      </w:pPr>
      <w:r>
        <w:t>Increment the DevBible revision for each accepted documentation release.</w:t>
      </w:r>
    </w:p>
    <w:p>
      <w:pPr>
        <w:pStyle w:val="ListBullet"/>
      </w:pPr>
      <w:r>
        <w:t>Keep the first pages concise and current; move detailed chronology to the archive.</w:t>
      </w:r>
    </w:p>
    <w:p>
      <w:pPr>
        <w:pStyle w:val="ListBullet"/>
      </w:pPr>
      <w:r>
        <w:t>Update compatibility and debt tables whenever a defect is fixed or discovered.</w:t>
      </w:r>
    </w:p>
    <w:p>
      <w:pPr>
        <w:pStyle w:val="ListBullet"/>
      </w:pPr>
      <w:r>
        <w:t>Never copy a live price into this manual without labeling source, date, unit, package quantity, and provisional/verified status.</w:t>
      </w:r>
    </w:p>
    <w:p>
      <w:pPr>
        <w:pStyle w:val="ListBullet"/>
      </w:pPr>
      <w:r>
        <w:t>Attach exact current files to each development session. File names alone are insufficient proof of content.</w:t>
      </w:r>
    </w:p>
    <w:p>
      <w:pPr>
        <w:pStyle w:val="ListBullet"/>
      </w:pPr>
      <w:r>
        <w:t>Render and inspect every delivered DOCX before release.</w:t>
      </w:r>
    </w:p>
    <w:p>
      <w:pPr>
        <w:pStyle w:val="Heading1"/>
      </w:pPr>
      <w:r>
        <w:t>Appendix D. Governing Product Summary</w:t>
      </w:r>
    </w:p>
    <w:p>
      <w:pPr/>
      <w:r>
        <w:t>FenceBound should become the fence contractor’s commercial estimating cockpit: import plan, calibrate, trace once, classify scope, generate BOM and price from the same record, issue professional proposal and scope exhibits, detect object-level addendum changes, and produce an installer-ready packet. It should cooperate cleanly with PDF and CAD standards while refusing the gravity wells of general-purpose drafting, generic document management, premature collaboration infrastructure, and decorative features without operational value.</w:t>
      </w:r>
    </w:p>
    <w:p>
      <w:pPr>
        <w:pStyle w:val="CodeBlock"/>
      </w:pPr>
      <w:r>
        <w:t>The immediate order remains: stabilize geometry → BOM → pricing → persistence → export; professionalize the three primary PDF outputs and CSV; then add calibrated plan takeoff, commercial metadata, object-level revision control, and restrained DXF export.</w:t>
      </w:r>
    </w:p>
    <w:p>
      <w:pPr>
        <w:jc w:val="center"/>
      </w:pPr>
      <w:r>
        <w:t>END OF REVISION 23</w:t>
      </w:r>
    </w:p>
    <w:sectPr w:rsidR="00FC693F" w:rsidRPr="0006063C" w:rsidSect="00034616">
      <w:headerReference w:type="default" r:id="rId9"/>
      <w:footerReference w:type="default" r:id="rId10"/>
      <w:pgSz w:w="12240" w:h="15840"/>
      <w:pgMar w:top="979"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Canonical engineering reference  |  FenceBound / Far-Out Fencing 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E87512"/>
        <w:sz w:val="16"/>
      </w:rPr>
      <w:t>FENCEBOUND  |  DEVELOPMENT BIBLE  |  REVISION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42424"/>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E8751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424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2424"/>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E87512"/>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right="3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FenceBound Development Bible Revision 18</dc:title>
  <dc:subject>Canonical engineering manual for FenceBound</dc:subject>
  <dc:creator>FenceBound / Justin Edwards</dc:creator>
  <cp:keywords/>
  <dc:description>Refactored from Fencebound CAD Development Bible v5.3 using supplied project files.</dc:description>
  <cp:lastModifiedBy/>
  <cp:revision>1</cp:revision>
  <dcterms:created xsi:type="dcterms:W3CDTF">2013-12-23T23:15:00Z</dcterms:created>
  <dcterms:modified xsi:type="dcterms:W3CDTF">2013-12-23T23:15:00Z</dcterms:modified>
  <cp:category/>
</cp:coreProperties>
</file>