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Chỉ số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Tỷ lệ bệnh hô hấp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PM2.5 (µg/m³)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Chỉ số chất lượng không khí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Nhiệt độ trung bình (°C)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Bất thường nhiệt độ (°C)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Lượng mưa (mm)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Số ngày nắng nóng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Số sự kiện thời tiết cực đoan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Chỉ số tiếp cận y tế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GDP bình quân đầu người (USD)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Chỉ số sức khỏe tinh thần</w:t>
            </w:r>
          </w:p>
        </w:tc>
        <w:tc>
          <w:tcPr>
            <w:tcW w:type="dxa" w:w="1141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Chỉ số an ninh lương thực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Tỷ lệ bệnh hô hấp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0.759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0.736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0.232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-0.142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-0.497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-0.377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-0.005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-0.373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PM2.5 (µg/m³)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0.759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0.967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0.283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-0.197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-0.066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-0.062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-0.646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-0.487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-0.48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Chỉ số chất lượng không khí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0.736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0.967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0.275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-0.188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-0.063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-0.624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-0.472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-0.462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Nhiệt độ trung bình (°C)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0.232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0.283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0.275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0.341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0.204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0.19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-0.631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-0.624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-0.019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-0.428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Bất thường nhiệt độ (°C)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-0.007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Lượng mưa (mm)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-0.142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-0.197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-0.188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0.341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0.252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0.227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-0.016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0.024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Số ngày nắng nóng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-0.066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-0.063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0.204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0.252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0.961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0.011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-0.053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0.009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Số sự kiện thời tiết cực đoan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-0.062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0.19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0.227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0.961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-0.079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-0.061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Chỉ số tiếp cận y tế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-0.497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-0.646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-0.624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-0.631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0.011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0.834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0.698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GDP bình quân đầu người (USD)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-0.377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-0.487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-0.472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-0.624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0.834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0.581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Chỉ số sức khỏe tinh thần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-0.005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-0.019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-0.016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-0.053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-0.079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0.037</w:t>
            </w:r>
          </w:p>
        </w:tc>
      </w:tr>
      <w:tr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4"/>
              </w:rPr>
              <w:t>Chỉ số an ninh lương thực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-0.373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-0.462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-0.428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-0.007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0.024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0.009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-0.061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0.698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0.581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0.037</w:t>
            </w:r>
          </w:p>
        </w:tc>
        <w:tc>
          <w:tcPr>
            <w:tcW w:type="dxa" w:w="114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