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Bộ đặc trưng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biến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Bộ đặc trưng gốc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Các biến gốc tại tuần hiện tại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Bộ đặc trưng có độ trễ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49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Các biến gốc kết hợp đặc trưng độ trễ, trung</w:t>
              <w:br/>
              <w:t>bình trượt và mùa vụ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Bộ đặc trưng AQM-Lag đề xuất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53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Bộ đặc trưng có độ trễ kết hợp chỉ số căng thẳng</w:t>
              <w:br/>
              <w:t>AQM và các biến tương tác đơn giản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