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Đặc trưng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quan trọng trung bình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Độ lệch chuẩn mức quan trọng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6.191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0.11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căng thẳng AQM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1.54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0.067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0.296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Tương tác lượng mưa và lũ lụt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0.223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0.023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0.145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0.017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0.078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GDP bình quân đầu người (USD)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0.075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0.015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0.069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0.019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0.067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Tuần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0.058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0.006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 (trung bình trượt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0.047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0.029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0.008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0.027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Thành phần mùa vụ dạng sin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(trung bình trượt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Tháng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0.009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Quốc gia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0.012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0.005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0.005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(trễ 1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0.009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0.003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0.009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0.002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Thành phần mùa vụ dạng cos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0.007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báo lũ lụt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0.006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0.007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0.006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Tương tác PM2.5 và nhiệt độ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0.006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0.008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 (trễ 1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0.006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0.003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0.008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 (trễ 1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 (trễ 1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0.002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0.006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báo hạn hán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an ninh lương thực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 (trễ 1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sức khỏe tinh thần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Năm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 (trung bình trượt 4</w:t>
              <w:br/>
              <w:t>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 (trễ 1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 (trễ 1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0.002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 (trễ 1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tiếp cận y tế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0.002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Nhóm thu nhập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-0.002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0.002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Tương tác AQI và số ngày nắng nóng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-0.002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0.002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 (trung bình trượt 4</w:t>
              <w:br/>
              <w:t>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0.007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Vùng địa lý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0.005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-0.009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0.011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