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Bộ đặc trưng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hình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RMSE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R²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MAPE (%)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Bộ đặc trưng AQM-Lag đề xuất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Hồi quy Ridge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9.976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8.056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0.581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12.385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Bộ đặc trưng gốc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Hồi quy Ridge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9.959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8.034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0.583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12.366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Bộ đặc trưng có độ trễ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Hồi quy Ridge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9.975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8.055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0.581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12.386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