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Category 17: Calendar, Seasonality &amp; Event Effects</w:t>
      </w:r>
    </w:p>
    <w:p>
      <w:pPr>
        <w:jc w:val="center"/>
      </w:pPr>
      <w:r>
        <w:t>Trading calendars, recurring patterns, scheduled announcements, and event-time design</w:t>
      </w:r>
    </w:p>
    <w:p>
      <w:r>
        <w:t>Standalone research document | India-focused stock-market prediction project | Candidate features require empirical validation</w:t>
      </w:r>
    </w:p>
    <w:p>
      <w:pPr>
        <w:pStyle w:val="Heading1"/>
      </w:pPr>
      <w:r>
        <w:t>1. Executive Summary</w:t>
      </w:r>
    </w:p>
    <w:p>
      <w:r>
        <w:t>Calendar and event features encode when an observation occurs and whether it is near a scheduled or unexpected event. They may capture recurring institutional flows, settlement and month-end behavior, holidays, earnings seasons, policy announcements, and market-open/close effects. Apparent seasonality is easy to overfit, so every pattern needs out-of-sample validation and a plausible mechanism.</w:t>
      </w:r>
    </w:p>
    <w:p>
      <w:r>
        <w:t>Separate ordinary calendar variables from event variables. Calendar features are known in advance; actual event outcomes and announcements become known only when released. A model must not use an event result before its publication time.</w:t>
      </w:r>
    </w:p>
    <w:p>
      <w:pPr>
        <w:pStyle w:val="Heading1"/>
      </w:pPr>
      <w:r>
        <w:t>2. Research Dimensions</w:t>
      </w:r>
    </w:p>
    <w:p>
      <w:pPr>
        <w:pStyle w:val="ListBullet"/>
      </w:pPr>
      <w:r>
        <w:t>Day of week, week of month, month, quarter, and year-end effects.</w:t>
      </w:r>
    </w:p>
    <w:p>
      <w:pPr>
        <w:pStyle w:val="ListBullet"/>
      </w:pPr>
      <w:r>
        <w:t>Month-end, quarter-end, financial-year-end, and rebalancing windows.</w:t>
      </w:r>
    </w:p>
    <w:p>
      <w:pPr>
        <w:pStyle w:val="ListBullet"/>
      </w:pPr>
      <w:r>
        <w:t>Trading-session count, holiday adjacency, long weekends, and pre/post-holiday sessions.</w:t>
      </w:r>
    </w:p>
    <w:p>
      <w:pPr>
        <w:pStyle w:val="ListBullet"/>
      </w:pPr>
      <w:r>
        <w:t>Indian exchange holidays and special sessions, including muhurat trading when applicable.</w:t>
      </w:r>
    </w:p>
    <w:p>
      <w:pPr>
        <w:pStyle w:val="ListBullet"/>
      </w:pPr>
      <w:r>
        <w:t>Union Budget and other scheduled policy events.</w:t>
      </w:r>
    </w:p>
    <w:p>
      <w:pPr>
        <w:pStyle w:val="ListBullet"/>
      </w:pPr>
      <w:r>
        <w:t>RBI Monetary Policy Committee decision dates and scheduled macro releases.</w:t>
      </w:r>
    </w:p>
    <w:p>
      <w:pPr>
        <w:pStyle w:val="ListBullet"/>
      </w:pPr>
      <w:r>
        <w:t>Earnings season, company result dates, and days relative to earnings announcement.</w:t>
      </w:r>
    </w:p>
    <w:p>
      <w:pPr>
        <w:pStyle w:val="ListBullet"/>
      </w:pPr>
      <w:r>
        <w:t>IPO listing, index rebalancing, expiry dates, and derivatives settlement-related calendar effects.</w:t>
      </w:r>
    </w:p>
    <w:p>
      <w:pPr>
        <w:pStyle w:val="ListBullet"/>
      </w:pPr>
      <w:r>
        <w:t>Time of day / intraday session effects if intraday data are in scope.</w:t>
      </w:r>
    </w:p>
    <w:p>
      <w:pPr>
        <w:pStyle w:val="ListBullet"/>
      </w:pPr>
      <w:r>
        <w:t>Unexpected event flags: unscheduled policy, geopolitical, corporate, or market disruption announcements.</w:t>
      </w:r>
    </w:p>
    <w:p>
      <w:pPr>
        <w:pStyle w:val="Heading1"/>
      </w:pPr>
      <w:r>
        <w:t>3. Why Calendar Effects May Occur</w:t>
      </w:r>
    </w:p>
    <w:p>
      <w:pPr>
        <w:pStyle w:val="ListBullet"/>
      </w:pPr>
      <w:r>
        <w:t>Portfolio rebalancing and benchmark tracking near month-end or quarter-end.</w:t>
      </w:r>
    </w:p>
    <w:p>
      <w:pPr>
        <w:pStyle w:val="ListBullet"/>
      </w:pPr>
      <w:r>
        <w:t>Liquidity and participation changes before holidays or during shortened/special sessions.</w:t>
      </w:r>
    </w:p>
    <w:p>
      <w:pPr>
        <w:pStyle w:val="ListBullet"/>
      </w:pPr>
      <w:r>
        <w:t>Scheduled information events can raise uncertainty before release and cause repricing after release.</w:t>
      </w:r>
    </w:p>
    <w:p>
      <w:pPr>
        <w:pStyle w:val="ListBullet"/>
      </w:pPr>
      <w:r>
        <w:t>Earnings clusters can change volatility and sector-wide information flow.</w:t>
      </w:r>
    </w:p>
    <w:p>
      <w:pPr>
        <w:pStyle w:val="ListBullet"/>
      </w:pPr>
      <w:r>
        <w:t>Derivatives expiry and roll activity can affect volume, basis, and short-horizon dynamics.</w:t>
      </w:r>
    </w:p>
    <w:p>
      <w:pPr>
        <w:pStyle w:val="ListBullet"/>
      </w:pPr>
      <w:r>
        <w:t>Repeated patterns may be random, regime-dependent, or discovered by chance after many tests.</w:t>
      </w:r>
    </w:p>
    <w:p>
      <w:pPr>
        <w:pStyle w:val="Heading1"/>
      </w:pPr>
      <w:r>
        <w:t>4. Feature Formulas and Definitions</w:t>
      </w:r>
    </w:p>
    <w:p>
      <w:pPr>
        <w:pStyle w:val="Heading2"/>
      </w:pPr>
      <w:r>
        <w:t>4.1 Calendar encoding</w:t>
      </w:r>
    </w:p>
    <w:p>
      <w:r>
        <w:t>Day-of-week, month, and session flags can be one-hot encoded. For cyclical variables such as day-of-year, sine/cosine encoding can preserve wrap-around: sin(2πd/D) and cos(2πd/D), where d is the day index and D is the cycle length. Use with caution because market holidays make calendar time differ from trading-session time.</w:t>
      </w:r>
    </w:p>
    <w:p>
      <w:pPr>
        <w:pStyle w:val="Heading2"/>
      </w:pPr>
      <w:r>
        <w:t>4.2 Event distance</w:t>
      </w:r>
    </w:p>
    <w:p>
      <w:r>
        <w:t>Days-to-event = number of calendar or trading sessions until the scheduled event. Days-since-event = sessions since it occurred. Choose one convention and store the event timestamp.</w:t>
      </w:r>
    </w:p>
    <w:p>
      <w:r>
        <w:t>Event window flags: indicator variables for pre-event, event-day, and post-event windows (for example, sessions −3 to −1, 0, +1 to +3). Define windows before testing; many overlapping windows increase false discoveries.</w:t>
      </w:r>
    </w:p>
    <w:p>
      <w:pPr>
        <w:pStyle w:val="Heading2"/>
      </w:pPr>
      <w:r>
        <w:t>4.3 Event surprise</w:t>
      </w:r>
    </w:p>
    <w:p>
      <w:r>
        <w:t>Surprise = released value − consensus expectation, if a reliable consensus series is available. Standardized surprise = (actual − consensus) / historical standard deviation of forecast errors, with statistics estimated only from past observations. If consensus is unavailable, do not fabricate it; use the actual release and a transparent change metric instead.</w:t>
      </w:r>
    </w:p>
    <w:p>
      <w:pPr>
        <w:pStyle w:val="Heading2"/>
      </w:pPr>
      <w:r>
        <w:t>4.4 Seasonality tests</w:t>
      </w:r>
    </w:p>
    <w:p>
      <w:r>
        <w:t>Compare mean/median returns or volatility across calendar groups, but include confidence intervals and multiple-testing awareness. A calendar effect should survive out-of-sample testing and should not rely on one unusual year.</w:t>
      </w:r>
    </w:p>
    <w:p>
      <w:pPr>
        <w:pStyle w:val="Heading1"/>
      </w:pPr>
      <w:r>
        <w:t>5. Raw Data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Dataset</w:t>
            </w:r>
          </w:p>
        </w:tc>
        <w:tc>
          <w:tcPr>
            <w:tcW w:type="dxa" w:w="3312"/>
          </w:tcPr>
          <w:p>
            <w:r>
              <w:t>Suggested columns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trading_calendar</w:t>
            </w:r>
          </w:p>
        </w:tc>
        <w:tc>
          <w:tcPr>
            <w:tcW w:type="dxa" w:w="3312"/>
          </w:tcPr>
          <w:p>
            <w:r>
              <w:t>date, exchange, is_trading_day, session_type, holiday_name, special_session_flag</w:t>
            </w:r>
          </w:p>
        </w:tc>
        <w:tc>
          <w:tcPr>
            <w:tcW w:type="dxa" w:w="3312"/>
          </w:tcPr>
          <w:p>
            <w:r>
              <w:t>Align dates and sessions</w:t>
            </w:r>
          </w:p>
        </w:tc>
      </w:tr>
      <w:tr>
        <w:tc>
          <w:tcPr>
            <w:tcW w:type="dxa" w:w="3312"/>
          </w:tcPr>
          <w:p>
            <w:r>
              <w:t>scheduled_events</w:t>
            </w:r>
          </w:p>
        </w:tc>
        <w:tc>
          <w:tcPr>
            <w:tcW w:type="dxa" w:w="3312"/>
          </w:tcPr>
          <w:p>
            <w:r>
              <w:t>event_id, event_type, scheduled_at, announced_at, source_url, affected_scope</w:t>
            </w:r>
          </w:p>
        </w:tc>
        <w:tc>
          <w:tcPr>
            <w:tcW w:type="dxa" w:w="3312"/>
          </w:tcPr>
          <w:p>
            <w:r>
              <w:t>Known event timing</w:t>
            </w:r>
          </w:p>
        </w:tc>
      </w:tr>
      <w:tr>
        <w:tc>
          <w:tcPr>
            <w:tcW w:type="dxa" w:w="3312"/>
          </w:tcPr>
          <w:p>
            <w:r>
              <w:t>actual_releases</w:t>
            </w:r>
          </w:p>
        </w:tc>
        <w:tc>
          <w:tcPr>
            <w:tcW w:type="dxa" w:w="3312"/>
          </w:tcPr>
          <w:p>
            <w:r>
              <w:t>event_id, actual_release_at, actual_value, unit, source, revision_timestamp</w:t>
            </w:r>
          </w:p>
        </w:tc>
        <w:tc>
          <w:tcPr>
            <w:tcW w:type="dxa" w:w="3312"/>
          </w:tcPr>
          <w:p>
            <w:r>
              <w:t>Post-release features</w:t>
            </w:r>
          </w:p>
        </w:tc>
      </w:tr>
      <w:tr>
        <w:tc>
          <w:tcPr>
            <w:tcW w:type="dxa" w:w="3312"/>
          </w:tcPr>
          <w:p>
            <w:r>
              <w:t>earnings_calendar</w:t>
            </w:r>
          </w:p>
        </w:tc>
        <w:tc>
          <w:tcPr>
            <w:tcW w:type="dxa" w:w="3312"/>
          </w:tcPr>
          <w:p>
            <w:r>
              <w:t>security_id, scheduled_at, actual_release_at, filing_at, event_type</w:t>
            </w:r>
          </w:p>
        </w:tc>
        <w:tc>
          <w:tcPr>
            <w:tcW w:type="dxa" w:w="3312"/>
          </w:tcPr>
          <w:p>
            <w:r>
              <w:t>Company-level earnings windows</w:t>
            </w:r>
          </w:p>
        </w:tc>
      </w:tr>
      <w:tr>
        <w:tc>
          <w:tcPr>
            <w:tcW w:type="dxa" w:w="3312"/>
          </w:tcPr>
          <w:p>
            <w:r>
              <w:t>index_rebalance</w:t>
            </w:r>
          </w:p>
        </w:tc>
        <w:tc>
          <w:tcPr>
            <w:tcW w:type="dxa" w:w="3312"/>
          </w:tcPr>
          <w:p>
            <w:r>
              <w:t>index_id, announcement_at, effective_date, additions, deletions, weights</w:t>
            </w:r>
          </w:p>
        </w:tc>
        <w:tc>
          <w:tcPr>
            <w:tcW w:type="dxa" w:w="3312"/>
          </w:tcPr>
          <w:p>
            <w:r>
              <w:t>Passive-flow event windows</w:t>
            </w:r>
          </w:p>
        </w:tc>
      </w:tr>
      <w:tr>
        <w:tc>
          <w:tcPr>
            <w:tcW w:type="dxa" w:w="3312"/>
          </w:tcPr>
          <w:p>
            <w:r>
              <w:t>derivatives_calendar</w:t>
            </w:r>
          </w:p>
        </w:tc>
        <w:tc>
          <w:tcPr>
            <w:tcW w:type="dxa" w:w="3312"/>
          </w:tcPr>
          <w:p>
            <w:r>
              <w:t>contract, expiry_date, roll_window, source</w:t>
            </w:r>
          </w:p>
        </w:tc>
        <w:tc>
          <w:tcPr>
            <w:tcW w:type="dxa" w:w="3312"/>
          </w:tcPr>
          <w:p>
            <w:r>
              <w:t>Expiry/roll features</w:t>
            </w:r>
          </w:p>
        </w:tc>
      </w:tr>
      <w:tr>
        <w:tc>
          <w:tcPr>
            <w:tcW w:type="dxa" w:w="3312"/>
          </w:tcPr>
          <w:p>
            <w:r>
              <w:t>market_prices</w:t>
            </w:r>
          </w:p>
        </w:tc>
        <w:tc>
          <w:tcPr>
            <w:tcW w:type="dxa" w:w="3312"/>
          </w:tcPr>
          <w:p>
            <w:r>
              <w:t>security_id, timestamp, open, high, low, close, volume</w:t>
            </w:r>
          </w:p>
        </w:tc>
        <w:tc>
          <w:tcPr>
            <w:tcW w:type="dxa" w:w="3312"/>
          </w:tcPr>
          <w:p>
            <w:r>
              <w:t>Measure event-window outcomes</w:t>
            </w:r>
          </w:p>
        </w:tc>
      </w:tr>
    </w:tbl>
    <w:p>
      <w:pPr>
        <w:pStyle w:val="Heading1"/>
      </w:pPr>
      <w:r>
        <w:t>6. Data Sources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Source</w:t>
            </w:r>
          </w:p>
        </w:tc>
        <w:tc>
          <w:tcPr>
            <w:tcW w:type="dxa" w:w="3312"/>
          </w:tcPr>
          <w:p>
            <w:r>
              <w:t>URL</w:t>
            </w:r>
          </w:p>
        </w:tc>
        <w:tc>
          <w:tcPr>
            <w:tcW w:type="dxa" w:w="3312"/>
          </w:tcPr>
          <w:p>
            <w:r>
              <w:t>Potential use / limitations</w:t>
            </w:r>
          </w:p>
        </w:tc>
      </w:tr>
      <w:tr>
        <w:tc>
          <w:tcPr>
            <w:tcW w:type="dxa" w:w="3312"/>
          </w:tcPr>
          <w:p>
            <w:r>
              <w:t>NSE holidays and market notices</w:t>
            </w:r>
          </w:p>
        </w:tc>
        <w:tc>
          <w:tcPr>
            <w:tcW w:type="dxa" w:w="3312"/>
          </w:tcPr>
          <w:p>
            <w:r>
              <w:t>https://www.nseindia.com/</w:t>
            </w:r>
          </w:p>
        </w:tc>
        <w:tc>
          <w:tcPr>
            <w:tcW w:type="dxa" w:w="3312"/>
          </w:tcPr>
          <w:p>
            <w:r>
              <w:t>Official exchange calendar, special-session notices, and market circulars; confirm current-year notices.</w:t>
            </w:r>
          </w:p>
        </w:tc>
      </w:tr>
      <w:tr>
        <w:tc>
          <w:tcPr>
            <w:tcW w:type="dxa" w:w="3312"/>
          </w:tcPr>
          <w:p>
            <w:r>
              <w:t>BSE</w:t>
            </w:r>
          </w:p>
        </w:tc>
        <w:tc>
          <w:tcPr>
            <w:tcW w:type="dxa" w:w="3312"/>
          </w:tcPr>
          <w:p>
            <w:r>
              <w:t>https://www.bseindia.com/</w:t>
            </w:r>
          </w:p>
        </w:tc>
        <w:tc>
          <w:tcPr>
            <w:tcW w:type="dxa" w:w="3312"/>
          </w:tcPr>
          <w:p>
            <w:r>
              <w:t>Exchange holidays, notices, corporate announcements and filings.</w:t>
            </w:r>
          </w:p>
        </w:tc>
      </w:tr>
      <w:tr>
        <w:tc>
          <w:tcPr>
            <w:tcW w:type="dxa" w:w="3312"/>
          </w:tcPr>
          <w:p>
            <w:r>
              <w:t>RBI</w:t>
            </w:r>
          </w:p>
        </w:tc>
        <w:tc>
          <w:tcPr>
            <w:tcW w:type="dxa" w:w="3312"/>
          </w:tcPr>
          <w:p>
            <w:r>
              <w:t>https://www.rbi.org.in/</w:t>
            </w:r>
          </w:p>
        </w:tc>
        <w:tc>
          <w:tcPr>
            <w:tcW w:type="dxa" w:w="3312"/>
          </w:tcPr>
          <w:p>
            <w:r>
              <w:t>MPC schedule, policy releases, and official monetary-policy announcements.</w:t>
            </w:r>
          </w:p>
        </w:tc>
      </w:tr>
      <w:tr>
        <w:tc>
          <w:tcPr>
            <w:tcW w:type="dxa" w:w="3312"/>
          </w:tcPr>
          <w:p>
            <w:r>
              <w:t>India Union Budget</w:t>
            </w:r>
          </w:p>
        </w:tc>
        <w:tc>
          <w:tcPr>
            <w:tcW w:type="dxa" w:w="3312"/>
          </w:tcPr>
          <w:p>
            <w:r>
              <w:t>https://www.indiabudget.gov.in/</w:t>
            </w:r>
          </w:p>
        </w:tc>
        <w:tc>
          <w:tcPr>
            <w:tcW w:type="dxa" w:w="3312"/>
          </w:tcPr>
          <w:p>
            <w:r>
              <w:t>Official Budget documents and dates; release content becomes available at publication time.</w:t>
            </w:r>
          </w:p>
        </w:tc>
      </w:tr>
      <w:tr>
        <w:tc>
          <w:tcPr>
            <w:tcW w:type="dxa" w:w="3312"/>
          </w:tcPr>
          <w:p>
            <w:r>
              <w:t>MOSPI</w:t>
            </w:r>
          </w:p>
        </w:tc>
        <w:tc>
          <w:tcPr>
            <w:tcW w:type="dxa" w:w="3312"/>
          </w:tcPr>
          <w:p>
            <w:r>
              <w:t>https://www.mospi.gov.in/</w:t>
            </w:r>
          </w:p>
        </w:tc>
        <w:tc>
          <w:tcPr>
            <w:tcW w:type="dxa" w:w="3312"/>
          </w:tcPr>
          <w:p>
            <w:r>
              <w:t>Official release calendar and statistical releases, where provided.</w:t>
            </w:r>
          </w:p>
        </w:tc>
      </w:tr>
      <w:tr>
        <w:tc>
          <w:tcPr>
            <w:tcW w:type="dxa" w:w="3312"/>
          </w:tcPr>
          <w:p>
            <w:r>
              <w:t>Company exchange filings</w:t>
            </w:r>
          </w:p>
        </w:tc>
        <w:tc>
          <w:tcPr>
            <w:tcW w:type="dxa" w:w="3312"/>
          </w:tcPr>
          <w:p>
            <w:r>
              <w:t>https://www.nseindia.com/companies-listing/corporate-filings-announcements</w:t>
            </w:r>
          </w:p>
        </w:tc>
        <w:tc>
          <w:tcPr>
            <w:tcW w:type="dxa" w:w="3312"/>
          </w:tcPr>
          <w:p>
            <w:r>
              <w:t>Company results and event disclosures; announcement time and filing time can differ.</w:t>
            </w:r>
          </w:p>
        </w:tc>
      </w:tr>
      <w:tr>
        <w:tc>
          <w:tcPr>
            <w:tcW w:type="dxa" w:w="3312"/>
          </w:tcPr>
          <w:p>
            <w:r>
              <w:t>NSE Indices</w:t>
            </w:r>
          </w:p>
        </w:tc>
        <w:tc>
          <w:tcPr>
            <w:tcW w:type="dxa" w:w="3312"/>
          </w:tcPr>
          <w:p>
            <w:r>
              <w:t>https://www.niftyindices.com/</w:t>
            </w:r>
          </w:p>
        </w:tc>
        <w:tc>
          <w:tcPr>
            <w:tcW w:type="dxa" w:w="3312"/>
          </w:tcPr>
          <w:p>
            <w:r>
              <w:t>Index methodology, rebalancing notices, and factsheets where available.</w:t>
            </w:r>
          </w:p>
        </w:tc>
      </w:tr>
    </w:tbl>
    <w:p>
      <w:pPr>
        <w:pStyle w:val="Heading1"/>
      </w:pPr>
      <w:r>
        <w:t>7. Availability and Leakage Rules</w:t>
      </w:r>
    </w:p>
    <w:p>
      <w:pPr>
        <w:pStyle w:val="ListBullet"/>
      </w:pPr>
      <w:r>
        <w:t>Calendar dates and published schedules are known in advance, but scheduled events can be moved; keep announced_at and last_updated_at.</w:t>
      </w:r>
    </w:p>
    <w:p>
      <w:pPr>
        <w:pStyle w:val="ListBullet"/>
      </w:pPr>
      <w:r>
        <w:t>Use actual_release_at for event outcomes; do not place actual results into pre-event features.</w:t>
      </w:r>
    </w:p>
    <w:p>
      <w:pPr>
        <w:pStyle w:val="ListBullet"/>
      </w:pPr>
      <w:r>
        <w:t>After-market filings should not be treated as available at that session's close unless the prediction cutoff is later.</w:t>
      </w:r>
    </w:p>
    <w:p>
      <w:pPr>
        <w:pStyle w:val="ListBullet"/>
      </w:pPr>
      <w:r>
        <w:t>Use exchange trading sessions rather than naive calendar-day offsets for short event windows.</w:t>
      </w:r>
    </w:p>
    <w:p>
      <w:pPr>
        <w:pStyle w:val="ListBullet"/>
      </w:pPr>
      <w:r>
        <w:t>Keep the historical holiday and special-session calendar; do not apply current schedules retroactively.</w:t>
      </w:r>
    </w:p>
    <w:p>
      <w:pPr>
        <w:pStyle w:val="ListBullet"/>
      </w:pPr>
      <w:r>
        <w:t>Store earnings scheduled date, actual announcement time, and exchange filing timestamp separately.</w:t>
      </w:r>
    </w:p>
    <w:p>
      <w:pPr>
        <w:pStyle w:val="ListBullet"/>
      </w:pPr>
      <w:r>
        <w:t>Consensus forecasts can be revised and may require licensed data; retain historical vintages if used.</w:t>
      </w:r>
    </w:p>
    <w:p>
      <w:pPr>
        <w:pStyle w:val="ListBullet"/>
      </w:pPr>
      <w:r>
        <w:t>Test many calendar combinations carefully; repeated searching creates multiple-testing and data-snooping risk.</w:t>
      </w:r>
    </w:p>
    <w:p>
      <w:pPr>
        <w:pStyle w:val="Heading1"/>
      </w:pPr>
      <w:r>
        <w:t>8. Candidate Features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Feature</w:t>
            </w:r>
          </w:p>
        </w:tc>
        <w:tc>
          <w:tcPr>
            <w:tcW w:type="dxa" w:w="3312"/>
          </w:tcPr>
          <w:p>
            <w:r>
              <w:t>Scope</w:t>
            </w:r>
          </w:p>
        </w:tc>
        <w:tc>
          <w:tcPr>
            <w:tcW w:type="dxa" w:w="3312"/>
          </w:tcPr>
          <w:p>
            <w:r>
              <w:t>Caution</w:t>
            </w:r>
          </w:p>
        </w:tc>
      </w:tr>
      <w:tr>
        <w:tc>
          <w:tcPr>
            <w:tcW w:type="dxa" w:w="3312"/>
          </w:tcPr>
          <w:p>
            <w:r>
              <w:t>Day-of-week and month one-hot flags</w:t>
            </w:r>
          </w:p>
        </w:tc>
        <w:tc>
          <w:tcPr>
            <w:tcW w:type="dxa" w:w="3312"/>
          </w:tcPr>
          <w:p>
            <w:r>
              <w:t>Market/daily</w:t>
            </w:r>
          </w:p>
        </w:tc>
        <w:tc>
          <w:tcPr>
            <w:tcW w:type="dxa" w:w="3312"/>
          </w:tcPr>
          <w:p>
            <w:r>
              <w:t>Low-complexity baseline; effect may disappear</w:t>
            </w:r>
          </w:p>
        </w:tc>
      </w:tr>
      <w:tr>
        <w:tc>
          <w:tcPr>
            <w:tcW w:type="dxa" w:w="3312"/>
          </w:tcPr>
          <w:p>
            <w:r>
              <w:t>Month-end / quarter-end session flag</w:t>
            </w:r>
          </w:p>
        </w:tc>
        <w:tc>
          <w:tcPr>
            <w:tcW w:type="dxa" w:w="3312"/>
          </w:tcPr>
          <w:p>
            <w:r>
              <w:t>Market/daily</w:t>
            </w:r>
          </w:p>
        </w:tc>
        <w:tc>
          <w:tcPr>
            <w:tcW w:type="dxa" w:w="3312"/>
          </w:tcPr>
          <w:p>
            <w:r>
              <w:t>Define trading-session window explicitly</w:t>
            </w:r>
          </w:p>
        </w:tc>
      </w:tr>
      <w:tr>
        <w:tc>
          <w:tcPr>
            <w:tcW w:type="dxa" w:w="3312"/>
          </w:tcPr>
          <w:p>
            <w:r>
              <w:t>Pre/post-holiday flag</w:t>
            </w:r>
          </w:p>
        </w:tc>
        <w:tc>
          <w:tcPr>
            <w:tcW w:type="dxa" w:w="3312"/>
          </w:tcPr>
          <w:p>
            <w:r>
              <w:t>Market/daily</w:t>
            </w:r>
          </w:p>
        </w:tc>
        <w:tc>
          <w:tcPr>
            <w:tcW w:type="dxa" w:w="3312"/>
          </w:tcPr>
          <w:p>
            <w:r>
              <w:t>Liquidity and calendar vary by year</w:t>
            </w:r>
          </w:p>
        </w:tc>
      </w:tr>
      <w:tr>
        <w:tc>
          <w:tcPr>
            <w:tcW w:type="dxa" w:w="3312"/>
          </w:tcPr>
          <w:p>
            <w:r>
              <w:t>Days to scheduled RBI MPC decision</w:t>
            </w:r>
          </w:p>
        </w:tc>
        <w:tc>
          <w:tcPr>
            <w:tcW w:type="dxa" w:w="3312"/>
          </w:tcPr>
          <w:p>
            <w:r>
              <w:t>Market/daily</w:t>
            </w:r>
          </w:p>
        </w:tc>
        <w:tc>
          <w:tcPr>
            <w:tcW w:type="dxa" w:w="3312"/>
          </w:tcPr>
          <w:p>
            <w:r>
              <w:t>Schedule can change; known-date feature only</w:t>
            </w:r>
          </w:p>
        </w:tc>
      </w:tr>
      <w:tr>
        <w:tc>
          <w:tcPr>
            <w:tcW w:type="dxa" w:w="3312"/>
          </w:tcPr>
          <w:p>
            <w:r>
              <w:t>Earnings window flag</w:t>
            </w:r>
          </w:p>
        </w:tc>
        <w:tc>
          <w:tcPr>
            <w:tcW w:type="dxa" w:w="3312"/>
          </w:tcPr>
          <w:p>
            <w:r>
              <w:t>Company/daily</w:t>
            </w:r>
          </w:p>
        </w:tc>
        <w:tc>
          <w:tcPr>
            <w:tcW w:type="dxa" w:w="3312"/>
          </w:tcPr>
          <w:p>
            <w:r>
              <w:t>Use true announcement timestamp</w:t>
            </w:r>
          </w:p>
        </w:tc>
      </w:tr>
      <w:tr>
        <w:tc>
          <w:tcPr>
            <w:tcW w:type="dxa" w:w="3312"/>
          </w:tcPr>
          <w:p>
            <w:r>
              <w:t>Post-earnings session count</w:t>
            </w:r>
          </w:p>
        </w:tc>
        <w:tc>
          <w:tcPr>
            <w:tcW w:type="dxa" w:w="3312"/>
          </w:tcPr>
          <w:p>
            <w:r>
              <w:t>Company/event</w:t>
            </w:r>
          </w:p>
        </w:tc>
        <w:tc>
          <w:tcPr>
            <w:tcW w:type="dxa" w:w="3312"/>
          </w:tcPr>
          <w:p>
            <w:r>
              <w:t>Outcome only after release</w:t>
            </w:r>
          </w:p>
        </w:tc>
      </w:tr>
      <w:tr>
        <w:tc>
          <w:tcPr>
            <w:tcW w:type="dxa" w:w="3312"/>
          </w:tcPr>
          <w:p>
            <w:r>
              <w:t>Budget-day / policy-event flag</w:t>
            </w:r>
          </w:p>
        </w:tc>
        <w:tc>
          <w:tcPr>
            <w:tcW w:type="dxa" w:w="3312"/>
          </w:tcPr>
          <w:p>
            <w:r>
              <w:t>Market/event</w:t>
            </w:r>
          </w:p>
        </w:tc>
        <w:tc>
          <w:tcPr>
            <w:tcW w:type="dxa" w:w="3312"/>
          </w:tcPr>
          <w:p>
            <w:r>
              <w:t>Do not infer effect direction in advance</w:t>
            </w:r>
          </w:p>
        </w:tc>
      </w:tr>
      <w:tr>
        <w:tc>
          <w:tcPr>
            <w:tcW w:type="dxa" w:w="3312"/>
          </w:tcPr>
          <w:p>
            <w:r>
              <w:t>Expiry proximity</w:t>
            </w:r>
          </w:p>
        </w:tc>
        <w:tc>
          <w:tcPr>
            <w:tcW w:type="dxa" w:w="3312"/>
          </w:tcPr>
          <w:p>
            <w:r>
              <w:t>Market/derivatives</w:t>
            </w:r>
          </w:p>
        </w:tc>
        <w:tc>
          <w:tcPr>
            <w:tcW w:type="dxa" w:w="3312"/>
          </w:tcPr>
          <w:p>
            <w:r>
              <w:t>Contract calendars and settlement rules can change</w:t>
            </w:r>
          </w:p>
        </w:tc>
      </w:tr>
      <w:tr>
        <w:tc>
          <w:tcPr>
            <w:tcW w:type="dxa" w:w="3312"/>
          </w:tcPr>
          <w:p>
            <w:r>
              <w:t>Event surprise standardized score</w:t>
            </w:r>
          </w:p>
        </w:tc>
        <w:tc>
          <w:tcPr>
            <w:tcW w:type="dxa" w:w="3312"/>
          </w:tcPr>
          <w:p>
            <w:r>
              <w:t>Release/event</w:t>
            </w:r>
          </w:p>
        </w:tc>
        <w:tc>
          <w:tcPr>
            <w:tcW w:type="dxa" w:w="3312"/>
          </w:tcPr>
          <w:p>
            <w:r>
              <w:t>Requires reliable consensus and point-in-time vintage</w:t>
            </w:r>
          </w:p>
        </w:tc>
      </w:tr>
      <w:tr>
        <w:tc>
          <w:tcPr>
            <w:tcW w:type="dxa" w:w="3312"/>
          </w:tcPr>
          <w:p>
            <w:r>
              <w:t>Special-session flag</w:t>
            </w:r>
          </w:p>
        </w:tc>
        <w:tc>
          <w:tcPr>
            <w:tcW w:type="dxa" w:w="3312"/>
          </w:tcPr>
          <w:p>
            <w:r>
              <w:t>Market/daily</w:t>
            </w:r>
          </w:p>
        </w:tc>
        <w:tc>
          <w:tcPr>
            <w:tcW w:type="dxa" w:w="3312"/>
          </w:tcPr>
          <w:p>
            <w:r>
              <w:t>Avoid mixing special session returns without documenting method</w:t>
            </w:r>
          </w:p>
        </w:tc>
      </w:tr>
    </w:tbl>
    <w:p>
      <w:pPr>
        <w:pStyle w:val="Heading1"/>
      </w:pPr>
      <w:r>
        <w:t>9. Blockers and Mitigations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Blocker</w:t>
            </w:r>
          </w:p>
        </w:tc>
        <w:tc>
          <w:tcPr>
            <w:tcW w:type="dxa" w:w="3312"/>
          </w:tcPr>
          <w:p>
            <w:r>
              <w:t>Risk</w:t>
            </w:r>
          </w:p>
        </w:tc>
        <w:tc>
          <w:tcPr>
            <w:tcW w:type="dxa" w:w="3312"/>
          </w:tcPr>
          <w:p>
            <w:r>
              <w:t>Mitigation</w:t>
            </w:r>
          </w:p>
        </w:tc>
      </w:tr>
      <w:tr>
        <w:tc>
          <w:tcPr>
            <w:tcW w:type="dxa" w:w="3312"/>
          </w:tcPr>
          <w:p>
            <w:r>
              <w:t>Small number of annual events</w:t>
            </w:r>
          </w:p>
        </w:tc>
        <w:tc>
          <w:tcPr>
            <w:tcW w:type="dxa" w:w="3312"/>
          </w:tcPr>
          <w:p>
            <w:r>
              <w:t>Low statistical power</w:t>
            </w:r>
          </w:p>
        </w:tc>
        <w:tc>
          <w:tcPr>
            <w:tcW w:type="dxa" w:w="3312"/>
          </w:tcPr>
          <w:p>
            <w:r>
              <w:t>Use cautious inference and report uncertainty</w:t>
            </w:r>
          </w:p>
        </w:tc>
      </w:tr>
      <w:tr>
        <w:tc>
          <w:tcPr>
            <w:tcW w:type="dxa" w:w="3312"/>
          </w:tcPr>
          <w:p>
            <w:r>
              <w:t>Event date changes</w:t>
            </w:r>
          </w:p>
        </w:tc>
        <w:tc>
          <w:tcPr>
            <w:tcW w:type="dxa" w:w="3312"/>
          </w:tcPr>
          <w:p>
            <w:r>
              <w:t>Wrong alignment</w:t>
            </w:r>
          </w:p>
        </w:tc>
        <w:tc>
          <w:tcPr>
            <w:tcW w:type="dxa" w:w="3312"/>
          </w:tcPr>
          <w:p>
            <w:r>
              <w:t>Version schedules and retain announcements</w:t>
            </w:r>
          </w:p>
        </w:tc>
      </w:tr>
      <w:tr>
        <w:tc>
          <w:tcPr>
            <w:tcW w:type="dxa" w:w="3312"/>
          </w:tcPr>
          <w:p>
            <w:r>
              <w:t>After-close publication</w:t>
            </w:r>
          </w:p>
        </w:tc>
        <w:tc>
          <w:tcPr>
            <w:tcW w:type="dxa" w:w="3312"/>
          </w:tcPr>
          <w:p>
            <w:r>
              <w:t>Look-ahead leakage</w:t>
            </w:r>
          </w:p>
        </w:tc>
        <w:tc>
          <w:tcPr>
            <w:tcW w:type="dxa" w:w="3312"/>
          </w:tcPr>
          <w:p>
            <w:r>
              <w:t>Use exact timestamps and next-session availability</w:t>
            </w:r>
          </w:p>
        </w:tc>
      </w:tr>
      <w:tr>
        <w:tc>
          <w:tcPr>
            <w:tcW w:type="dxa" w:w="3312"/>
          </w:tcPr>
          <w:p>
            <w:r>
              <w:t>Many feature combinations</w:t>
            </w:r>
          </w:p>
        </w:tc>
        <w:tc>
          <w:tcPr>
            <w:tcW w:type="dxa" w:w="3312"/>
          </w:tcPr>
          <w:p>
            <w:r>
              <w:t>False discoveries</w:t>
            </w:r>
          </w:p>
        </w:tc>
        <w:tc>
          <w:tcPr>
            <w:tcW w:type="dxa" w:w="3312"/>
          </w:tcPr>
          <w:p>
            <w:r>
              <w:t>Predefine hypotheses, adjust for multiple testing, use holdout periods</w:t>
            </w:r>
          </w:p>
        </w:tc>
      </w:tr>
      <w:tr>
        <w:tc>
          <w:tcPr>
            <w:tcW w:type="dxa" w:w="3312"/>
          </w:tcPr>
          <w:p>
            <w:r>
              <w:t>Calendar differences</w:t>
            </w:r>
          </w:p>
        </w:tc>
        <w:tc>
          <w:tcPr>
            <w:tcW w:type="dxa" w:w="3312"/>
          </w:tcPr>
          <w:p>
            <w:r>
              <w:t>Misaligned observations</w:t>
            </w:r>
          </w:p>
        </w:tc>
        <w:tc>
          <w:tcPr>
            <w:tcW w:type="dxa" w:w="3312"/>
          </w:tcPr>
          <w:p>
            <w:r>
              <w:t>Use official exchange session calendar</w:t>
            </w:r>
          </w:p>
        </w:tc>
      </w:tr>
      <w:tr>
        <w:tc>
          <w:tcPr>
            <w:tcW w:type="dxa" w:w="3312"/>
          </w:tcPr>
          <w:p>
            <w:r>
              <w:t>Consensus data unavailable</w:t>
            </w:r>
          </w:p>
        </w:tc>
        <w:tc>
          <w:tcPr>
            <w:tcW w:type="dxa" w:w="3312"/>
          </w:tcPr>
          <w:p>
            <w:r>
              <w:t>Cannot calculate surprise</w:t>
            </w:r>
          </w:p>
        </w:tc>
        <w:tc>
          <w:tcPr>
            <w:tcW w:type="dxa" w:w="3312"/>
          </w:tcPr>
          <w:p>
            <w:r>
              <w:t>Use transparent actual-value changes or omit surprise feature</w:t>
            </w:r>
          </w:p>
        </w:tc>
      </w:tr>
    </w:tbl>
    <w:p>
      <w:pPr>
        <w:pStyle w:val="Heading1"/>
      </w:pPr>
      <w:r>
        <w:t>10. Validation Plan</w:t>
      </w:r>
    </w:p>
    <w:p>
      <w:pPr>
        <w:pStyle w:val="ListNumber"/>
      </w:pPr>
      <w:r>
        <w:t>Create a verified exchange trading calendar and timestamped event table.</w:t>
      </w:r>
    </w:p>
    <w:p>
      <w:pPr>
        <w:pStyle w:val="ListNumber"/>
      </w:pPr>
      <w:r>
        <w:t>Test a small number of pre-specified calendar effects before expanding the search.</w:t>
      </w:r>
    </w:p>
    <w:p>
      <w:pPr>
        <w:pStyle w:val="ListNumber"/>
      </w:pPr>
      <w:r>
        <w:t>Compare event-window returns/volatility with matched non-event sessions.</w:t>
      </w:r>
    </w:p>
    <w:p>
      <w:pPr>
        <w:pStyle w:val="ListNumber"/>
      </w:pPr>
      <w:r>
        <w:t>Use walk-forward validation across multiple years and event cycles.</w:t>
      </w:r>
    </w:p>
    <w:p>
      <w:pPr>
        <w:pStyle w:val="ListNumber"/>
      </w:pPr>
      <w:r>
        <w:t>Report effect size, uncertainty, sample count, and transaction-cost sensitivity.</w:t>
      </w:r>
    </w:p>
    <w:p>
      <w:pPr>
        <w:pStyle w:val="ListNumber"/>
      </w:pPr>
      <w:r>
        <w:t>Keep scheduled-event features separate from actual event outcomes.</w:t>
      </w:r>
    </w:p>
    <w:p>
      <w:pPr>
        <w:pStyle w:val="ListNumber"/>
      </w:pPr>
      <w:r>
        <w:t>Retest after market structure or policy schedules change.</w:t>
      </w:r>
    </w:p>
    <w:p>
      <w:pPr>
        <w:pStyle w:val="Heading1"/>
      </w:pPr>
      <w:r>
        <w:t>11. Candidate Shortlist (Not Validated)</w:t>
      </w:r>
    </w:p>
    <w:p>
      <w:pPr>
        <w:pStyle w:val="ListNumber"/>
      </w:pPr>
      <w:r>
        <w:t>Day-of-week and month-end indicators.</w:t>
      </w:r>
    </w:p>
    <w:p>
      <w:pPr>
        <w:pStyle w:val="ListNumber"/>
      </w:pPr>
      <w:r>
        <w:t>Pre/post-holiday session flag.</w:t>
      </w:r>
    </w:p>
    <w:p>
      <w:pPr>
        <w:pStyle w:val="ListNumber"/>
      </w:pPr>
      <w:r>
        <w:t>Days until scheduled RBI MPC decision.</w:t>
      </w:r>
    </w:p>
    <w:p>
      <w:pPr>
        <w:pStyle w:val="ListNumber"/>
      </w:pPr>
      <w:r>
        <w:t>Company earnings event windows using actual publication time.</w:t>
      </w:r>
    </w:p>
    <w:p>
      <w:pPr>
        <w:pStyle w:val="ListNumber"/>
      </w:pPr>
      <w:r>
        <w:t>Budget/policy-event flags.</w:t>
      </w:r>
    </w:p>
    <w:p>
      <w:pPr>
        <w:pStyle w:val="ListNumber"/>
      </w:pPr>
      <w:r>
        <w:t>Expiry proximity only if a clear hypothesis and reliable calendar exist.</w:t>
      </w:r>
    </w:p>
    <w:p>
      <w:pPr>
        <w:pStyle w:val="Heading1"/>
      </w:pPr>
      <w:r>
        <w:t>12. Mentor / Team Lead Summary</w:t>
      </w:r>
    </w:p>
    <w:p>
      <w:r>
        <w:t>Build a time-aware calendar and event feature family using official Indian exchange calendars, scheduled policy events, corporate results, and index changes. Calendar dates can be known in advance; actual outcomes cannot. The key risks are timestamp leakage, schedule changes, small event samples, and overfitting many calendar combinations. Validate only pre-defined hypotheses using matched windows and walk-forward testing.</w:t>
      </w:r>
    </w:p>
    <w:p>
      <w:pPr>
        <w:pStyle w:val="Heading1"/>
      </w:pPr>
      <w:r>
        <w:t>13. Checklist</w:t>
      </w:r>
    </w:p>
    <w:p>
      <w:pPr>
        <w:pStyle w:val="ListBullet"/>
      </w:pPr>
      <w:r>
        <w:t>Load official NSE/BSE trading calendars and special sessions.</w:t>
      </w:r>
    </w:p>
    <w:p>
      <w:pPr>
        <w:pStyle w:val="ListBullet"/>
      </w:pPr>
      <w:r>
        <w:t>Build scheduled-event and actual-release timestamp tables.</w:t>
      </w:r>
    </w:p>
    <w:p>
      <w:pPr>
        <w:pStyle w:val="ListBullet"/>
      </w:pPr>
      <w:r>
        <w:t>Separate pre-event known features from post-release values.</w:t>
      </w:r>
    </w:p>
    <w:p>
      <w:pPr>
        <w:pStyle w:val="ListBullet"/>
      </w:pPr>
      <w:r>
        <w:t>Use trading-session windows and versioned schedules.</w:t>
      </w:r>
    </w:p>
    <w:p>
      <w:pPr>
        <w:pStyle w:val="ListBullet"/>
      </w:pPr>
      <w:r>
        <w:t>Predefine a small set of tests and account for multiple comparisons.</w:t>
      </w:r>
    </w:p>
    <w:p>
      <w:pPr>
        <w:pStyle w:val="ListBullet"/>
      </w:pPr>
      <w:r>
        <w:t>Evaluate out of sample with costs and uncertainty.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https://www.nseindia.com/</w:t>
      </w:r>
    </w:p>
    <w:p>
      <w:pPr>
        <w:pStyle w:val="ListBullet"/>
      </w:pPr>
      <w:r>
        <w:t>https://www.bseindia.com/</w:t>
      </w:r>
    </w:p>
    <w:p>
      <w:pPr>
        <w:pStyle w:val="ListBullet"/>
      </w:pPr>
      <w:r>
        <w:t>https://www.rbi.org.in/</w:t>
      </w:r>
    </w:p>
    <w:p>
      <w:pPr>
        <w:pStyle w:val="ListBullet"/>
      </w:pPr>
      <w:r>
        <w:t>https://www.indiabudget.gov.in/</w:t>
      </w:r>
    </w:p>
    <w:p>
      <w:pPr>
        <w:pStyle w:val="ListBullet"/>
      </w:pPr>
      <w:r>
        <w:t>https://www.mospi.gov.in/</w:t>
      </w:r>
    </w:p>
    <w:p>
      <w:pPr>
        <w:pStyle w:val="ListBullet"/>
      </w:pPr>
      <w:r>
        <w:t>https://www.nseindia.com/companies-listing/corporate-filings-announcements</w:t>
      </w:r>
    </w:p>
    <w:p>
      <w:pPr>
        <w:pStyle w:val="ListBullet"/>
      </w:pPr>
      <w:r>
        <w:t>https://www.niftyindices.com/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Category 17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