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63A5F"/>
          <w:sz w:val="44"/>
        </w:rPr>
        <w:t>COMPANY-SPECIFIC NEWS,</w:t>
        <w:br/>
        <w:t>CORPORATE ACTIONS &amp; EARNINGS EVENTS</w:t>
      </w:r>
    </w:p>
    <w:p>
      <w:pPr>
        <w:jc w:val="center"/>
      </w:pPr>
      <w:r>
        <w:rPr>
          <w:i/>
          <w:sz w:val="26"/>
        </w:rPr>
        <w:t>Research Dimensions for an Indian Stock-Market Prediction Project</w:t>
      </w:r>
    </w:p>
    <w:p>
      <w:pPr>
        <w:jc w:val="center"/>
      </w:pPr>
      <w:r>
        <w:t>Category 8 | Research and feature-engineering plan | 14 October 2026</w:t>
      </w:r>
    </w:p>
    <w:p>
      <w:r>
        <w:t>Purpose: design a reproducible dataset of company-level announcements, earnings events, corporate actions and material disclosures that may add information to stock-return or volatility predictions. This is a research blueprint, not investment advice or proof of predictive value.</w:t>
      </w:r>
    </w:p>
    <w:p>
      <w:r>
        <w:br w:type="page"/>
      </w:r>
    </w:p>
    <w:p>
      <w:pPr>
        <w:pStyle w:val="Heading1"/>
      </w:pPr>
      <w:r>
        <w:t>1. Executive Summary</w:t>
      </w:r>
    </w:p>
    <w:p>
      <w:r>
        <w:t>Company-specific events can move a stock independently of the wider market. Examples include earnings and guidance, order wins, regulatory actions, management changes, dividends, buybacks, mergers, share splits, fundraising, credit-rating actions and material legal developments. The model must capture not only event category and sentiment, but also timing, surprise versus expectations, company exposure, and whether the information was available before the prediction timestamp.</w:t>
      </w:r>
    </w:p>
    <w:p>
      <w:r>
        <w:t>For an initial version, prioritize official exchange disclosures and earnings results, then add corporate-action calendars and timestamped news. News text and sentiment are more difficult because of duplicate stories, syndicated content, changing headlines, paywalls, ambiguous entity matching, and licensing restrictions.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Dimension</w:t>
            </w:r>
          </w:p>
        </w:tc>
        <w:tc>
          <w:tcPr>
            <w:tcW w:type="dxa" w:w="2520"/>
            <w:shd w:fill="D9EAF2"/>
          </w:tcPr>
          <w:p>
            <w:r>
              <w:rPr>
                <w:b/>
                <w:sz w:val="16"/>
              </w:rPr>
              <w:t>Candidate variables</w:t>
            </w:r>
          </w:p>
        </w:tc>
        <w:tc>
          <w:tcPr>
            <w:tcW w:type="dxa" w:w="2520"/>
            <w:shd w:fill="D9EAF2"/>
          </w:tcPr>
          <w:p>
            <w:r>
              <w:rPr>
                <w:b/>
                <w:sz w:val="16"/>
              </w:rPr>
              <w:t>Potential mechanism</w:t>
            </w:r>
          </w:p>
        </w:tc>
        <w:tc>
          <w:tcPr>
            <w:tcW w:type="dxa" w:w="2520"/>
            <w:shd w:fill="D9EAF2"/>
          </w:tcPr>
          <w:p>
            <w:r>
              <w:rPr>
                <w:b/>
                <w:sz w:val="16"/>
              </w:rPr>
              <w:t>Initial priority</w:t>
            </w:r>
          </w:p>
        </w:tc>
      </w:tr>
      <w:tr>
        <w:tc>
          <w:tcPr>
            <w:tcW w:type="dxa" w:w="2520"/>
            <w:vAlign w:val="center"/>
          </w:tcPr>
          <w:p>
            <w:pPr>
              <w:spacing w:after="40"/>
            </w:pPr>
            <w:r>
              <w:rPr>
                <w:sz w:val="16"/>
              </w:rPr>
              <w:t>Earnings/results</w:t>
            </w:r>
          </w:p>
        </w:tc>
        <w:tc>
          <w:tcPr>
            <w:tcW w:type="dxa" w:w="2520"/>
            <w:vAlign w:val="center"/>
          </w:tcPr>
          <w:p>
            <w:pPr>
              <w:spacing w:after="40"/>
            </w:pPr>
            <w:r>
              <w:rPr>
                <w:sz w:val="16"/>
              </w:rPr>
              <w:t>Revenue, EBITDA, PAT, EPS, margins, guidance, results vs consensus</w:t>
            </w:r>
          </w:p>
        </w:tc>
        <w:tc>
          <w:tcPr>
            <w:tcW w:type="dxa" w:w="2520"/>
            <w:vAlign w:val="center"/>
          </w:tcPr>
          <w:p>
            <w:pPr>
              <w:spacing w:after="40"/>
            </w:pPr>
            <w:r>
              <w:rPr>
                <w:sz w:val="16"/>
              </w:rPr>
              <w:t>Expected cash flows, growth and profitability</w:t>
            </w:r>
          </w:p>
        </w:tc>
        <w:tc>
          <w:tcPr>
            <w:tcW w:type="dxa" w:w="2520"/>
            <w:vAlign w:val="center"/>
          </w:tcPr>
          <w:p>
            <w:pPr>
              <w:spacing w:after="40"/>
            </w:pPr>
            <w:r>
              <w:rPr>
                <w:sz w:val="16"/>
              </w:rPr>
              <w:t>Very high</w:t>
            </w:r>
          </w:p>
        </w:tc>
      </w:tr>
      <w:tr>
        <w:tc>
          <w:tcPr>
            <w:tcW w:type="dxa" w:w="2520"/>
            <w:vAlign w:val="center"/>
          </w:tcPr>
          <w:p>
            <w:pPr>
              <w:spacing w:after="40"/>
            </w:pPr>
            <w:r>
              <w:rPr>
                <w:sz w:val="16"/>
              </w:rPr>
              <w:t>Earnings call/guidance</w:t>
            </w:r>
          </w:p>
        </w:tc>
        <w:tc>
          <w:tcPr>
            <w:tcW w:type="dxa" w:w="2520"/>
            <w:vAlign w:val="center"/>
          </w:tcPr>
          <w:p>
            <w:pPr>
              <w:spacing w:after="40"/>
            </w:pPr>
            <w:r>
              <w:rPr>
                <w:sz w:val="16"/>
              </w:rPr>
              <w:t>Guidance changes, management outlook, Q&amp;A tone</w:t>
            </w:r>
          </w:p>
        </w:tc>
        <w:tc>
          <w:tcPr>
            <w:tcW w:type="dxa" w:w="2520"/>
            <w:vAlign w:val="center"/>
          </w:tcPr>
          <w:p>
            <w:pPr>
              <w:spacing w:after="40"/>
            </w:pPr>
            <w:r>
              <w:rPr>
                <w:sz w:val="16"/>
              </w:rPr>
              <w:t>Forward expectations and uncertainty</w:t>
            </w:r>
          </w:p>
        </w:tc>
        <w:tc>
          <w:tcPr>
            <w:tcW w:type="dxa" w:w="2520"/>
            <w:vAlign w:val="center"/>
          </w:tcPr>
          <w:p>
            <w:pPr>
              <w:spacing w:after="40"/>
            </w:pPr>
            <w:r>
              <w:rPr>
                <w:sz w:val="16"/>
              </w:rPr>
              <w:t>High; text-heavy</w:t>
            </w:r>
          </w:p>
        </w:tc>
      </w:tr>
      <w:tr>
        <w:tc>
          <w:tcPr>
            <w:tcW w:type="dxa" w:w="2520"/>
            <w:vAlign w:val="center"/>
          </w:tcPr>
          <w:p>
            <w:pPr>
              <w:spacing w:after="40"/>
            </w:pPr>
            <w:r>
              <w:rPr>
                <w:sz w:val="16"/>
              </w:rPr>
              <w:t>Corporate actions</w:t>
            </w:r>
          </w:p>
        </w:tc>
        <w:tc>
          <w:tcPr>
            <w:tcW w:type="dxa" w:w="2520"/>
            <w:vAlign w:val="center"/>
          </w:tcPr>
          <w:p>
            <w:pPr>
              <w:spacing w:after="40"/>
            </w:pPr>
            <w:r>
              <w:rPr>
                <w:sz w:val="16"/>
              </w:rPr>
              <w:t>Dividend, split/bonus, buyback, rights issue, fundraise</w:t>
            </w:r>
          </w:p>
        </w:tc>
        <w:tc>
          <w:tcPr>
            <w:tcW w:type="dxa" w:w="2520"/>
            <w:vAlign w:val="center"/>
          </w:tcPr>
          <w:p>
            <w:pPr>
              <w:spacing w:after="40"/>
            </w:pPr>
            <w:r>
              <w:rPr>
                <w:sz w:val="16"/>
              </w:rPr>
              <w:t>Cash distribution, share count, liquidity and capital allocation</w:t>
            </w:r>
          </w:p>
        </w:tc>
        <w:tc>
          <w:tcPr>
            <w:tcW w:type="dxa" w:w="2520"/>
            <w:vAlign w:val="center"/>
          </w:tcPr>
          <w:p>
            <w:pPr>
              <w:spacing w:after="40"/>
            </w:pPr>
            <w:r>
              <w:rPr>
                <w:sz w:val="16"/>
              </w:rPr>
              <w:t>High</w:t>
            </w:r>
          </w:p>
        </w:tc>
      </w:tr>
      <w:tr>
        <w:tc>
          <w:tcPr>
            <w:tcW w:type="dxa" w:w="2520"/>
            <w:vAlign w:val="center"/>
          </w:tcPr>
          <w:p>
            <w:pPr>
              <w:spacing w:after="40"/>
            </w:pPr>
            <w:r>
              <w:rPr>
                <w:sz w:val="16"/>
              </w:rPr>
              <w:t>Material disclosures</w:t>
            </w:r>
          </w:p>
        </w:tc>
        <w:tc>
          <w:tcPr>
            <w:tcW w:type="dxa" w:w="2520"/>
            <w:vAlign w:val="center"/>
          </w:tcPr>
          <w:p>
            <w:pPr>
              <w:spacing w:after="40"/>
            </w:pPr>
            <w:r>
              <w:rPr>
                <w:sz w:val="16"/>
              </w:rPr>
              <w:t>Order wins/losses, capex, acquisitions, disposals, plant shutdowns</w:t>
            </w:r>
          </w:p>
        </w:tc>
        <w:tc>
          <w:tcPr>
            <w:tcW w:type="dxa" w:w="2520"/>
            <w:vAlign w:val="center"/>
          </w:tcPr>
          <w:p>
            <w:pPr>
              <w:spacing w:after="40"/>
            </w:pPr>
            <w:r>
              <w:rPr>
                <w:sz w:val="16"/>
              </w:rPr>
              <w:t>Future revenue, costs, capacity or strategic change</w:t>
            </w:r>
          </w:p>
        </w:tc>
        <w:tc>
          <w:tcPr>
            <w:tcW w:type="dxa" w:w="2520"/>
            <w:vAlign w:val="center"/>
          </w:tcPr>
          <w:p>
            <w:pPr>
              <w:spacing w:after="40"/>
            </w:pPr>
            <w:r>
              <w:rPr>
                <w:sz w:val="16"/>
              </w:rPr>
              <w:t>High</w:t>
            </w:r>
          </w:p>
        </w:tc>
      </w:tr>
      <w:tr>
        <w:tc>
          <w:tcPr>
            <w:tcW w:type="dxa" w:w="2520"/>
            <w:vAlign w:val="center"/>
          </w:tcPr>
          <w:p>
            <w:pPr>
              <w:spacing w:after="40"/>
            </w:pPr>
            <w:r>
              <w:rPr>
                <w:sz w:val="16"/>
              </w:rPr>
              <w:t>Management/governance</w:t>
            </w:r>
          </w:p>
        </w:tc>
        <w:tc>
          <w:tcPr>
            <w:tcW w:type="dxa" w:w="2520"/>
            <w:vAlign w:val="center"/>
          </w:tcPr>
          <w:p>
            <w:pPr>
              <w:spacing w:after="40"/>
            </w:pPr>
            <w:r>
              <w:rPr>
                <w:sz w:val="16"/>
              </w:rPr>
              <w:t>CEO/CFO changes, auditor resignation, promoter pledge, related-party events</w:t>
            </w:r>
          </w:p>
        </w:tc>
        <w:tc>
          <w:tcPr>
            <w:tcW w:type="dxa" w:w="2520"/>
            <w:vAlign w:val="center"/>
          </w:tcPr>
          <w:p>
            <w:pPr>
              <w:spacing w:after="40"/>
            </w:pPr>
            <w:r>
              <w:rPr>
                <w:sz w:val="16"/>
              </w:rPr>
              <w:t>Execution confidence, governance and risk</w:t>
            </w:r>
          </w:p>
        </w:tc>
        <w:tc>
          <w:tcPr>
            <w:tcW w:type="dxa" w:w="2520"/>
            <w:vAlign w:val="center"/>
          </w:tcPr>
          <w:p>
            <w:pPr>
              <w:spacing w:after="40"/>
            </w:pPr>
            <w:r>
              <w:rPr>
                <w:sz w:val="16"/>
              </w:rPr>
              <w:t>Medium-high</w:t>
            </w:r>
          </w:p>
        </w:tc>
      </w:tr>
      <w:tr>
        <w:tc>
          <w:tcPr>
            <w:tcW w:type="dxa" w:w="2520"/>
            <w:vAlign w:val="center"/>
          </w:tcPr>
          <w:p>
            <w:pPr>
              <w:spacing w:after="40"/>
            </w:pPr>
            <w:r>
              <w:rPr>
                <w:sz w:val="16"/>
              </w:rPr>
              <w:t>Regulatory/legal/credit</w:t>
            </w:r>
          </w:p>
        </w:tc>
        <w:tc>
          <w:tcPr>
            <w:tcW w:type="dxa" w:w="2520"/>
            <w:vAlign w:val="center"/>
          </w:tcPr>
          <w:p>
            <w:pPr>
              <w:spacing w:after="40"/>
            </w:pPr>
            <w:r>
              <w:rPr>
                <w:sz w:val="16"/>
              </w:rPr>
              <w:t>Regulatory action, court ruling, tax demand, rating change, insolvency news</w:t>
            </w:r>
          </w:p>
        </w:tc>
        <w:tc>
          <w:tcPr>
            <w:tcW w:type="dxa" w:w="2520"/>
            <w:vAlign w:val="center"/>
          </w:tcPr>
          <w:p>
            <w:pPr>
              <w:spacing w:after="40"/>
            </w:pPr>
            <w:r>
              <w:rPr>
                <w:sz w:val="16"/>
              </w:rPr>
              <w:t>Liability, operating restrictions and funding cost</w:t>
            </w:r>
          </w:p>
        </w:tc>
        <w:tc>
          <w:tcPr>
            <w:tcW w:type="dxa" w:w="2520"/>
            <w:vAlign w:val="center"/>
          </w:tcPr>
          <w:p>
            <w:pPr>
              <w:spacing w:after="40"/>
            </w:pPr>
            <w:r>
              <w:rPr>
                <w:sz w:val="16"/>
              </w:rPr>
              <w:t>Medium-high</w:t>
            </w:r>
          </w:p>
        </w:tc>
      </w:tr>
      <w:tr>
        <w:tc>
          <w:tcPr>
            <w:tcW w:type="dxa" w:w="2520"/>
            <w:vAlign w:val="center"/>
          </w:tcPr>
          <w:p>
            <w:pPr>
              <w:spacing w:after="40"/>
            </w:pPr>
            <w:r>
              <w:rPr>
                <w:sz w:val="16"/>
              </w:rPr>
              <w:t>News sentiment/attention</w:t>
            </w:r>
          </w:p>
        </w:tc>
        <w:tc>
          <w:tcPr>
            <w:tcW w:type="dxa" w:w="2520"/>
            <w:vAlign w:val="center"/>
          </w:tcPr>
          <w:p>
            <w:pPr>
              <w:spacing w:after="40"/>
            </w:pPr>
            <w:r>
              <w:rPr>
                <w:sz w:val="16"/>
              </w:rPr>
              <w:t>Headline sentiment, event novelty, article volume, source credibility</w:t>
            </w:r>
          </w:p>
        </w:tc>
        <w:tc>
          <w:tcPr>
            <w:tcW w:type="dxa" w:w="2520"/>
            <w:vAlign w:val="center"/>
          </w:tcPr>
          <w:p>
            <w:pPr>
              <w:spacing w:after="40"/>
            </w:pPr>
            <w:r>
              <w:rPr>
                <w:sz w:val="16"/>
              </w:rPr>
              <w:t>Expectations, uncertainty and information diffusion</w:t>
            </w:r>
          </w:p>
        </w:tc>
        <w:tc>
          <w:tcPr>
            <w:tcW w:type="dxa" w:w="2520"/>
            <w:vAlign w:val="center"/>
          </w:tcPr>
          <w:p>
            <w:pPr>
              <w:spacing w:after="40"/>
            </w:pPr>
            <w:r>
              <w:rPr>
                <w:sz w:val="16"/>
              </w:rPr>
              <w:t>Medium; licensing and leakage risk</w:t>
            </w:r>
          </w:p>
        </w:tc>
      </w:tr>
      <w:tr>
        <w:tc>
          <w:tcPr>
            <w:tcW w:type="dxa" w:w="2520"/>
            <w:vAlign w:val="center"/>
          </w:tcPr>
          <w:p>
            <w:pPr>
              <w:spacing w:after="40"/>
            </w:pPr>
            <w:r>
              <w:rPr>
                <w:sz w:val="16"/>
              </w:rPr>
              <w:t>Event reaction</w:t>
            </w:r>
          </w:p>
        </w:tc>
        <w:tc>
          <w:tcPr>
            <w:tcW w:type="dxa" w:w="2520"/>
            <w:vAlign w:val="center"/>
          </w:tcPr>
          <w:p>
            <w:pPr>
              <w:spacing w:after="40"/>
            </w:pPr>
            <w:r>
              <w:rPr>
                <w:sz w:val="16"/>
              </w:rPr>
              <w:t>Abnormal return, abnormal volume, gap, post-event volatility</w:t>
            </w:r>
          </w:p>
        </w:tc>
        <w:tc>
          <w:tcPr>
            <w:tcW w:type="dxa" w:w="2520"/>
            <w:vAlign w:val="center"/>
          </w:tcPr>
          <w:p>
            <w:pPr>
              <w:spacing w:after="40"/>
            </w:pPr>
            <w:r>
              <w:rPr>
                <w:sz w:val="16"/>
              </w:rPr>
              <w:t>Market response and event-study labels</w:t>
            </w:r>
          </w:p>
        </w:tc>
        <w:tc>
          <w:tcPr>
            <w:tcW w:type="dxa" w:w="2520"/>
            <w:vAlign w:val="center"/>
          </w:tcPr>
          <w:p>
            <w:pPr>
              <w:spacing w:after="40"/>
            </w:pPr>
            <w:r>
              <w:rPr>
                <w:sz w:val="16"/>
              </w:rPr>
              <w:t>Target/diagnostic; avoid target leakage</w:t>
            </w:r>
          </w:p>
        </w:tc>
      </w:tr>
    </w:tbl>
    <w:p/>
    <w:p>
      <w:pPr>
        <w:pStyle w:val="Heading1"/>
      </w:pPr>
      <w:r>
        <w:t>2. Scope and Relationship to Other Categories</w:t>
      </w:r>
    </w:p>
    <w:p>
      <w:r>
        <w:t>This category is about information released by or about a specific listed company. It complements company financial ratios (Category 3), investor/news sentiment (Category 4), global and macro factors, and technical price features. Company financial statements provide structured accounting data; this category captures the release event, the surprise, corporate actions and other disclosures.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Information type</w:t>
            </w:r>
          </w:p>
        </w:tc>
        <w:tc>
          <w:tcPr>
            <w:tcW w:type="dxa" w:w="3360"/>
            <w:shd w:fill="D9EAF2"/>
          </w:tcPr>
          <w:p>
            <w:r>
              <w:rPr>
                <w:b/>
                <w:sz w:val="16"/>
              </w:rPr>
              <w:t>Example</w:t>
            </w:r>
          </w:p>
        </w:tc>
        <w:tc>
          <w:tcPr>
            <w:tcW w:type="dxa" w:w="3360"/>
            <w:shd w:fill="D9EAF2"/>
          </w:tcPr>
          <w:p>
            <w:r>
              <w:rPr>
                <w:b/>
                <w:sz w:val="16"/>
              </w:rPr>
              <w:t>How to represent it</w:t>
            </w:r>
          </w:p>
        </w:tc>
      </w:tr>
      <w:tr>
        <w:tc>
          <w:tcPr>
            <w:tcW w:type="dxa" w:w="3360"/>
            <w:vAlign w:val="center"/>
          </w:tcPr>
          <w:p>
            <w:pPr>
              <w:spacing w:after="40"/>
            </w:pPr>
            <w:r>
              <w:rPr>
                <w:sz w:val="16"/>
              </w:rPr>
              <w:t>Structured result</w:t>
            </w:r>
          </w:p>
        </w:tc>
        <w:tc>
          <w:tcPr>
            <w:tcW w:type="dxa" w:w="3360"/>
            <w:vAlign w:val="center"/>
          </w:tcPr>
          <w:p>
            <w:pPr>
              <w:spacing w:after="40"/>
            </w:pPr>
            <w:r>
              <w:rPr>
                <w:sz w:val="16"/>
              </w:rPr>
              <w:t>Quarterly revenue, EBITDA, PAT, EPS</w:t>
            </w:r>
          </w:p>
        </w:tc>
        <w:tc>
          <w:tcPr>
            <w:tcW w:type="dxa" w:w="3360"/>
            <w:vAlign w:val="center"/>
          </w:tcPr>
          <w:p>
            <w:pPr>
              <w:spacing w:after="40"/>
            </w:pPr>
            <w:r>
              <w:rPr>
                <w:sz w:val="16"/>
              </w:rPr>
              <w:t>Numeric value, growth, margin, surprise and vintage</w:t>
            </w:r>
          </w:p>
        </w:tc>
      </w:tr>
      <w:tr>
        <w:tc>
          <w:tcPr>
            <w:tcW w:type="dxa" w:w="3360"/>
            <w:vAlign w:val="center"/>
          </w:tcPr>
          <w:p>
            <w:pPr>
              <w:spacing w:after="40"/>
            </w:pPr>
            <w:r>
              <w:rPr>
                <w:sz w:val="16"/>
              </w:rPr>
              <w:t>Event disclosure</w:t>
            </w:r>
          </w:p>
        </w:tc>
        <w:tc>
          <w:tcPr>
            <w:tcW w:type="dxa" w:w="3360"/>
            <w:vAlign w:val="center"/>
          </w:tcPr>
          <w:p>
            <w:pPr>
              <w:spacing w:after="40"/>
            </w:pPr>
            <w:r>
              <w:rPr>
                <w:sz w:val="16"/>
              </w:rPr>
              <w:t>Large contract awarded, acquisition, auditor resignation</w:t>
            </w:r>
          </w:p>
        </w:tc>
        <w:tc>
          <w:tcPr>
            <w:tcW w:type="dxa" w:w="3360"/>
            <w:vAlign w:val="center"/>
          </w:tcPr>
          <w:p>
            <w:pPr>
              <w:spacing w:after="40"/>
            </w:pPr>
            <w:r>
              <w:rPr>
                <w:sz w:val="16"/>
              </w:rPr>
              <w:t>Event type, issuer, timestamp, materiality and direction only where justified</w:t>
            </w:r>
          </w:p>
        </w:tc>
      </w:tr>
      <w:tr>
        <w:tc>
          <w:tcPr>
            <w:tcW w:type="dxa" w:w="3360"/>
            <w:vAlign w:val="center"/>
          </w:tcPr>
          <w:p>
            <w:pPr>
              <w:spacing w:after="40"/>
            </w:pPr>
            <w:r>
              <w:rPr>
                <w:sz w:val="16"/>
              </w:rPr>
              <w:t>Corporate action</w:t>
            </w:r>
          </w:p>
        </w:tc>
        <w:tc>
          <w:tcPr>
            <w:tcW w:type="dxa" w:w="3360"/>
            <w:vAlign w:val="center"/>
          </w:tcPr>
          <w:p>
            <w:pPr>
              <w:spacing w:after="40"/>
            </w:pPr>
            <w:r>
              <w:rPr>
                <w:sz w:val="16"/>
              </w:rPr>
              <w:t>Dividend, split, buyback, bonus issue</w:t>
            </w:r>
          </w:p>
        </w:tc>
        <w:tc>
          <w:tcPr>
            <w:tcW w:type="dxa" w:w="3360"/>
            <w:vAlign w:val="center"/>
          </w:tcPr>
          <w:p>
            <w:pPr>
              <w:spacing w:after="40"/>
            </w:pPr>
            <w:r>
              <w:rPr>
                <w:sz w:val="16"/>
              </w:rPr>
              <w:t>Action type, amount/ratio, record/ex-date, announcement/effective dates</w:t>
            </w:r>
          </w:p>
        </w:tc>
      </w:tr>
      <w:tr>
        <w:tc>
          <w:tcPr>
            <w:tcW w:type="dxa" w:w="3360"/>
            <w:vAlign w:val="center"/>
          </w:tcPr>
          <w:p>
            <w:pPr>
              <w:spacing w:after="40"/>
            </w:pPr>
            <w:r>
              <w:rPr>
                <w:sz w:val="16"/>
              </w:rPr>
              <w:t>News article</w:t>
            </w:r>
          </w:p>
        </w:tc>
        <w:tc>
          <w:tcPr>
            <w:tcW w:type="dxa" w:w="3360"/>
            <w:vAlign w:val="center"/>
          </w:tcPr>
          <w:p>
            <w:pPr>
              <w:spacing w:after="40"/>
            </w:pPr>
            <w:r>
              <w:rPr>
                <w:sz w:val="16"/>
              </w:rPr>
              <w:t>A news report about a company</w:t>
            </w:r>
          </w:p>
        </w:tc>
        <w:tc>
          <w:tcPr>
            <w:tcW w:type="dxa" w:w="3360"/>
            <w:vAlign w:val="center"/>
          </w:tcPr>
          <w:p>
            <w:pPr>
              <w:spacing w:after="40"/>
            </w:pPr>
            <w:r>
              <w:rPr>
                <w:sz w:val="16"/>
              </w:rPr>
              <w:t>Source, publication timestamp, entity match, text version, sentiment and duplicate group</w:t>
            </w:r>
          </w:p>
        </w:tc>
      </w:tr>
      <w:tr>
        <w:tc>
          <w:tcPr>
            <w:tcW w:type="dxa" w:w="3360"/>
            <w:vAlign w:val="center"/>
          </w:tcPr>
          <w:p>
            <w:pPr>
              <w:spacing w:after="40"/>
            </w:pPr>
            <w:r>
              <w:rPr>
                <w:sz w:val="16"/>
              </w:rPr>
              <w:t>Market reaction</w:t>
            </w:r>
          </w:p>
        </w:tc>
        <w:tc>
          <w:tcPr>
            <w:tcW w:type="dxa" w:w="3360"/>
            <w:vAlign w:val="center"/>
          </w:tcPr>
          <w:p>
            <w:pPr>
              <w:spacing w:after="40"/>
            </w:pPr>
            <w:r>
              <w:rPr>
                <w:sz w:val="16"/>
              </w:rPr>
              <w:t>Price/volume after announcement</w:t>
            </w:r>
          </w:p>
        </w:tc>
        <w:tc>
          <w:tcPr>
            <w:tcW w:type="dxa" w:w="3360"/>
            <w:vAlign w:val="center"/>
          </w:tcPr>
          <w:p>
            <w:pPr>
              <w:spacing w:after="40"/>
            </w:pPr>
            <w:r>
              <w:rPr>
                <w:sz w:val="16"/>
              </w:rPr>
              <w:t>Event-study outcome or target, not a feature if it occurs after prediction time</w:t>
            </w:r>
          </w:p>
        </w:tc>
      </w:tr>
    </w:tbl>
    <w:p/>
    <w:p>
      <w:pPr>
        <w:pStyle w:val="Heading1"/>
      </w:pPr>
      <w:r>
        <w:t>3. Research Dimension Tree</w:t>
      </w:r>
    </w:p>
    <w:p>
      <w:pPr>
        <w:pStyle w:val="ListBullet"/>
        <w:spacing w:after="40"/>
      </w:pPr>
      <w:r>
        <w:t>3.1 Earnings results: revenue, operating profit/EBITDA, PAT, EPS, margins, segment results, cash flow, debt, order book and guidance.</w:t>
      </w:r>
    </w:p>
    <w:p>
      <w:pPr>
        <w:pStyle w:val="ListBullet"/>
        <w:spacing w:after="40"/>
      </w:pPr>
      <w:r>
        <w:t>3.2 Earnings expectations: consensus estimates, analyst dispersion, estimate revisions, company guidance versus prior guidance, surprise magnitude.</w:t>
      </w:r>
    </w:p>
    <w:p>
      <w:pPr>
        <w:pStyle w:val="ListBullet"/>
        <w:spacing w:after="40"/>
      </w:pPr>
      <w:r>
        <w:t>3.3 Corporate actions: cash dividend, special dividend, buyback, bonus issue, stock split, rights issue, preferential allotment, QIP, IPO/FPO, merger, demerger, acquisition, spin-off and delisting.</w:t>
      </w:r>
    </w:p>
    <w:p>
      <w:pPr>
        <w:pStyle w:val="ListBullet"/>
        <w:spacing w:after="40"/>
      </w:pPr>
      <w:r>
        <w:t>3.4 Operating disclosures: order wins/losses, capacity expansion, plant shutdown, production volume, product launch, major customer/supplier changes and capex commitments.</w:t>
      </w:r>
    </w:p>
    <w:p>
      <w:pPr>
        <w:pStyle w:val="ListBullet"/>
        <w:spacing w:after="40"/>
      </w:pPr>
      <w:r>
        <w:t>3.5 Management and governance: senior leadership changes, promoter pledge changes, auditor resignation/qualification, related-party transactions, fraud allegations and governance findings.</w:t>
      </w:r>
    </w:p>
    <w:p>
      <w:pPr>
        <w:pStyle w:val="ListBullet"/>
        <w:spacing w:after="40"/>
      </w:pPr>
      <w:r>
        <w:t>3.6 Legal/regulatory events: tax demands, court/tribunal decisions, competition action, environmental approvals, licence suspension, sector regulator actions and insolvency proceedings.</w:t>
      </w:r>
    </w:p>
    <w:p>
      <w:pPr>
        <w:pStyle w:val="ListBullet"/>
        <w:spacing w:after="40"/>
      </w:pPr>
      <w:r>
        <w:t>3.7 Credit and financing: rating upgrades/downgrades, outlook changes, loan covenant events, debt refinancing, fundraising and default/repayment disclosures.</w:t>
      </w:r>
    </w:p>
    <w:p>
      <w:pPr>
        <w:pStyle w:val="ListBullet"/>
        <w:spacing w:after="40"/>
      </w:pPr>
      <w:r>
        <w:t>3.8 News text and attention: sentiment, uncertainty, novelty, source reliability, article count, coverage breadth, headline/body divergence and event persistence.</w:t>
      </w:r>
    </w:p>
    <w:p>
      <w:pPr>
        <w:pStyle w:val="ListBullet"/>
        <w:spacing w:after="40"/>
      </w:pPr>
      <w:r>
        <w:t>3.9 Event-time market context: pre-event return, volatility, analyst dispersion, liquidity, sector and market benchmark returns.</w:t>
      </w:r>
    </w:p>
    <w:p>
      <w:pPr>
        <w:pStyle w:val="ListBullet"/>
        <w:spacing w:after="40"/>
      </w:pPr>
      <w:r>
        <w:t>3.10 Data quality: official vs media source, first publication time, corrections, duplicate/syndicated articles, entity resolution and action status.</w:t>
      </w:r>
    </w:p>
    <w:p>
      <w:pPr>
        <w:pStyle w:val="Heading1"/>
      </w:pPr>
      <w:r>
        <w:t>4. Mechanisms: Why Company Events May Matter</w:t>
      </w:r>
    </w:p>
    <w:p>
      <w:pPr>
        <w:pStyle w:val="Heading2"/>
      </w:pPr>
      <w:r>
        <w:t>4.1 Earnings versus expectations</w:t>
      </w:r>
    </w:p>
    <w:p>
      <w:r>
        <w:t>Markets respond to what a result changes about future cash flows and risk, not simply whether the reported number is high. A company can report profit growth yet fall if growth is below expectations, margins disappoint, guidance weakens or the result quality is poor. Conversely, weak reported profit may be received positively if it is less bad than expected.</w:t>
      </w:r>
    </w:p>
    <w:p>
      <w:pPr>
        <w:pStyle w:val="Heading2"/>
      </w:pPr>
      <w:r>
        <w:t>4.2 Guidance and forward-looking information</w:t>
      </w:r>
    </w:p>
    <w:p>
      <w:r>
        <w:t>Management guidance, order-book updates, capacity plans and earnings-call commentary may change expectations about future revenue, costs and risk. These fields can be qualitative and ambiguous. Store the original source and timestamp; if text is converted to sentiment or guidance direction, preserve the method/version and validate it independently.</w:t>
      </w:r>
    </w:p>
    <w:p>
      <w:pPr>
        <w:pStyle w:val="Heading2"/>
      </w:pPr>
      <w:r>
        <w:t>4.3 Corporate actions are not all the same</w:t>
      </w:r>
    </w:p>
    <w:p>
      <w:r>
        <w:t>A cash dividend distributes value to shareholders; a split or bonus issue changes share count and price per share mechanically; a buyback changes capital allocation and potentially shares outstanding; a rights issue or new share placement can dilute holders but may finance growth. Adjusted price series and event flags are necessary to avoid treating mechanical price changes as ordinary returns.</w:t>
      </w:r>
    </w:p>
    <w:p>
      <w:pPr>
        <w:pStyle w:val="Heading2"/>
      </w:pPr>
      <w:r>
        <w:t>4.4 Governance, legal and regulatory risk</w:t>
      </w:r>
    </w:p>
    <w:p>
      <w:r>
        <w:t>Auditor resignation, a qualified opinion, promoter pledge changes, regulatory action or a material court ruling may change perceived downside risk. The effect depends on facts, severity, credibility and whether the information was already known. Avoid automatically assigning a fixed negative label to broad event categories without examining the actual disclosure.</w:t>
      </w:r>
    </w:p>
    <w:p>
      <w:pPr>
        <w:pStyle w:val="Heading2"/>
      </w:pPr>
      <w:r>
        <w:t>4.5 News sentiment and attention</w:t>
      </w:r>
    </w:p>
    <w:p>
      <w:r>
        <w:t>News volume and sentiment may measure attention and the tone of newly available information, but duplicated reports can inflate counts and sentiment models can misread financial language, negation, numbers or context. Sentiment must be computed only from text available at prediction time, and multiple reports of one underlying event should be grouped.</w:t>
      </w:r>
    </w:p>
    <w:p>
      <w:pPr>
        <w:pStyle w:val="Heading2"/>
      </w:pPr>
      <w:r>
        <w:t>4.6 Official disclosure versus media coverage</w:t>
      </w:r>
    </w:p>
    <w:p>
      <w:r>
        <w:t>The exchange filing is often the primary record for material corporate disclosures. Media may provide interpretation and faster context, but the story timestamp may not match the earliest public release. Keep source types distinct and use official records to verify material facts whenever possible.</w:t>
      </w:r>
    </w:p>
    <w:p>
      <w:pPr>
        <w:pStyle w:val="Heading1"/>
      </w:pPr>
      <w:r>
        <w:t>5. Raw Data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Dataset</w:t>
            </w:r>
          </w:p>
        </w:tc>
        <w:tc>
          <w:tcPr>
            <w:tcW w:type="dxa" w:w="2520"/>
            <w:shd w:fill="D9EAF2"/>
          </w:tcPr>
          <w:p>
            <w:r>
              <w:rPr>
                <w:b/>
                <w:sz w:val="16"/>
              </w:rPr>
              <w:t>Minimum raw fields</w:t>
            </w:r>
          </w:p>
        </w:tc>
        <w:tc>
          <w:tcPr>
            <w:tcW w:type="dxa" w:w="2520"/>
            <w:shd w:fill="D9EAF2"/>
          </w:tcPr>
          <w:p>
            <w:r>
              <w:rPr>
                <w:b/>
                <w:sz w:val="16"/>
              </w:rPr>
              <w:t>Frequency/history</w:t>
            </w:r>
          </w:p>
        </w:tc>
        <w:tc>
          <w:tcPr>
            <w:tcW w:type="dxa" w:w="2520"/>
            <w:shd w:fill="D9EAF2"/>
          </w:tcPr>
          <w:p>
            <w:r>
              <w:rPr>
                <w:b/>
                <w:sz w:val="16"/>
              </w:rPr>
              <w:t>Quality controls</w:t>
            </w:r>
          </w:p>
        </w:tc>
      </w:tr>
      <w:tr>
        <w:tc>
          <w:tcPr>
            <w:tcW w:type="dxa" w:w="2520"/>
            <w:vAlign w:val="center"/>
          </w:tcPr>
          <w:p>
            <w:pPr>
              <w:spacing w:after="40"/>
            </w:pPr>
            <w:r>
              <w:rPr>
                <w:sz w:val="16"/>
              </w:rPr>
              <w:t>Exchange filings</w:t>
            </w:r>
          </w:p>
        </w:tc>
        <w:tc>
          <w:tcPr>
            <w:tcW w:type="dxa" w:w="2520"/>
            <w:vAlign w:val="center"/>
          </w:tcPr>
          <w:p>
            <w:pPr>
              <w:spacing w:after="40"/>
            </w:pPr>
            <w:r>
              <w:rPr>
                <w:sz w:val="16"/>
              </w:rPr>
              <w:t>Issuer/security ID, exchange, filing ID, category, title, body/PDF, filing timestamp, correction flag, URL</w:t>
            </w:r>
          </w:p>
        </w:tc>
        <w:tc>
          <w:tcPr>
            <w:tcW w:type="dxa" w:w="2520"/>
            <w:vAlign w:val="center"/>
          </w:tcPr>
          <w:p>
            <w:pPr>
              <w:spacing w:after="40"/>
            </w:pPr>
            <w:r>
              <w:rPr>
                <w:sz w:val="16"/>
              </w:rPr>
              <w:t>Event-level; retain archive</w:t>
            </w:r>
          </w:p>
        </w:tc>
        <w:tc>
          <w:tcPr>
            <w:tcW w:type="dxa" w:w="2520"/>
            <w:vAlign w:val="center"/>
          </w:tcPr>
          <w:p>
            <w:pPr>
              <w:spacing w:after="40"/>
            </w:pPr>
            <w:r>
              <w:rPr>
                <w:sz w:val="16"/>
              </w:rPr>
              <w:t>Corrections, addenda, attachment extraction, exchange timestamp</w:t>
            </w:r>
          </w:p>
        </w:tc>
      </w:tr>
      <w:tr>
        <w:tc>
          <w:tcPr>
            <w:tcW w:type="dxa" w:w="2520"/>
            <w:vAlign w:val="center"/>
          </w:tcPr>
          <w:p>
            <w:pPr>
              <w:spacing w:after="40"/>
            </w:pPr>
            <w:r>
              <w:rPr>
                <w:sz w:val="16"/>
              </w:rPr>
              <w:t>Financial results</w:t>
            </w:r>
          </w:p>
        </w:tc>
        <w:tc>
          <w:tcPr>
            <w:tcW w:type="dxa" w:w="2520"/>
            <w:vAlign w:val="center"/>
          </w:tcPr>
          <w:p>
            <w:pPr>
              <w:spacing w:after="40"/>
            </w:pPr>
            <w:r>
              <w:rPr>
                <w:sz w:val="16"/>
              </w:rPr>
              <w:t>Quarter, metric, value, unit, standalone/consolidated, audited/unaudited, filing time, revision/restatement</w:t>
            </w:r>
          </w:p>
        </w:tc>
        <w:tc>
          <w:tcPr>
            <w:tcW w:type="dxa" w:w="2520"/>
            <w:vAlign w:val="center"/>
          </w:tcPr>
          <w:p>
            <w:pPr>
              <w:spacing w:after="40"/>
            </w:pPr>
            <w:r>
              <w:rPr>
                <w:sz w:val="16"/>
              </w:rPr>
              <w:t>Quarterly</w:t>
            </w:r>
          </w:p>
        </w:tc>
        <w:tc>
          <w:tcPr>
            <w:tcW w:type="dxa" w:w="2520"/>
            <w:vAlign w:val="center"/>
          </w:tcPr>
          <w:p>
            <w:pPr>
              <w:spacing w:after="40"/>
            </w:pPr>
            <w:r>
              <w:rPr>
                <w:sz w:val="16"/>
              </w:rPr>
              <w:t>Use comparable basis; distinguish standalone vs consolidated and initial vs revised</w:t>
            </w:r>
          </w:p>
        </w:tc>
      </w:tr>
      <w:tr>
        <w:tc>
          <w:tcPr>
            <w:tcW w:type="dxa" w:w="2520"/>
            <w:vAlign w:val="center"/>
          </w:tcPr>
          <w:p>
            <w:pPr>
              <w:spacing w:after="40"/>
            </w:pPr>
            <w:r>
              <w:rPr>
                <w:sz w:val="16"/>
              </w:rPr>
              <w:t>Earnings expectations</w:t>
            </w:r>
          </w:p>
        </w:tc>
        <w:tc>
          <w:tcPr>
            <w:tcW w:type="dxa" w:w="2520"/>
            <w:vAlign w:val="center"/>
          </w:tcPr>
          <w:p>
            <w:pPr>
              <w:spacing w:after="40"/>
            </w:pPr>
            <w:r>
              <w:rPr>
                <w:sz w:val="16"/>
              </w:rPr>
              <w:t>Metric, estimate, consensus, dispersion, provider, timestamp, analyst coverage</w:t>
            </w:r>
          </w:p>
        </w:tc>
        <w:tc>
          <w:tcPr>
            <w:tcW w:type="dxa" w:w="2520"/>
            <w:vAlign w:val="center"/>
          </w:tcPr>
          <w:p>
            <w:pPr>
              <w:spacing w:after="40"/>
            </w:pPr>
            <w:r>
              <w:rPr>
                <w:sz w:val="16"/>
              </w:rPr>
              <w:t>Event-level/quarterly</w:t>
            </w:r>
          </w:p>
        </w:tc>
        <w:tc>
          <w:tcPr>
            <w:tcW w:type="dxa" w:w="2520"/>
            <w:vAlign w:val="center"/>
          </w:tcPr>
          <w:p>
            <w:pPr>
              <w:spacing w:after="40"/>
            </w:pPr>
            <w:r>
              <w:rPr>
                <w:sz w:val="16"/>
              </w:rPr>
              <w:t>Historical point-in-time consensus can be licensed or unavailable</w:t>
            </w:r>
          </w:p>
        </w:tc>
      </w:tr>
      <w:tr>
        <w:tc>
          <w:tcPr>
            <w:tcW w:type="dxa" w:w="2520"/>
            <w:vAlign w:val="center"/>
          </w:tcPr>
          <w:p>
            <w:pPr>
              <w:spacing w:after="40"/>
            </w:pPr>
            <w:r>
              <w:rPr>
                <w:sz w:val="16"/>
              </w:rPr>
              <w:t>Corporate actions</w:t>
            </w:r>
          </w:p>
        </w:tc>
        <w:tc>
          <w:tcPr>
            <w:tcW w:type="dxa" w:w="2520"/>
            <w:vAlign w:val="center"/>
          </w:tcPr>
          <w:p>
            <w:pPr>
              <w:spacing w:after="40"/>
            </w:pPr>
            <w:r>
              <w:rPr>
                <w:sz w:val="16"/>
              </w:rPr>
              <w:t>Action type, announcement date/time, ratio/amount, ex-date, record date, payment date, status</w:t>
            </w:r>
          </w:p>
        </w:tc>
        <w:tc>
          <w:tcPr>
            <w:tcW w:type="dxa" w:w="2520"/>
            <w:vAlign w:val="center"/>
          </w:tcPr>
          <w:p>
            <w:pPr>
              <w:spacing w:after="40"/>
            </w:pPr>
            <w:r>
              <w:rPr>
                <w:sz w:val="16"/>
              </w:rPr>
              <w:t>Event-level</w:t>
            </w:r>
          </w:p>
        </w:tc>
        <w:tc>
          <w:tcPr>
            <w:tcW w:type="dxa" w:w="2520"/>
            <w:vAlign w:val="center"/>
          </w:tcPr>
          <w:p>
            <w:pPr>
              <w:spacing w:after="40"/>
            </w:pPr>
            <w:r>
              <w:rPr>
                <w:sz w:val="16"/>
              </w:rPr>
              <w:t>Announced vs effective date, cancellation/amendment, adjustment methodology</w:t>
            </w:r>
          </w:p>
        </w:tc>
      </w:tr>
      <w:tr>
        <w:tc>
          <w:tcPr>
            <w:tcW w:type="dxa" w:w="2520"/>
            <w:vAlign w:val="center"/>
          </w:tcPr>
          <w:p>
            <w:pPr>
              <w:spacing w:after="40"/>
            </w:pPr>
            <w:r>
              <w:rPr>
                <w:sz w:val="16"/>
              </w:rPr>
              <w:t>News articles</w:t>
            </w:r>
          </w:p>
        </w:tc>
        <w:tc>
          <w:tcPr>
            <w:tcW w:type="dxa" w:w="2520"/>
            <w:vAlign w:val="center"/>
          </w:tcPr>
          <w:p>
            <w:pPr>
              <w:spacing w:after="40"/>
            </w:pPr>
            <w:r>
              <w:rPr>
                <w:sz w:val="16"/>
              </w:rPr>
              <w:t>Article ID, URL, publisher, author, title, body, published/updated time, retrieved time, entities</w:t>
            </w:r>
          </w:p>
        </w:tc>
        <w:tc>
          <w:tcPr>
            <w:tcW w:type="dxa" w:w="2520"/>
            <w:vAlign w:val="center"/>
          </w:tcPr>
          <w:p>
            <w:pPr>
              <w:spacing w:after="40"/>
            </w:pPr>
            <w:r>
              <w:rPr>
                <w:sz w:val="16"/>
              </w:rPr>
              <w:t>Event-level/intraday</w:t>
            </w:r>
          </w:p>
        </w:tc>
        <w:tc>
          <w:tcPr>
            <w:tcW w:type="dxa" w:w="2520"/>
            <w:vAlign w:val="center"/>
          </w:tcPr>
          <w:p>
            <w:pPr>
              <w:spacing w:after="40"/>
            </w:pPr>
            <w:r>
              <w:rPr>
                <w:sz w:val="16"/>
              </w:rPr>
              <w:t>Duplicates, syndicated copies, corrections, paywall and licence</w:t>
            </w:r>
          </w:p>
        </w:tc>
      </w:tr>
      <w:tr>
        <w:tc>
          <w:tcPr>
            <w:tcW w:type="dxa" w:w="2520"/>
            <w:vAlign w:val="center"/>
          </w:tcPr>
          <w:p>
            <w:pPr>
              <w:spacing w:after="40"/>
            </w:pPr>
            <w:r>
              <w:rPr>
                <w:sz w:val="16"/>
              </w:rPr>
              <w:t>Company master</w:t>
            </w:r>
          </w:p>
        </w:tc>
        <w:tc>
          <w:tcPr>
            <w:tcW w:type="dxa" w:w="2520"/>
            <w:vAlign w:val="center"/>
          </w:tcPr>
          <w:p>
            <w:pPr>
              <w:spacing w:after="40"/>
            </w:pPr>
            <w:r>
              <w:rPr>
                <w:sz w:val="16"/>
              </w:rPr>
              <w:t>ISIN, exchange symbol, legal name, aliases, group/subsidiary mapping, sector</w:t>
            </w:r>
          </w:p>
        </w:tc>
        <w:tc>
          <w:tcPr>
            <w:tcW w:type="dxa" w:w="2520"/>
            <w:vAlign w:val="center"/>
          </w:tcPr>
          <w:p>
            <w:pPr>
              <w:spacing w:after="40"/>
            </w:pPr>
            <w:r>
              <w:rPr>
                <w:sz w:val="16"/>
              </w:rPr>
              <w:t>Versioned reference data</w:t>
            </w:r>
          </w:p>
        </w:tc>
        <w:tc>
          <w:tcPr>
            <w:tcW w:type="dxa" w:w="2520"/>
            <w:vAlign w:val="center"/>
          </w:tcPr>
          <w:p>
            <w:pPr>
              <w:spacing w:after="40"/>
            </w:pPr>
            <w:r>
              <w:rPr>
                <w:sz w:val="16"/>
              </w:rPr>
              <w:t>Symbol changes, mergers, name changes and identifier stability</w:t>
            </w:r>
          </w:p>
        </w:tc>
      </w:tr>
      <w:tr>
        <w:tc>
          <w:tcPr>
            <w:tcW w:type="dxa" w:w="2520"/>
            <w:vAlign w:val="center"/>
          </w:tcPr>
          <w:p>
            <w:pPr>
              <w:spacing w:after="40"/>
            </w:pPr>
            <w:r>
              <w:rPr>
                <w:sz w:val="16"/>
              </w:rPr>
              <w:t>Market data around events</w:t>
            </w:r>
          </w:p>
        </w:tc>
        <w:tc>
          <w:tcPr>
            <w:tcW w:type="dxa" w:w="2520"/>
            <w:vAlign w:val="center"/>
          </w:tcPr>
          <w:p>
            <w:pPr>
              <w:spacing w:after="40"/>
            </w:pPr>
            <w:r>
              <w:rPr>
                <w:sz w:val="16"/>
              </w:rPr>
              <w:t>Price/volume, benchmark, timestamps, corporate-action adjusted series</w:t>
            </w:r>
          </w:p>
        </w:tc>
        <w:tc>
          <w:tcPr>
            <w:tcW w:type="dxa" w:w="2520"/>
            <w:vAlign w:val="center"/>
          </w:tcPr>
          <w:p>
            <w:pPr>
              <w:spacing w:after="40"/>
            </w:pPr>
            <w:r>
              <w:rPr>
                <w:sz w:val="16"/>
              </w:rPr>
              <w:t>Daily/intraday as needed</w:t>
            </w:r>
          </w:p>
        </w:tc>
        <w:tc>
          <w:tcPr>
            <w:tcW w:type="dxa" w:w="2520"/>
            <w:vAlign w:val="center"/>
          </w:tcPr>
          <w:p>
            <w:pPr>
              <w:spacing w:after="40"/>
            </w:pPr>
            <w:r>
              <w:rPr>
                <w:sz w:val="16"/>
              </w:rPr>
              <w:t>Price adjustment, suspensions, circuits, liquidity and session boundaries</w:t>
            </w:r>
          </w:p>
        </w:tc>
      </w:tr>
      <w:tr>
        <w:tc>
          <w:tcPr>
            <w:tcW w:type="dxa" w:w="2520"/>
            <w:vAlign w:val="center"/>
          </w:tcPr>
          <w:p>
            <w:pPr>
              <w:spacing w:after="40"/>
            </w:pPr>
            <w:r>
              <w:rPr>
                <w:sz w:val="16"/>
              </w:rPr>
              <w:t>Event labels</w:t>
            </w:r>
          </w:p>
        </w:tc>
        <w:tc>
          <w:tcPr>
            <w:tcW w:type="dxa" w:w="2520"/>
            <w:vAlign w:val="center"/>
          </w:tcPr>
          <w:p>
            <w:pPr>
              <w:spacing w:after="40"/>
            </w:pPr>
            <w:r>
              <w:rPr>
                <w:sz w:val="16"/>
              </w:rPr>
              <w:t>Event category, materiality, source, annotator/model version, confidence</w:t>
            </w:r>
          </w:p>
        </w:tc>
        <w:tc>
          <w:tcPr>
            <w:tcW w:type="dxa" w:w="2520"/>
            <w:vAlign w:val="center"/>
          </w:tcPr>
          <w:p>
            <w:pPr>
              <w:spacing w:after="40"/>
            </w:pPr>
            <w:r>
              <w:rPr>
                <w:sz w:val="16"/>
              </w:rPr>
              <w:t>Event-level</w:t>
            </w:r>
          </w:p>
        </w:tc>
        <w:tc>
          <w:tcPr>
            <w:tcW w:type="dxa" w:w="2520"/>
            <w:vAlign w:val="center"/>
          </w:tcPr>
          <w:p>
            <w:pPr>
              <w:spacing w:after="40"/>
            </w:pPr>
            <w:r>
              <w:rPr>
                <w:sz w:val="16"/>
              </w:rPr>
              <w:t>Label agreement, class imbalance, retrospective bias</w:t>
            </w:r>
          </w:p>
        </w:tc>
      </w:tr>
    </w:tbl>
    <w:p/>
    <w:p>
      <w:r>
        <w:t>Minimum event schema should store event_time, first_public_time, available_at, retrieved_at, issuer identifier, source, event category, original document, correction/version state and whether the event was already known. A headline date without a timestamp is insufficient for intraday modelling.</w:t>
      </w:r>
    </w:p>
    <w:p>
      <w:pPr>
        <w:pStyle w:val="Heading1"/>
      </w:pPr>
      <w:r>
        <w:t>6. Candidate Features and Formulas</w:t>
      </w:r>
    </w:p>
    <w:p>
      <w:r>
        <w:t>Let M be a reported metric, E its comparable expectation, P the stock price, and t the event. These formulas are candidates. The expectation must be point-in-time and the metric definitions must match.</w:t>
      </w:r>
    </w:p>
    <w:p>
      <w:pPr>
        <w:pStyle w:val="Heading2"/>
      </w:pPr>
      <w:r>
        <w:t>6.1 Earnings surprise</w:t>
      </w:r>
    </w:p>
    <w:p>
      <w:pPr>
        <w:pStyle w:val="ListBullet"/>
        <w:spacing w:after="40"/>
      </w:pPr>
      <w:r>
        <w:t>Absolute surprise: surprise = actual − consensus.</w:t>
      </w:r>
    </w:p>
    <w:p>
      <w:pPr>
        <w:pStyle w:val="ListBullet"/>
        <w:spacing w:after="40"/>
      </w:pPr>
      <w:r>
        <w:t>Percentage surprise: surprise_pct = (actual − consensus) / abs(consensus) × 100. Avoid or specially handle zero/negative consensus values.</w:t>
      </w:r>
    </w:p>
    <w:p>
      <w:pPr>
        <w:pStyle w:val="ListBullet"/>
        <w:spacing w:after="40"/>
      </w:pPr>
      <w:r>
        <w:t>Standardised surprise: SUE = (actual EPS − consensus EPS) / historical standard deviation of EPS surprises, using only prior observations and consistent units.</w:t>
      </w:r>
    </w:p>
    <w:p>
      <w:pPr>
        <w:pStyle w:val="ListBullet"/>
        <w:spacing w:after="40"/>
      </w:pPr>
      <w:r>
        <w:t>Year-over-year growth: growth_yoy = (current metric / comparable prior-year metric − 1) × 100, only when the denominator and accounting basis make the ratio meaningful.</w:t>
      </w:r>
    </w:p>
    <w:p>
      <w:pPr>
        <w:pStyle w:val="ListBullet"/>
        <w:spacing w:after="40"/>
      </w:pPr>
      <w:r>
        <w:t>Margin change: margin_t = profit_t / revenue_t; margin_change_pp = (margin_t − margin_(t−1)) × 100, when margins are stored as proportions. Express the result in percentage points.</w:t>
      </w:r>
    </w:p>
    <w:p>
      <w:pPr>
        <w:pStyle w:val="ListBullet"/>
        <w:spacing w:after="40"/>
      </w:pPr>
      <w:r>
        <w:t>Guidance change: guidance_change = new guidance midpoint − previous guidance midpoint; only compare like-for-like guidance ranges and currencies/units.</w:t>
      </w:r>
    </w:p>
    <w:p>
      <w:pPr>
        <w:pStyle w:val="Heading2"/>
      </w:pPr>
      <w:r>
        <w:t>6.2 Event and corporate-action features</w:t>
      </w:r>
    </w:p>
    <w:p>
      <w:pPr>
        <w:pStyle w:val="ListBullet"/>
        <w:spacing w:after="40"/>
      </w:pPr>
      <w:r>
        <w:t>Event type one-hot/categorical features: earnings, dividend, buyback, split, acquisition, order win, rating action, auditor event, legal/regulatory event.</w:t>
      </w:r>
    </w:p>
    <w:p>
      <w:pPr>
        <w:pStyle w:val="ListBullet"/>
        <w:spacing w:after="40"/>
      </w:pPr>
      <w:r>
        <w:t>Announcement-to-effective lead time: effective_date − announcement_date; store the units and both timestamps.</w:t>
      </w:r>
    </w:p>
    <w:p>
      <w:pPr>
        <w:pStyle w:val="ListBullet"/>
        <w:spacing w:after="40"/>
      </w:pPr>
      <w:r>
        <w:t>Dividend yield at announcement: declared cash dividend per share / pre-announcement reference price × 100. Use the appropriate share basis and do not use future price.</w:t>
      </w:r>
    </w:p>
    <w:p>
      <w:pPr>
        <w:pStyle w:val="ListBullet"/>
        <w:spacing w:after="40"/>
      </w:pPr>
      <w:r>
        <w:t>Buyback size ratio: announced buyback value / market capitalisation as of the announcement timestamp, when reliable data are available.</w:t>
      </w:r>
    </w:p>
    <w:p>
      <w:pPr>
        <w:pStyle w:val="ListBullet"/>
        <w:spacing w:after="40"/>
      </w:pPr>
      <w:r>
        <w:t>Acquisition size ratio: disclosed transaction value / acquirer market capitalisation at the pre-event reference time, where values are comparable and publicly disclosed.</w:t>
      </w:r>
    </w:p>
    <w:p>
      <w:pPr>
        <w:pStyle w:val="ListBullet"/>
        <w:spacing w:after="40"/>
      </w:pPr>
      <w:r>
        <w:t>Financing/dilution proxy: proposed new shares / pre-event shares outstanding, where disclosed and definitions align.</w:t>
      </w:r>
    </w:p>
    <w:p>
      <w:pPr>
        <w:pStyle w:val="ListBullet"/>
        <w:spacing w:after="40"/>
      </w:pPr>
      <w:r>
        <w:t>Corporate-action status: proposed, approved, open, completed, withdrawn or amended; do not treat a proposal as completed.</w:t>
      </w:r>
    </w:p>
    <w:p>
      <w:pPr>
        <w:pStyle w:val="Heading2"/>
      </w:pPr>
      <w:r>
        <w:t>6.3 News sentiment and attention</w:t>
      </w:r>
    </w:p>
    <w:p>
      <w:pPr>
        <w:pStyle w:val="ListBullet"/>
        <w:spacing w:after="40"/>
      </w:pPr>
      <w:r>
        <w:t>Sentiment score: model output in a defined range, e.g. −1 to +1, with the model/version and text segment recorded. Do not interpret it as a probability unless calibrated.</w:t>
      </w:r>
    </w:p>
    <w:p>
      <w:pPr>
        <w:pStyle w:val="ListBullet"/>
        <w:spacing w:after="40"/>
      </w:pPr>
      <w:r>
        <w:t>Novelty: similarity-based measure versus prior articles on the same event/company. Freeze embedding/model versions and use only past articles.</w:t>
      </w:r>
    </w:p>
    <w:p>
      <w:pPr>
        <w:pStyle w:val="ListBullet"/>
        <w:spacing w:after="40"/>
      </w:pPr>
      <w:r>
        <w:t>News volume: number of unique event groups or unique articles in a rolling window; report both counts if duplication remains uncertain.</w:t>
      </w:r>
    </w:p>
    <w:p>
      <w:pPr>
        <w:pStyle w:val="ListBullet"/>
        <w:spacing w:after="40"/>
      </w:pPr>
      <w:r>
        <w:t>Source-weighted sentiment: weighted mean of article sentiment using pre-defined source weights. Avoid tuning weights on the final test set.</w:t>
      </w:r>
    </w:p>
    <w:p>
      <w:pPr>
        <w:pStyle w:val="ListBullet"/>
        <w:spacing w:after="40"/>
      </w:pPr>
      <w:r>
        <w:t>Sentiment disagreement: standard deviation of sentiment across independent sources covering the same event.</w:t>
      </w:r>
    </w:p>
    <w:p>
      <w:pPr>
        <w:pStyle w:val="ListBullet"/>
        <w:spacing w:after="40"/>
      </w:pPr>
      <w:r>
        <w:t>Attention surprise: current unique-article count minus a trailing historical baseline, optionally standardised using past windows only.</w:t>
      </w:r>
    </w:p>
    <w:p>
      <w:pPr>
        <w:pStyle w:val="ListBullet"/>
        <w:spacing w:after="40"/>
      </w:pPr>
      <w:r>
        <w:t>Disclosure-to-media lag: media first-public timestamp minus official filing timestamp, only if both timestamps are reliably recorded.</w:t>
      </w:r>
    </w:p>
    <w:p>
      <w:pPr>
        <w:pStyle w:val="Heading2"/>
      </w:pPr>
      <w:r>
        <w:t>6.4 Event-study features and labels</w:t>
      </w:r>
    </w:p>
    <w:p>
      <w:r>
        <w:t>Abnormal return can be estimated as stock return minus benchmark return over a defined interval, or with a market model estimated using a pre-event window. Event-study returns after the announcement are useful for labelling or analysing reactions, but they must not be used as predictors for a forecast made before those returns occurred.</w:t>
      </w:r>
    </w:p>
    <w:p>
      <w:pPr>
        <w:pStyle w:val="ListBullet"/>
        <w:spacing w:after="40"/>
      </w:pPr>
      <w:r>
        <w:t>Simple market-adjusted return: AR_t = R_stock,t − R_benchmark,t for an aligned interval.</w:t>
      </w:r>
    </w:p>
    <w:p>
      <w:pPr>
        <w:pStyle w:val="ListBullet"/>
        <w:spacing w:after="40"/>
      </w:pPr>
      <w:r>
        <w:t>Cumulative abnormal return: CAR_[a,b] = sum of abnormal returns from event-window session a through b.</w:t>
      </w:r>
    </w:p>
    <w:p>
      <w:pPr>
        <w:pStyle w:val="ListBullet"/>
        <w:spacing w:after="40"/>
      </w:pPr>
      <w:r>
        <w:t>Abnormal volume: volume_t / trailing median volume − 1, where the trailing median excludes the event day if measuring an event reaction.</w:t>
      </w:r>
    </w:p>
    <w:p>
      <w:pPr>
        <w:pStyle w:val="ListBullet"/>
        <w:spacing w:after="40"/>
      </w:pPr>
      <w:r>
        <w:t>Gap: (event-session open / previous close) − 1, but only available after the open; cannot be used for a pre-open forecast.</w:t>
      </w:r>
    </w:p>
    <w:p>
      <w:pPr>
        <w:pStyle w:val="Heading1"/>
      </w:pPr>
      <w:r>
        <w:t>7. Worked Examples (Illustrative Only)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Input</w:t>
            </w:r>
          </w:p>
        </w:tc>
        <w:tc>
          <w:tcPr>
            <w:tcW w:type="dxa" w:w="3360"/>
            <w:shd w:fill="D9EAF2"/>
          </w:tcPr>
          <w:p>
            <w:r>
              <w:rPr>
                <w:b/>
                <w:sz w:val="16"/>
              </w:rPr>
              <w:t>Calculation</w:t>
            </w:r>
          </w:p>
        </w:tc>
        <w:tc>
          <w:tcPr>
            <w:tcW w:type="dxa" w:w="3360"/>
            <w:shd w:fill="D9EAF2"/>
          </w:tcPr>
          <w:p>
            <w:r>
              <w:rPr>
                <w:b/>
                <w:sz w:val="16"/>
              </w:rPr>
              <w:t>Interpretation</w:t>
            </w:r>
          </w:p>
        </w:tc>
      </w:tr>
      <w:tr>
        <w:tc>
          <w:tcPr>
            <w:tcW w:type="dxa" w:w="3360"/>
            <w:vAlign w:val="center"/>
          </w:tcPr>
          <w:p>
            <w:pPr>
              <w:spacing w:after="40"/>
            </w:pPr>
            <w:r>
              <w:rPr>
                <w:sz w:val="16"/>
              </w:rPr>
              <w:t>EPS actual ₹12; consensus ₹10</w:t>
            </w:r>
          </w:p>
        </w:tc>
        <w:tc>
          <w:tcPr>
            <w:tcW w:type="dxa" w:w="3360"/>
            <w:vAlign w:val="center"/>
          </w:tcPr>
          <w:p>
            <w:pPr>
              <w:spacing w:after="40"/>
            </w:pPr>
            <w:r>
              <w:rPr>
                <w:sz w:val="16"/>
              </w:rPr>
              <w:t>Absolute surprise = ₹2; percentage surprise = 20%</w:t>
            </w:r>
          </w:p>
        </w:tc>
        <w:tc>
          <w:tcPr>
            <w:tcW w:type="dxa" w:w="3360"/>
            <w:vAlign w:val="center"/>
          </w:tcPr>
          <w:p>
            <w:pPr>
              <w:spacing w:after="40"/>
            </w:pPr>
            <w:r>
              <w:rPr>
                <w:sz w:val="16"/>
              </w:rPr>
              <w:t>Positive earnings surprise, assuming metrics are comparable; market reaction is not guaranteed.</w:t>
            </w:r>
          </w:p>
        </w:tc>
      </w:tr>
      <w:tr>
        <w:tc>
          <w:tcPr>
            <w:tcW w:type="dxa" w:w="3360"/>
            <w:vAlign w:val="center"/>
          </w:tcPr>
          <w:p>
            <w:pPr>
              <w:spacing w:after="40"/>
            </w:pPr>
            <w:r>
              <w:rPr>
                <w:sz w:val="16"/>
              </w:rPr>
              <w:t>Revenue ₹1,100 crore vs ₹1,000 crore a year earlier</w:t>
            </w:r>
          </w:p>
        </w:tc>
        <w:tc>
          <w:tcPr>
            <w:tcW w:type="dxa" w:w="3360"/>
            <w:vAlign w:val="center"/>
          </w:tcPr>
          <w:p>
            <w:pPr>
              <w:spacing w:after="40"/>
            </w:pPr>
            <w:r>
              <w:rPr>
                <w:sz w:val="16"/>
              </w:rPr>
              <w:t>(1,100/1,000 − 1) × 100 = 10%</w:t>
            </w:r>
          </w:p>
        </w:tc>
        <w:tc>
          <w:tcPr>
            <w:tcW w:type="dxa" w:w="3360"/>
            <w:vAlign w:val="center"/>
          </w:tcPr>
          <w:p>
            <w:pPr>
              <w:spacing w:after="40"/>
            </w:pPr>
            <w:r>
              <w:rPr>
                <w:sz w:val="16"/>
              </w:rPr>
              <w:t>Revenue grew 10% year over year, before considering margins, inflation, acquisitions or expectations.</w:t>
            </w:r>
          </w:p>
        </w:tc>
      </w:tr>
      <w:tr>
        <w:tc>
          <w:tcPr>
            <w:tcW w:type="dxa" w:w="3360"/>
            <w:vAlign w:val="center"/>
          </w:tcPr>
          <w:p>
            <w:pPr>
              <w:spacing w:after="40"/>
            </w:pPr>
            <w:r>
              <w:rPr>
                <w:sz w:val="16"/>
              </w:rPr>
              <w:t>Operating profit ₹150 crore; revenue ₹1,000 crore</w:t>
            </w:r>
          </w:p>
        </w:tc>
        <w:tc>
          <w:tcPr>
            <w:tcW w:type="dxa" w:w="3360"/>
            <w:vAlign w:val="center"/>
          </w:tcPr>
          <w:p>
            <w:pPr>
              <w:spacing w:after="40"/>
            </w:pPr>
            <w:r>
              <w:rPr>
                <w:sz w:val="16"/>
              </w:rPr>
              <w:t>Margin = 150/1,000 × 100 = 15%</w:t>
            </w:r>
          </w:p>
        </w:tc>
        <w:tc>
          <w:tcPr>
            <w:tcW w:type="dxa" w:w="3360"/>
            <w:vAlign w:val="center"/>
          </w:tcPr>
          <w:p>
            <w:pPr>
              <w:spacing w:after="40"/>
            </w:pPr>
            <w:r>
              <w:rPr>
                <w:sz w:val="16"/>
              </w:rPr>
              <w:t>Operating margin is 15%; compare with prior periods and peers on the same accounting basis.</w:t>
            </w:r>
          </w:p>
        </w:tc>
      </w:tr>
      <w:tr>
        <w:tc>
          <w:tcPr>
            <w:tcW w:type="dxa" w:w="3360"/>
            <w:vAlign w:val="center"/>
          </w:tcPr>
          <w:p>
            <w:pPr>
              <w:spacing w:after="40"/>
            </w:pPr>
            <w:r>
              <w:rPr>
                <w:sz w:val="16"/>
              </w:rPr>
              <w:t>Declared dividend ₹8/share; reference price ₹400</w:t>
            </w:r>
          </w:p>
        </w:tc>
        <w:tc>
          <w:tcPr>
            <w:tcW w:type="dxa" w:w="3360"/>
            <w:vAlign w:val="center"/>
          </w:tcPr>
          <w:p>
            <w:pPr>
              <w:spacing w:after="40"/>
            </w:pPr>
            <w:r>
              <w:rPr>
                <w:sz w:val="16"/>
              </w:rPr>
              <w:t>8/400 × 100 = 2%</w:t>
            </w:r>
          </w:p>
        </w:tc>
        <w:tc>
          <w:tcPr>
            <w:tcW w:type="dxa" w:w="3360"/>
            <w:vAlign w:val="center"/>
          </w:tcPr>
          <w:p>
            <w:pPr>
              <w:spacing w:after="40"/>
            </w:pPr>
            <w:r>
              <w:rPr>
                <w:sz w:val="16"/>
              </w:rPr>
              <w:t>Indicative dividend yield at the reference price; price adjusts around ex-date and the yield is not a guaranteed return.</w:t>
            </w:r>
          </w:p>
        </w:tc>
      </w:tr>
      <w:tr>
        <w:tc>
          <w:tcPr>
            <w:tcW w:type="dxa" w:w="3360"/>
            <w:vAlign w:val="center"/>
          </w:tcPr>
          <w:p>
            <w:pPr>
              <w:spacing w:after="40"/>
            </w:pPr>
            <w:r>
              <w:rPr>
                <w:sz w:val="16"/>
              </w:rPr>
              <w:t>Buyback value ₹500 crore; market cap ₹25,000 crore</w:t>
            </w:r>
          </w:p>
        </w:tc>
        <w:tc>
          <w:tcPr>
            <w:tcW w:type="dxa" w:w="3360"/>
            <w:vAlign w:val="center"/>
          </w:tcPr>
          <w:p>
            <w:pPr>
              <w:spacing w:after="40"/>
            </w:pPr>
            <w:r>
              <w:rPr>
                <w:sz w:val="16"/>
              </w:rPr>
              <w:t>500/25,000 × 100 = 2%</w:t>
            </w:r>
          </w:p>
        </w:tc>
        <w:tc>
          <w:tcPr>
            <w:tcW w:type="dxa" w:w="3360"/>
            <w:vAlign w:val="center"/>
          </w:tcPr>
          <w:p>
            <w:pPr>
              <w:spacing w:after="40"/>
            </w:pPr>
            <w:r>
              <w:rPr>
                <w:sz w:val="16"/>
              </w:rPr>
              <w:t>Announced buyback value is 2% of market cap, subject to tender terms and actual participation.</w:t>
            </w:r>
          </w:p>
        </w:tc>
      </w:tr>
    </w:tbl>
    <w:p/>
    <w:p>
      <w:r>
        <w:t>These are invented examples to explain feature construction, not actual company data or trading recommendations.</w:t>
      </w:r>
    </w:p>
    <w:p>
      <w:pPr>
        <w:pStyle w:val="Heading1"/>
      </w:pPr>
      <w:r>
        <w:t>8. Candidate Dataset Columns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Column</w:t>
            </w:r>
          </w:p>
        </w:tc>
        <w:tc>
          <w:tcPr>
            <w:tcW w:type="dxa" w:w="2520"/>
            <w:shd w:fill="D9EAF2"/>
          </w:tcPr>
          <w:p>
            <w:r>
              <w:rPr>
                <w:b/>
                <w:sz w:val="16"/>
              </w:rPr>
              <w:t>Definition</w:t>
            </w:r>
          </w:p>
        </w:tc>
        <w:tc>
          <w:tcPr>
            <w:tcW w:type="dxa" w:w="2520"/>
            <w:shd w:fill="D9EAF2"/>
          </w:tcPr>
          <w:p>
            <w:r>
              <w:rPr>
                <w:b/>
                <w:sz w:val="16"/>
              </w:rPr>
              <w:t>Timing/window</w:t>
            </w:r>
          </w:p>
        </w:tc>
        <w:tc>
          <w:tcPr>
            <w:tcW w:type="dxa" w:w="2520"/>
            <w:shd w:fill="D9EAF2"/>
          </w:tcPr>
          <w:p>
            <w:r>
              <w:rPr>
                <w:b/>
                <w:sz w:val="16"/>
              </w:rPr>
              <w:t>Caveat</w:t>
            </w:r>
          </w:p>
        </w:tc>
      </w:tr>
      <w:tr>
        <w:tc>
          <w:tcPr>
            <w:tcW w:type="dxa" w:w="2520"/>
            <w:vAlign w:val="center"/>
          </w:tcPr>
          <w:p>
            <w:pPr>
              <w:spacing w:after="40"/>
            </w:pPr>
            <w:r>
              <w:rPr>
                <w:sz w:val="16"/>
              </w:rPr>
              <w:t>event_id</w:t>
            </w:r>
          </w:p>
        </w:tc>
        <w:tc>
          <w:tcPr>
            <w:tcW w:type="dxa" w:w="2520"/>
            <w:vAlign w:val="center"/>
          </w:tcPr>
          <w:p>
            <w:pPr>
              <w:spacing w:after="40"/>
            </w:pPr>
            <w:r>
              <w:rPr>
                <w:sz w:val="16"/>
              </w:rPr>
              <w:t>Unique underlying event identifier</w:t>
            </w:r>
          </w:p>
        </w:tc>
        <w:tc>
          <w:tcPr>
            <w:tcW w:type="dxa" w:w="2520"/>
            <w:vAlign w:val="center"/>
          </w:tcPr>
          <w:p>
            <w:pPr>
              <w:spacing w:after="40"/>
            </w:pPr>
            <w:r>
              <w:rPr>
                <w:sz w:val="16"/>
              </w:rPr>
              <w:t>At first detection; versioned</w:t>
            </w:r>
          </w:p>
        </w:tc>
        <w:tc>
          <w:tcPr>
            <w:tcW w:type="dxa" w:w="2520"/>
            <w:vAlign w:val="center"/>
          </w:tcPr>
          <w:p>
            <w:pPr>
              <w:spacing w:after="40"/>
            </w:pPr>
            <w:r>
              <w:rPr>
                <w:sz w:val="16"/>
              </w:rPr>
              <w:t>Multiple articles may describe one event</w:t>
            </w:r>
          </w:p>
        </w:tc>
      </w:tr>
      <w:tr>
        <w:tc>
          <w:tcPr>
            <w:tcW w:type="dxa" w:w="2520"/>
            <w:vAlign w:val="center"/>
          </w:tcPr>
          <w:p>
            <w:pPr>
              <w:spacing w:after="40"/>
            </w:pPr>
            <w:r>
              <w:rPr>
                <w:sz w:val="16"/>
              </w:rPr>
              <w:t>issuer_id_isin</w:t>
            </w:r>
          </w:p>
        </w:tc>
        <w:tc>
          <w:tcPr>
            <w:tcW w:type="dxa" w:w="2520"/>
            <w:vAlign w:val="center"/>
          </w:tcPr>
          <w:p>
            <w:pPr>
              <w:spacing w:after="40"/>
            </w:pPr>
            <w:r>
              <w:rPr>
                <w:sz w:val="16"/>
              </w:rPr>
              <w:t>Stable issuer/security identifier</w:t>
            </w:r>
          </w:p>
        </w:tc>
        <w:tc>
          <w:tcPr>
            <w:tcW w:type="dxa" w:w="2520"/>
            <w:vAlign w:val="center"/>
          </w:tcPr>
          <w:p>
            <w:pPr>
              <w:spacing w:after="40"/>
            </w:pPr>
            <w:r>
              <w:rPr>
                <w:sz w:val="16"/>
              </w:rPr>
              <w:t>Reference table</w:t>
            </w:r>
          </w:p>
        </w:tc>
        <w:tc>
          <w:tcPr>
            <w:tcW w:type="dxa" w:w="2520"/>
            <w:vAlign w:val="center"/>
          </w:tcPr>
          <w:p>
            <w:pPr>
              <w:spacing w:after="40"/>
            </w:pPr>
            <w:r>
              <w:rPr>
                <w:sz w:val="16"/>
              </w:rPr>
              <w:t>Avoid relying on ticker alone</w:t>
            </w:r>
          </w:p>
        </w:tc>
      </w:tr>
      <w:tr>
        <w:tc>
          <w:tcPr>
            <w:tcW w:type="dxa" w:w="2520"/>
            <w:vAlign w:val="center"/>
          </w:tcPr>
          <w:p>
            <w:pPr>
              <w:spacing w:after="40"/>
            </w:pPr>
            <w:r>
              <w:rPr>
                <w:sz w:val="16"/>
              </w:rPr>
              <w:t>event_type</w:t>
            </w:r>
          </w:p>
        </w:tc>
        <w:tc>
          <w:tcPr>
            <w:tcW w:type="dxa" w:w="2520"/>
            <w:vAlign w:val="center"/>
          </w:tcPr>
          <w:p>
            <w:pPr>
              <w:spacing w:after="40"/>
            </w:pPr>
            <w:r>
              <w:rPr>
                <w:sz w:val="16"/>
              </w:rPr>
              <w:t>Earnings, corporate action, order, governance, legal, regulatory, etc.</w:t>
            </w:r>
          </w:p>
        </w:tc>
        <w:tc>
          <w:tcPr>
            <w:tcW w:type="dxa" w:w="2520"/>
            <w:vAlign w:val="center"/>
          </w:tcPr>
          <w:p>
            <w:pPr>
              <w:spacing w:after="40"/>
            </w:pPr>
            <w:r>
              <w:rPr>
                <w:sz w:val="16"/>
              </w:rPr>
              <w:t>When disclosed</w:t>
            </w:r>
          </w:p>
        </w:tc>
        <w:tc>
          <w:tcPr>
            <w:tcW w:type="dxa" w:w="2520"/>
            <w:vAlign w:val="center"/>
          </w:tcPr>
          <w:p>
            <w:pPr>
              <w:spacing w:after="40"/>
            </w:pPr>
            <w:r>
              <w:rPr>
                <w:sz w:val="16"/>
              </w:rPr>
              <w:t>Version the taxonomy</w:t>
            </w:r>
          </w:p>
        </w:tc>
      </w:tr>
      <w:tr>
        <w:tc>
          <w:tcPr>
            <w:tcW w:type="dxa" w:w="2520"/>
            <w:vAlign w:val="center"/>
          </w:tcPr>
          <w:p>
            <w:pPr>
              <w:spacing w:after="40"/>
            </w:pPr>
            <w:r>
              <w:rPr>
                <w:sz w:val="16"/>
              </w:rPr>
              <w:t>official_filing_flag</w:t>
            </w:r>
          </w:p>
        </w:tc>
        <w:tc>
          <w:tcPr>
            <w:tcW w:type="dxa" w:w="2520"/>
            <w:vAlign w:val="center"/>
          </w:tcPr>
          <w:p>
            <w:pPr>
              <w:spacing w:after="40"/>
            </w:pPr>
            <w:r>
              <w:rPr>
                <w:sz w:val="16"/>
              </w:rPr>
              <w:t>Whether source is official exchange/company disclosure</w:t>
            </w:r>
          </w:p>
        </w:tc>
        <w:tc>
          <w:tcPr>
            <w:tcW w:type="dxa" w:w="2520"/>
            <w:vAlign w:val="center"/>
          </w:tcPr>
          <w:p>
            <w:pPr>
              <w:spacing w:after="40"/>
            </w:pPr>
            <w:r>
              <w:rPr>
                <w:sz w:val="16"/>
              </w:rPr>
              <w:t>At ingestion</w:t>
            </w:r>
          </w:p>
        </w:tc>
        <w:tc>
          <w:tcPr>
            <w:tcW w:type="dxa" w:w="2520"/>
            <w:vAlign w:val="center"/>
          </w:tcPr>
          <w:p>
            <w:pPr>
              <w:spacing w:after="40"/>
            </w:pPr>
            <w:r>
              <w:rPr>
                <w:sz w:val="16"/>
              </w:rPr>
              <w:t>Media article can quote official source</w:t>
            </w:r>
          </w:p>
        </w:tc>
      </w:tr>
      <w:tr>
        <w:tc>
          <w:tcPr>
            <w:tcW w:type="dxa" w:w="2520"/>
            <w:vAlign w:val="center"/>
          </w:tcPr>
          <w:p>
            <w:pPr>
              <w:spacing w:after="40"/>
            </w:pPr>
            <w:r>
              <w:rPr>
                <w:sz w:val="16"/>
              </w:rPr>
              <w:t>first_public_at</w:t>
            </w:r>
          </w:p>
        </w:tc>
        <w:tc>
          <w:tcPr>
            <w:tcW w:type="dxa" w:w="2520"/>
            <w:vAlign w:val="center"/>
          </w:tcPr>
          <w:p>
            <w:pPr>
              <w:spacing w:after="40"/>
            </w:pPr>
            <w:r>
              <w:rPr>
                <w:sz w:val="16"/>
              </w:rPr>
              <w:t>Earliest verified public timestamp</w:t>
            </w:r>
          </w:p>
        </w:tc>
        <w:tc>
          <w:tcPr>
            <w:tcW w:type="dxa" w:w="2520"/>
            <w:vAlign w:val="center"/>
          </w:tcPr>
          <w:p>
            <w:pPr>
              <w:spacing w:after="40"/>
            </w:pPr>
            <w:r>
              <w:rPr>
                <w:sz w:val="16"/>
              </w:rPr>
              <w:t>Event-level</w:t>
            </w:r>
          </w:p>
        </w:tc>
        <w:tc>
          <w:tcPr>
            <w:tcW w:type="dxa" w:w="2520"/>
            <w:vAlign w:val="center"/>
          </w:tcPr>
          <w:p>
            <w:pPr>
              <w:spacing w:after="40"/>
            </w:pPr>
            <w:r>
              <w:rPr>
                <w:sz w:val="16"/>
              </w:rPr>
              <w:t>Distinguish from retrieval time</w:t>
            </w:r>
          </w:p>
        </w:tc>
      </w:tr>
      <w:tr>
        <w:tc>
          <w:tcPr>
            <w:tcW w:type="dxa" w:w="2520"/>
            <w:vAlign w:val="center"/>
          </w:tcPr>
          <w:p>
            <w:pPr>
              <w:spacing w:after="40"/>
            </w:pPr>
            <w:r>
              <w:rPr>
                <w:sz w:val="16"/>
              </w:rPr>
              <w:t>earnings_eps_surprise_pct</w:t>
            </w:r>
          </w:p>
        </w:tc>
        <w:tc>
          <w:tcPr>
            <w:tcW w:type="dxa" w:w="2520"/>
            <w:vAlign w:val="center"/>
          </w:tcPr>
          <w:p>
            <w:pPr>
              <w:spacing w:after="40"/>
            </w:pPr>
            <w:r>
              <w:rPr>
                <w:sz w:val="16"/>
              </w:rPr>
              <w:t>Actual EPS vs pre-event consensus</w:t>
            </w:r>
          </w:p>
        </w:tc>
        <w:tc>
          <w:tcPr>
            <w:tcW w:type="dxa" w:w="2520"/>
            <w:vAlign w:val="center"/>
          </w:tcPr>
          <w:p>
            <w:pPr>
              <w:spacing w:after="40"/>
            </w:pPr>
            <w:r>
              <w:rPr>
                <w:sz w:val="16"/>
              </w:rPr>
              <w:t>Results release</w:t>
            </w:r>
          </w:p>
        </w:tc>
        <w:tc>
          <w:tcPr>
            <w:tcW w:type="dxa" w:w="2520"/>
            <w:vAlign w:val="center"/>
          </w:tcPr>
          <w:p>
            <w:pPr>
              <w:spacing w:after="40"/>
            </w:pPr>
            <w:r>
              <w:rPr>
                <w:sz w:val="16"/>
              </w:rPr>
              <w:t>Consensus availability/licensing</w:t>
            </w:r>
          </w:p>
        </w:tc>
      </w:tr>
      <w:tr>
        <w:tc>
          <w:tcPr>
            <w:tcW w:type="dxa" w:w="2520"/>
            <w:vAlign w:val="center"/>
          </w:tcPr>
          <w:p>
            <w:pPr>
              <w:spacing w:after="40"/>
            </w:pPr>
            <w:r>
              <w:rPr>
                <w:sz w:val="16"/>
              </w:rPr>
              <w:t>earnings_revenue_surprise_pct</w:t>
            </w:r>
          </w:p>
        </w:tc>
        <w:tc>
          <w:tcPr>
            <w:tcW w:type="dxa" w:w="2520"/>
            <w:vAlign w:val="center"/>
          </w:tcPr>
          <w:p>
            <w:pPr>
              <w:spacing w:after="40"/>
            </w:pPr>
            <w:r>
              <w:rPr>
                <w:sz w:val="16"/>
              </w:rPr>
              <w:t>Actual revenue vs consensus</w:t>
            </w:r>
          </w:p>
        </w:tc>
        <w:tc>
          <w:tcPr>
            <w:tcW w:type="dxa" w:w="2520"/>
            <w:vAlign w:val="center"/>
          </w:tcPr>
          <w:p>
            <w:pPr>
              <w:spacing w:after="40"/>
            </w:pPr>
            <w:r>
              <w:rPr>
                <w:sz w:val="16"/>
              </w:rPr>
              <w:t>Results release</w:t>
            </w:r>
          </w:p>
        </w:tc>
        <w:tc>
          <w:tcPr>
            <w:tcW w:type="dxa" w:w="2520"/>
            <w:vAlign w:val="center"/>
          </w:tcPr>
          <w:p>
            <w:pPr>
              <w:spacing w:after="40"/>
            </w:pPr>
            <w:r>
              <w:rPr>
                <w:sz w:val="16"/>
              </w:rPr>
              <w:t>Basis and currency must match</w:t>
            </w:r>
          </w:p>
        </w:tc>
      </w:tr>
      <w:tr>
        <w:tc>
          <w:tcPr>
            <w:tcW w:type="dxa" w:w="2520"/>
            <w:vAlign w:val="center"/>
          </w:tcPr>
          <w:p>
            <w:pPr>
              <w:spacing w:after="40"/>
            </w:pPr>
            <w:r>
              <w:rPr>
                <w:sz w:val="16"/>
              </w:rPr>
              <w:t>pat_yoy</w:t>
            </w:r>
          </w:p>
        </w:tc>
        <w:tc>
          <w:tcPr>
            <w:tcW w:type="dxa" w:w="2520"/>
            <w:vAlign w:val="center"/>
          </w:tcPr>
          <w:p>
            <w:pPr>
              <w:spacing w:after="40"/>
            </w:pPr>
            <w:r>
              <w:rPr>
                <w:sz w:val="16"/>
              </w:rPr>
              <w:t>PAT year-over-year growth</w:t>
            </w:r>
          </w:p>
        </w:tc>
        <w:tc>
          <w:tcPr>
            <w:tcW w:type="dxa" w:w="2520"/>
            <w:vAlign w:val="center"/>
          </w:tcPr>
          <w:p>
            <w:pPr>
              <w:spacing w:after="40"/>
            </w:pPr>
            <w:r>
              <w:rPr>
                <w:sz w:val="16"/>
              </w:rPr>
              <w:t>After results publication</w:t>
            </w:r>
          </w:p>
        </w:tc>
        <w:tc>
          <w:tcPr>
            <w:tcW w:type="dxa" w:w="2520"/>
            <w:vAlign w:val="center"/>
          </w:tcPr>
          <w:p>
            <w:pPr>
              <w:spacing w:after="40"/>
            </w:pPr>
            <w:r>
              <w:rPr>
                <w:sz w:val="16"/>
              </w:rPr>
              <w:t>Negative/near-zero denominators</w:t>
            </w:r>
          </w:p>
        </w:tc>
      </w:tr>
      <w:tr>
        <w:tc>
          <w:tcPr>
            <w:tcW w:type="dxa" w:w="2520"/>
            <w:vAlign w:val="center"/>
          </w:tcPr>
          <w:p>
            <w:pPr>
              <w:spacing w:after="40"/>
            </w:pPr>
            <w:r>
              <w:rPr>
                <w:sz w:val="16"/>
              </w:rPr>
              <w:t>revenue_yoy</w:t>
            </w:r>
          </w:p>
        </w:tc>
        <w:tc>
          <w:tcPr>
            <w:tcW w:type="dxa" w:w="2520"/>
            <w:vAlign w:val="center"/>
          </w:tcPr>
          <w:p>
            <w:pPr>
              <w:spacing w:after="40"/>
            </w:pPr>
            <w:r>
              <w:rPr>
                <w:sz w:val="16"/>
              </w:rPr>
              <w:t>Revenue year-over-year growth</w:t>
            </w:r>
          </w:p>
        </w:tc>
        <w:tc>
          <w:tcPr>
            <w:tcW w:type="dxa" w:w="2520"/>
            <w:vAlign w:val="center"/>
          </w:tcPr>
          <w:p>
            <w:pPr>
              <w:spacing w:after="40"/>
            </w:pPr>
            <w:r>
              <w:rPr>
                <w:sz w:val="16"/>
              </w:rPr>
              <w:t>After results publication</w:t>
            </w:r>
          </w:p>
        </w:tc>
        <w:tc>
          <w:tcPr>
            <w:tcW w:type="dxa" w:w="2520"/>
            <w:vAlign w:val="center"/>
          </w:tcPr>
          <w:p>
            <w:pPr>
              <w:spacing w:after="40"/>
            </w:pPr>
            <w:r>
              <w:rPr>
                <w:sz w:val="16"/>
              </w:rPr>
              <w:t>Standalone/consolidated consistency</w:t>
            </w:r>
          </w:p>
        </w:tc>
      </w:tr>
      <w:tr>
        <w:tc>
          <w:tcPr>
            <w:tcW w:type="dxa" w:w="2520"/>
            <w:vAlign w:val="center"/>
          </w:tcPr>
          <w:p>
            <w:pPr>
              <w:spacing w:after="40"/>
            </w:pPr>
            <w:r>
              <w:rPr>
                <w:sz w:val="16"/>
              </w:rPr>
              <w:t>ebitda_margin_change_pp</w:t>
            </w:r>
          </w:p>
        </w:tc>
        <w:tc>
          <w:tcPr>
            <w:tcW w:type="dxa" w:w="2520"/>
            <w:vAlign w:val="center"/>
          </w:tcPr>
          <w:p>
            <w:pPr>
              <w:spacing w:after="40"/>
            </w:pPr>
            <w:r>
              <w:rPr>
                <w:sz w:val="16"/>
              </w:rPr>
              <w:t>Change in EBITDA margin in percentage points</w:t>
            </w:r>
          </w:p>
        </w:tc>
        <w:tc>
          <w:tcPr>
            <w:tcW w:type="dxa" w:w="2520"/>
            <w:vAlign w:val="center"/>
          </w:tcPr>
          <w:p>
            <w:pPr>
              <w:spacing w:after="40"/>
            </w:pPr>
            <w:r>
              <w:rPr>
                <w:sz w:val="16"/>
              </w:rPr>
              <w:t>After results publication</w:t>
            </w:r>
          </w:p>
        </w:tc>
        <w:tc>
          <w:tcPr>
            <w:tcW w:type="dxa" w:w="2520"/>
            <w:vAlign w:val="center"/>
          </w:tcPr>
          <w:p>
            <w:pPr>
              <w:spacing w:after="40"/>
            </w:pPr>
            <w:r>
              <w:rPr>
                <w:sz w:val="16"/>
              </w:rPr>
              <w:t>Accounting definitions differ</w:t>
            </w:r>
          </w:p>
        </w:tc>
      </w:tr>
      <w:tr>
        <w:tc>
          <w:tcPr>
            <w:tcW w:type="dxa" w:w="2520"/>
            <w:vAlign w:val="center"/>
          </w:tcPr>
          <w:p>
            <w:pPr>
              <w:spacing w:after="40"/>
            </w:pPr>
            <w:r>
              <w:rPr>
                <w:sz w:val="16"/>
              </w:rPr>
              <w:t>guidance_change</w:t>
            </w:r>
          </w:p>
        </w:tc>
        <w:tc>
          <w:tcPr>
            <w:tcW w:type="dxa" w:w="2520"/>
            <w:vAlign w:val="center"/>
          </w:tcPr>
          <w:p>
            <w:pPr>
              <w:spacing w:after="40"/>
            </w:pPr>
            <w:r>
              <w:rPr>
                <w:sz w:val="16"/>
              </w:rPr>
              <w:t>New minus previous guidance midpoint</w:t>
            </w:r>
          </w:p>
        </w:tc>
        <w:tc>
          <w:tcPr>
            <w:tcW w:type="dxa" w:w="2520"/>
            <w:vAlign w:val="center"/>
          </w:tcPr>
          <w:p>
            <w:pPr>
              <w:spacing w:after="40"/>
            </w:pPr>
            <w:r>
              <w:rPr>
                <w:sz w:val="16"/>
              </w:rPr>
              <w:t>After guidance publication</w:t>
            </w:r>
          </w:p>
        </w:tc>
        <w:tc>
          <w:tcPr>
            <w:tcW w:type="dxa" w:w="2520"/>
            <w:vAlign w:val="center"/>
          </w:tcPr>
          <w:p>
            <w:pPr>
              <w:spacing w:after="40"/>
            </w:pPr>
            <w:r>
              <w:rPr>
                <w:sz w:val="16"/>
              </w:rPr>
              <w:t>Ranges and units must match</w:t>
            </w:r>
          </w:p>
        </w:tc>
      </w:tr>
      <w:tr>
        <w:tc>
          <w:tcPr>
            <w:tcW w:type="dxa" w:w="2520"/>
            <w:vAlign w:val="center"/>
          </w:tcPr>
          <w:p>
            <w:pPr>
              <w:spacing w:after="40"/>
            </w:pPr>
            <w:r>
              <w:rPr>
                <w:sz w:val="16"/>
              </w:rPr>
              <w:t>dividend_yield_announced</w:t>
            </w:r>
          </w:p>
        </w:tc>
        <w:tc>
          <w:tcPr>
            <w:tcW w:type="dxa" w:w="2520"/>
            <w:vAlign w:val="center"/>
          </w:tcPr>
          <w:p>
            <w:pPr>
              <w:spacing w:after="40"/>
            </w:pPr>
            <w:r>
              <w:rPr>
                <w:sz w:val="16"/>
              </w:rPr>
              <w:t>Declared dividend / pre-event price</w:t>
            </w:r>
          </w:p>
        </w:tc>
        <w:tc>
          <w:tcPr>
            <w:tcW w:type="dxa" w:w="2520"/>
            <w:vAlign w:val="center"/>
          </w:tcPr>
          <w:p>
            <w:pPr>
              <w:spacing w:after="40"/>
            </w:pPr>
            <w:r>
              <w:rPr>
                <w:sz w:val="16"/>
              </w:rPr>
              <w:t>At announcement</w:t>
            </w:r>
          </w:p>
        </w:tc>
        <w:tc>
          <w:tcPr>
            <w:tcW w:type="dxa" w:w="2520"/>
            <w:vAlign w:val="center"/>
          </w:tcPr>
          <w:p>
            <w:pPr>
              <w:spacing w:after="40"/>
            </w:pPr>
            <w:r>
              <w:rPr>
                <w:sz w:val="16"/>
              </w:rPr>
              <w:t>Corporate-action price basis</w:t>
            </w:r>
          </w:p>
        </w:tc>
      </w:tr>
      <w:tr>
        <w:tc>
          <w:tcPr>
            <w:tcW w:type="dxa" w:w="2520"/>
            <w:vAlign w:val="center"/>
          </w:tcPr>
          <w:p>
            <w:pPr>
              <w:spacing w:after="40"/>
            </w:pPr>
            <w:r>
              <w:rPr>
                <w:sz w:val="16"/>
              </w:rPr>
              <w:t>buyback_size_mcap_pct</w:t>
            </w:r>
          </w:p>
        </w:tc>
        <w:tc>
          <w:tcPr>
            <w:tcW w:type="dxa" w:w="2520"/>
            <w:vAlign w:val="center"/>
          </w:tcPr>
          <w:p>
            <w:pPr>
              <w:spacing w:after="40"/>
            </w:pPr>
            <w:r>
              <w:rPr>
                <w:sz w:val="16"/>
              </w:rPr>
              <w:t>Buyback value / pre-event market cap</w:t>
            </w:r>
          </w:p>
        </w:tc>
        <w:tc>
          <w:tcPr>
            <w:tcW w:type="dxa" w:w="2520"/>
            <w:vAlign w:val="center"/>
          </w:tcPr>
          <w:p>
            <w:pPr>
              <w:spacing w:after="40"/>
            </w:pPr>
            <w:r>
              <w:rPr>
                <w:sz w:val="16"/>
              </w:rPr>
              <w:t>At announcement</w:t>
            </w:r>
          </w:p>
        </w:tc>
        <w:tc>
          <w:tcPr>
            <w:tcW w:type="dxa" w:w="2520"/>
            <w:vAlign w:val="center"/>
          </w:tcPr>
          <w:p>
            <w:pPr>
              <w:spacing w:after="40"/>
            </w:pPr>
            <w:r>
              <w:rPr>
                <w:sz w:val="16"/>
              </w:rPr>
              <w:t>Proposal vs completed status</w:t>
            </w:r>
          </w:p>
        </w:tc>
      </w:tr>
      <w:tr>
        <w:tc>
          <w:tcPr>
            <w:tcW w:type="dxa" w:w="2520"/>
            <w:vAlign w:val="center"/>
          </w:tcPr>
          <w:p>
            <w:pPr>
              <w:spacing w:after="40"/>
            </w:pPr>
            <w:r>
              <w:rPr>
                <w:sz w:val="16"/>
              </w:rPr>
              <w:t>share_dilution_pct</w:t>
            </w:r>
          </w:p>
        </w:tc>
        <w:tc>
          <w:tcPr>
            <w:tcW w:type="dxa" w:w="2520"/>
            <w:vAlign w:val="center"/>
          </w:tcPr>
          <w:p>
            <w:pPr>
              <w:spacing w:after="40"/>
            </w:pPr>
            <w:r>
              <w:rPr>
                <w:sz w:val="16"/>
              </w:rPr>
              <w:t>Proposed new shares / pre-event shares</w:t>
            </w:r>
          </w:p>
        </w:tc>
        <w:tc>
          <w:tcPr>
            <w:tcW w:type="dxa" w:w="2520"/>
            <w:vAlign w:val="center"/>
          </w:tcPr>
          <w:p>
            <w:pPr>
              <w:spacing w:after="40"/>
            </w:pPr>
            <w:r>
              <w:rPr>
                <w:sz w:val="16"/>
              </w:rPr>
              <w:t>At announcement</w:t>
            </w:r>
          </w:p>
        </w:tc>
        <w:tc>
          <w:tcPr>
            <w:tcW w:type="dxa" w:w="2520"/>
            <w:vAlign w:val="center"/>
          </w:tcPr>
          <w:p>
            <w:pPr>
              <w:spacing w:after="40"/>
            </w:pPr>
            <w:r>
              <w:rPr>
                <w:sz w:val="16"/>
              </w:rPr>
              <w:t>May be missing or conditional</w:t>
            </w:r>
          </w:p>
        </w:tc>
      </w:tr>
      <w:tr>
        <w:tc>
          <w:tcPr>
            <w:tcW w:type="dxa" w:w="2520"/>
            <w:vAlign w:val="center"/>
          </w:tcPr>
          <w:p>
            <w:pPr>
              <w:spacing w:after="40"/>
            </w:pPr>
            <w:r>
              <w:rPr>
                <w:sz w:val="16"/>
              </w:rPr>
              <w:t>action_status</w:t>
            </w:r>
          </w:p>
        </w:tc>
        <w:tc>
          <w:tcPr>
            <w:tcW w:type="dxa" w:w="2520"/>
            <w:vAlign w:val="center"/>
          </w:tcPr>
          <w:p>
            <w:pPr>
              <w:spacing w:after="40"/>
            </w:pPr>
            <w:r>
              <w:rPr>
                <w:sz w:val="16"/>
              </w:rPr>
              <w:t>Proposed, approved, completed, cancelled, amended</w:t>
            </w:r>
          </w:p>
        </w:tc>
        <w:tc>
          <w:tcPr>
            <w:tcW w:type="dxa" w:w="2520"/>
            <w:vAlign w:val="center"/>
          </w:tcPr>
          <w:p>
            <w:pPr>
              <w:spacing w:after="40"/>
            </w:pPr>
            <w:r>
              <w:rPr>
                <w:sz w:val="16"/>
              </w:rPr>
              <w:t>As of timestamp</w:t>
            </w:r>
          </w:p>
        </w:tc>
        <w:tc>
          <w:tcPr>
            <w:tcW w:type="dxa" w:w="2520"/>
            <w:vAlign w:val="center"/>
          </w:tcPr>
          <w:p>
            <w:pPr>
              <w:spacing w:after="40"/>
            </w:pPr>
            <w:r>
              <w:rPr>
                <w:sz w:val="16"/>
              </w:rPr>
              <w:t>Status evolves over time</w:t>
            </w:r>
          </w:p>
        </w:tc>
      </w:tr>
      <w:tr>
        <w:tc>
          <w:tcPr>
            <w:tcW w:type="dxa" w:w="2520"/>
            <w:vAlign w:val="center"/>
          </w:tcPr>
          <w:p>
            <w:pPr>
              <w:spacing w:after="40"/>
            </w:pPr>
            <w:r>
              <w:rPr>
                <w:sz w:val="16"/>
              </w:rPr>
              <w:t>news_sentiment</w:t>
            </w:r>
          </w:p>
        </w:tc>
        <w:tc>
          <w:tcPr>
            <w:tcW w:type="dxa" w:w="2520"/>
            <w:vAlign w:val="center"/>
          </w:tcPr>
          <w:p>
            <w:pPr>
              <w:spacing w:after="40"/>
            </w:pPr>
            <w:r>
              <w:rPr>
                <w:sz w:val="16"/>
              </w:rPr>
              <w:t>Versioned sentiment score</w:t>
            </w:r>
          </w:p>
        </w:tc>
        <w:tc>
          <w:tcPr>
            <w:tcW w:type="dxa" w:w="2520"/>
            <w:vAlign w:val="center"/>
          </w:tcPr>
          <w:p>
            <w:pPr>
              <w:spacing w:after="40"/>
            </w:pPr>
            <w:r>
              <w:rPr>
                <w:sz w:val="16"/>
              </w:rPr>
              <w:t>After article publication</w:t>
            </w:r>
          </w:p>
        </w:tc>
        <w:tc>
          <w:tcPr>
            <w:tcW w:type="dxa" w:w="2520"/>
            <w:vAlign w:val="center"/>
          </w:tcPr>
          <w:p>
            <w:pPr>
              <w:spacing w:after="40"/>
            </w:pPr>
            <w:r>
              <w:rPr>
                <w:sz w:val="16"/>
              </w:rPr>
              <w:t>Model calibration/context errors</w:t>
            </w:r>
          </w:p>
        </w:tc>
      </w:tr>
      <w:tr>
        <w:tc>
          <w:tcPr>
            <w:tcW w:type="dxa" w:w="2520"/>
            <w:vAlign w:val="center"/>
          </w:tcPr>
          <w:p>
            <w:pPr>
              <w:spacing w:after="40"/>
            </w:pPr>
            <w:r>
              <w:rPr>
                <w:sz w:val="16"/>
              </w:rPr>
              <w:t>news_unique_count_1d</w:t>
            </w:r>
          </w:p>
        </w:tc>
        <w:tc>
          <w:tcPr>
            <w:tcW w:type="dxa" w:w="2520"/>
            <w:vAlign w:val="center"/>
          </w:tcPr>
          <w:p>
            <w:pPr>
              <w:spacing w:after="40"/>
            </w:pPr>
            <w:r>
              <w:rPr>
                <w:sz w:val="16"/>
              </w:rPr>
              <w:t>Unique articles or event groups in last day</w:t>
            </w:r>
          </w:p>
        </w:tc>
        <w:tc>
          <w:tcPr>
            <w:tcW w:type="dxa" w:w="2520"/>
            <w:vAlign w:val="center"/>
          </w:tcPr>
          <w:p>
            <w:pPr>
              <w:spacing w:after="40"/>
            </w:pPr>
            <w:r>
              <w:rPr>
                <w:sz w:val="16"/>
              </w:rPr>
              <w:t>Trailing window</w:t>
            </w:r>
          </w:p>
        </w:tc>
        <w:tc>
          <w:tcPr>
            <w:tcW w:type="dxa" w:w="2520"/>
            <w:vAlign w:val="center"/>
          </w:tcPr>
          <w:p>
            <w:pPr>
              <w:spacing w:after="40"/>
            </w:pPr>
            <w:r>
              <w:rPr>
                <w:sz w:val="16"/>
              </w:rPr>
              <w:t>Deduplication quality</w:t>
            </w:r>
          </w:p>
        </w:tc>
      </w:tr>
      <w:tr>
        <w:tc>
          <w:tcPr>
            <w:tcW w:type="dxa" w:w="2520"/>
            <w:vAlign w:val="center"/>
          </w:tcPr>
          <w:p>
            <w:pPr>
              <w:spacing w:after="40"/>
            </w:pPr>
            <w:r>
              <w:rPr>
                <w:sz w:val="16"/>
              </w:rPr>
              <w:t>news_sentiment_dispersion</w:t>
            </w:r>
          </w:p>
        </w:tc>
        <w:tc>
          <w:tcPr>
            <w:tcW w:type="dxa" w:w="2520"/>
            <w:vAlign w:val="center"/>
          </w:tcPr>
          <w:p>
            <w:pPr>
              <w:spacing w:after="40"/>
            </w:pPr>
            <w:r>
              <w:rPr>
                <w:sz w:val="16"/>
              </w:rPr>
              <w:t>Disagreement across independent source sentiment</w:t>
            </w:r>
          </w:p>
        </w:tc>
        <w:tc>
          <w:tcPr>
            <w:tcW w:type="dxa" w:w="2520"/>
            <w:vAlign w:val="center"/>
          </w:tcPr>
          <w:p>
            <w:pPr>
              <w:spacing w:after="40"/>
            </w:pPr>
            <w:r>
              <w:rPr>
                <w:sz w:val="16"/>
              </w:rPr>
              <w:t>Trailing event window</w:t>
            </w:r>
          </w:p>
        </w:tc>
        <w:tc>
          <w:tcPr>
            <w:tcW w:type="dxa" w:w="2520"/>
            <w:vAlign w:val="center"/>
          </w:tcPr>
          <w:p>
            <w:pPr>
              <w:spacing w:after="40"/>
            </w:pPr>
            <w:r>
              <w:rPr>
                <w:sz w:val="16"/>
              </w:rPr>
              <w:t>Needs multiple independent sources</w:t>
            </w:r>
          </w:p>
        </w:tc>
      </w:tr>
      <w:tr>
        <w:tc>
          <w:tcPr>
            <w:tcW w:type="dxa" w:w="2520"/>
            <w:vAlign w:val="center"/>
          </w:tcPr>
          <w:p>
            <w:pPr>
              <w:spacing w:after="40"/>
            </w:pPr>
            <w:r>
              <w:rPr>
                <w:sz w:val="16"/>
              </w:rPr>
              <w:t>event_novelty_score</w:t>
            </w:r>
          </w:p>
        </w:tc>
        <w:tc>
          <w:tcPr>
            <w:tcW w:type="dxa" w:w="2520"/>
            <w:vAlign w:val="center"/>
          </w:tcPr>
          <w:p>
            <w:pPr>
              <w:spacing w:after="40"/>
            </w:pPr>
            <w:r>
              <w:rPr>
                <w:sz w:val="16"/>
              </w:rPr>
              <w:t>Similarity-based novelty relative to prior company news</w:t>
            </w:r>
          </w:p>
        </w:tc>
        <w:tc>
          <w:tcPr>
            <w:tcW w:type="dxa" w:w="2520"/>
            <w:vAlign w:val="center"/>
          </w:tcPr>
          <w:p>
            <w:pPr>
              <w:spacing w:after="40"/>
            </w:pPr>
            <w:r>
              <w:rPr>
                <w:sz w:val="16"/>
              </w:rPr>
              <w:t>At article publication</w:t>
            </w:r>
          </w:p>
        </w:tc>
        <w:tc>
          <w:tcPr>
            <w:tcW w:type="dxa" w:w="2520"/>
            <w:vAlign w:val="center"/>
          </w:tcPr>
          <w:p>
            <w:pPr>
              <w:spacing w:after="40"/>
            </w:pPr>
            <w:r>
              <w:rPr>
                <w:sz w:val="16"/>
              </w:rPr>
              <w:t>Past-only comparison and model version</w:t>
            </w:r>
          </w:p>
        </w:tc>
      </w:tr>
      <w:tr>
        <w:tc>
          <w:tcPr>
            <w:tcW w:type="dxa" w:w="2520"/>
            <w:vAlign w:val="center"/>
          </w:tcPr>
          <w:p>
            <w:pPr>
              <w:spacing w:after="40"/>
            </w:pPr>
            <w:r>
              <w:rPr>
                <w:sz w:val="16"/>
              </w:rPr>
              <w:t>analyst_coverage_count</w:t>
            </w:r>
          </w:p>
        </w:tc>
        <w:tc>
          <w:tcPr>
            <w:tcW w:type="dxa" w:w="2520"/>
            <w:vAlign w:val="center"/>
          </w:tcPr>
          <w:p>
            <w:pPr>
              <w:spacing w:after="40"/>
            </w:pPr>
            <w:r>
              <w:rPr>
                <w:sz w:val="16"/>
              </w:rPr>
              <w:t>Number of available estimates/analysts</w:t>
            </w:r>
          </w:p>
        </w:tc>
        <w:tc>
          <w:tcPr>
            <w:tcW w:type="dxa" w:w="2520"/>
            <w:vAlign w:val="center"/>
          </w:tcPr>
          <w:p>
            <w:pPr>
              <w:spacing w:after="40"/>
            </w:pPr>
            <w:r>
              <w:rPr>
                <w:sz w:val="16"/>
              </w:rPr>
              <w:t>Pre-event snapshot</w:t>
            </w:r>
          </w:p>
        </w:tc>
        <w:tc>
          <w:tcPr>
            <w:tcW w:type="dxa" w:w="2520"/>
            <w:vAlign w:val="center"/>
          </w:tcPr>
          <w:p>
            <w:pPr>
              <w:spacing w:after="40"/>
            </w:pPr>
            <w:r>
              <w:rPr>
                <w:sz w:val="16"/>
              </w:rPr>
              <w:t>Vendor history may be paid</w:t>
            </w:r>
          </w:p>
        </w:tc>
      </w:tr>
      <w:tr>
        <w:tc>
          <w:tcPr>
            <w:tcW w:type="dxa" w:w="2520"/>
            <w:vAlign w:val="center"/>
          </w:tcPr>
          <w:p>
            <w:pPr>
              <w:spacing w:after="40"/>
            </w:pPr>
            <w:r>
              <w:rPr>
                <w:sz w:val="16"/>
              </w:rPr>
              <w:t>event_abnormal_return</w:t>
            </w:r>
          </w:p>
        </w:tc>
        <w:tc>
          <w:tcPr>
            <w:tcW w:type="dxa" w:w="2520"/>
            <w:vAlign w:val="center"/>
          </w:tcPr>
          <w:p>
            <w:pPr>
              <w:spacing w:after="40"/>
            </w:pPr>
            <w:r>
              <w:rPr>
                <w:sz w:val="16"/>
              </w:rPr>
              <w:t>Post-event market-adjusted return</w:t>
            </w:r>
          </w:p>
        </w:tc>
        <w:tc>
          <w:tcPr>
            <w:tcW w:type="dxa" w:w="2520"/>
            <w:vAlign w:val="center"/>
          </w:tcPr>
          <w:p>
            <w:pPr>
              <w:spacing w:after="40"/>
            </w:pPr>
            <w:r>
              <w:rPr>
                <w:sz w:val="16"/>
              </w:rPr>
              <w:t>After event</w:t>
            </w:r>
          </w:p>
        </w:tc>
        <w:tc>
          <w:tcPr>
            <w:tcW w:type="dxa" w:w="2520"/>
            <w:vAlign w:val="center"/>
          </w:tcPr>
          <w:p>
            <w:pPr>
              <w:spacing w:after="40"/>
            </w:pPr>
            <w:r>
              <w:rPr>
                <w:sz w:val="16"/>
              </w:rPr>
              <w:t>Outcome/label, not a pre-event feature</w:t>
            </w:r>
          </w:p>
        </w:tc>
      </w:tr>
    </w:tbl>
    <w:p/>
    <w:p>
      <w:r>
        <w:t>A useful first version can begin with official event type, first-public timestamp, earnings metrics/surprises where consensus exists, and corporate-action fields. Add NLP sentiment only after entity resolution, deduplication and time alignment are reliable.</w:t>
      </w:r>
    </w:p>
    <w:p>
      <w:pPr>
        <w:pStyle w:val="Heading1"/>
      </w:pPr>
      <w:r>
        <w:t>9. Data Sources and Access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Source</w:t>
            </w:r>
          </w:p>
        </w:tc>
        <w:tc>
          <w:tcPr>
            <w:tcW w:type="dxa" w:w="2520"/>
            <w:shd w:fill="D9EAF2"/>
          </w:tcPr>
          <w:p>
            <w:r>
              <w:rPr>
                <w:b/>
                <w:sz w:val="16"/>
              </w:rPr>
              <w:t>Useful for</w:t>
            </w:r>
          </w:p>
        </w:tc>
        <w:tc>
          <w:tcPr>
            <w:tcW w:type="dxa" w:w="2520"/>
            <w:shd w:fill="D9EAF2"/>
          </w:tcPr>
          <w:p>
            <w:r>
              <w:rPr>
                <w:b/>
                <w:sz w:val="16"/>
              </w:rPr>
              <w:t>Strengths</w:t>
            </w:r>
          </w:p>
        </w:tc>
        <w:tc>
          <w:tcPr>
            <w:tcW w:type="dxa" w:w="2520"/>
            <w:shd w:fill="D9EAF2"/>
          </w:tcPr>
          <w:p>
            <w:r>
              <w:rPr>
                <w:b/>
                <w:sz w:val="16"/>
              </w:rPr>
              <w:t>Limitations / checks</w:t>
            </w:r>
          </w:p>
        </w:tc>
      </w:tr>
      <w:tr>
        <w:tc>
          <w:tcPr>
            <w:tcW w:type="dxa" w:w="2520"/>
            <w:vAlign w:val="center"/>
          </w:tcPr>
          <w:p>
            <w:pPr>
              <w:spacing w:after="40"/>
            </w:pPr>
            <w:r>
              <w:rPr>
                <w:sz w:val="16"/>
              </w:rPr>
              <w:t>NSE corporate filings</w:t>
            </w:r>
          </w:p>
        </w:tc>
        <w:tc>
          <w:tcPr>
            <w:tcW w:type="dxa" w:w="2520"/>
            <w:vAlign w:val="center"/>
          </w:tcPr>
          <w:p>
            <w:pPr>
              <w:spacing w:after="40"/>
            </w:pPr>
            <w:r>
              <w:rPr>
                <w:sz w:val="16"/>
              </w:rPr>
              <w:t>https://www.nseindia.com/companies-listing/corporate-filings-announcements</w:t>
            </w:r>
          </w:p>
        </w:tc>
        <w:tc>
          <w:tcPr>
            <w:tcW w:type="dxa" w:w="2520"/>
            <w:vAlign w:val="center"/>
          </w:tcPr>
          <w:p>
            <w:pPr>
              <w:spacing w:after="40"/>
            </w:pPr>
            <w:r>
              <w:rPr>
                <w:sz w:val="16"/>
              </w:rPr>
              <w:t>Listed-company disclosures, announcements and attached documents</w:t>
            </w:r>
          </w:p>
        </w:tc>
        <w:tc>
          <w:tcPr>
            <w:tcW w:type="dxa" w:w="2520"/>
            <w:vAlign w:val="center"/>
          </w:tcPr>
          <w:p>
            <w:pPr>
              <w:spacing w:after="40"/>
            </w:pPr>
            <w:r>
              <w:rPr>
                <w:sz w:val="16"/>
              </w:rPr>
              <w:t>Portal structure, history/download options and terms can vary; record filing ID and timestamp.</w:t>
            </w:r>
          </w:p>
        </w:tc>
      </w:tr>
      <w:tr>
        <w:tc>
          <w:tcPr>
            <w:tcW w:type="dxa" w:w="2520"/>
            <w:vAlign w:val="center"/>
          </w:tcPr>
          <w:p>
            <w:pPr>
              <w:spacing w:after="40"/>
            </w:pPr>
            <w:r>
              <w:rPr>
                <w:sz w:val="16"/>
              </w:rPr>
              <w:t>BSE corporate announcements</w:t>
            </w:r>
          </w:p>
        </w:tc>
        <w:tc>
          <w:tcPr>
            <w:tcW w:type="dxa" w:w="2520"/>
            <w:vAlign w:val="center"/>
          </w:tcPr>
          <w:p>
            <w:pPr>
              <w:spacing w:after="40"/>
            </w:pPr>
            <w:r>
              <w:rPr>
                <w:sz w:val="16"/>
              </w:rPr>
              <w:t>https://www.bseindia.com/corporates/ann.html</w:t>
            </w:r>
          </w:p>
        </w:tc>
        <w:tc>
          <w:tcPr>
            <w:tcW w:type="dxa" w:w="2520"/>
            <w:vAlign w:val="center"/>
          </w:tcPr>
          <w:p>
            <w:pPr>
              <w:spacing w:after="40"/>
            </w:pPr>
            <w:r>
              <w:rPr>
                <w:sz w:val="16"/>
              </w:rPr>
              <w:t>Company announcements, results and corporate filings</w:t>
            </w:r>
          </w:p>
        </w:tc>
        <w:tc>
          <w:tcPr>
            <w:tcW w:type="dxa" w:w="2520"/>
            <w:vAlign w:val="center"/>
          </w:tcPr>
          <w:p>
            <w:pPr>
              <w:spacing w:after="40"/>
            </w:pPr>
            <w:r>
              <w:rPr>
                <w:sz w:val="16"/>
              </w:rPr>
              <w:t>Entity/symbol changes, attachment parsing and historical access require checks.</w:t>
            </w:r>
          </w:p>
        </w:tc>
      </w:tr>
      <w:tr>
        <w:tc>
          <w:tcPr>
            <w:tcW w:type="dxa" w:w="2520"/>
            <w:vAlign w:val="center"/>
          </w:tcPr>
          <w:p>
            <w:pPr>
              <w:spacing w:after="40"/>
            </w:pPr>
            <w:r>
              <w:rPr>
                <w:sz w:val="16"/>
              </w:rPr>
              <w:t>SEBI</w:t>
            </w:r>
          </w:p>
        </w:tc>
        <w:tc>
          <w:tcPr>
            <w:tcW w:type="dxa" w:w="2520"/>
            <w:vAlign w:val="center"/>
          </w:tcPr>
          <w:p>
            <w:pPr>
              <w:spacing w:after="40"/>
            </w:pPr>
            <w:r>
              <w:rPr>
                <w:sz w:val="16"/>
              </w:rPr>
              <w:t>https://www.sebi.gov.in/</w:t>
            </w:r>
          </w:p>
        </w:tc>
        <w:tc>
          <w:tcPr>
            <w:tcW w:type="dxa" w:w="2520"/>
            <w:vAlign w:val="center"/>
          </w:tcPr>
          <w:p>
            <w:pPr>
              <w:spacing w:after="40"/>
            </w:pPr>
            <w:r>
              <w:rPr>
                <w:sz w:val="16"/>
              </w:rPr>
              <w:t>Regulatory orders, circulars, disclosure rules and material regulatory context</w:t>
            </w:r>
          </w:p>
        </w:tc>
        <w:tc>
          <w:tcPr>
            <w:tcW w:type="dxa" w:w="2520"/>
            <w:vAlign w:val="center"/>
          </w:tcPr>
          <w:p>
            <w:pPr>
              <w:spacing w:after="40"/>
            </w:pPr>
            <w:r>
              <w:rPr>
                <w:sz w:val="16"/>
              </w:rPr>
              <w:t>A rule's publication and effective dates can differ; match the order to the affected issuer.</w:t>
            </w:r>
          </w:p>
        </w:tc>
      </w:tr>
      <w:tr>
        <w:tc>
          <w:tcPr>
            <w:tcW w:type="dxa" w:w="2520"/>
            <w:vAlign w:val="center"/>
          </w:tcPr>
          <w:p>
            <w:pPr>
              <w:spacing w:after="40"/>
            </w:pPr>
            <w:r>
              <w:rPr>
                <w:sz w:val="16"/>
              </w:rPr>
              <w:t>Company investor-relations websites</w:t>
            </w:r>
          </w:p>
        </w:tc>
        <w:tc>
          <w:tcPr>
            <w:tcW w:type="dxa" w:w="2520"/>
            <w:vAlign w:val="center"/>
          </w:tcPr>
          <w:p>
            <w:pPr>
              <w:spacing w:after="40"/>
            </w:pPr>
            <w:r>
              <w:rPr>
                <w:sz w:val="16"/>
              </w:rPr>
              <w:t>Company-specific official results, presentations, transcripts and guidance</w:t>
            </w:r>
          </w:p>
        </w:tc>
        <w:tc>
          <w:tcPr>
            <w:tcW w:type="dxa" w:w="2520"/>
            <w:vAlign w:val="center"/>
          </w:tcPr>
          <w:p>
            <w:pPr>
              <w:spacing w:after="40"/>
            </w:pPr>
            <w:r>
              <w:rPr>
                <w:sz w:val="16"/>
              </w:rPr>
              <w:t>Useful primary documents and earnings-call materials</w:t>
            </w:r>
          </w:p>
        </w:tc>
        <w:tc>
          <w:tcPr>
            <w:tcW w:type="dxa" w:w="2520"/>
            <w:vAlign w:val="center"/>
          </w:tcPr>
          <w:p>
            <w:pPr>
              <w:spacing w:after="40"/>
            </w:pPr>
            <w:r>
              <w:rPr>
                <w:sz w:val="16"/>
              </w:rPr>
              <w:t>Sites differ, documents may be replaced, and release time must be preserved.</w:t>
            </w:r>
          </w:p>
        </w:tc>
      </w:tr>
      <w:tr>
        <w:tc>
          <w:tcPr>
            <w:tcW w:type="dxa" w:w="2520"/>
            <w:vAlign w:val="center"/>
          </w:tcPr>
          <w:p>
            <w:pPr>
              <w:spacing w:after="40"/>
            </w:pPr>
            <w:r>
              <w:rPr>
                <w:sz w:val="16"/>
              </w:rPr>
              <w:t>NSE corporate actions</w:t>
            </w:r>
          </w:p>
        </w:tc>
        <w:tc>
          <w:tcPr>
            <w:tcW w:type="dxa" w:w="2520"/>
            <w:vAlign w:val="center"/>
          </w:tcPr>
          <w:p>
            <w:pPr>
              <w:spacing w:after="40"/>
            </w:pPr>
            <w:r>
              <w:rPr>
                <w:sz w:val="16"/>
              </w:rPr>
              <w:t>https://www.nseindia.com/companies-listing/corporate-actions</w:t>
            </w:r>
          </w:p>
        </w:tc>
        <w:tc>
          <w:tcPr>
            <w:tcW w:type="dxa" w:w="2520"/>
            <w:vAlign w:val="center"/>
          </w:tcPr>
          <w:p>
            <w:pPr>
              <w:spacing w:after="40"/>
            </w:pPr>
            <w:r>
              <w:rPr>
                <w:sz w:val="16"/>
              </w:rPr>
              <w:t>Dividend, split, bonus and related action information</w:t>
            </w:r>
          </w:p>
        </w:tc>
        <w:tc>
          <w:tcPr>
            <w:tcW w:type="dxa" w:w="2520"/>
            <w:vAlign w:val="center"/>
          </w:tcPr>
          <w:p>
            <w:pPr>
              <w:spacing w:after="40"/>
            </w:pPr>
            <w:r>
              <w:rPr>
                <w:sz w:val="16"/>
              </w:rPr>
              <w:t>Confirm current URL/interface, status and ex/record/effective dates.</w:t>
            </w:r>
          </w:p>
        </w:tc>
      </w:tr>
      <w:tr>
        <w:tc>
          <w:tcPr>
            <w:tcW w:type="dxa" w:w="2520"/>
            <w:vAlign w:val="center"/>
          </w:tcPr>
          <w:p>
            <w:pPr>
              <w:spacing w:after="40"/>
            </w:pPr>
            <w:r>
              <w:rPr>
                <w:sz w:val="16"/>
              </w:rPr>
              <w:t>BSE corporate actions</w:t>
            </w:r>
          </w:p>
        </w:tc>
        <w:tc>
          <w:tcPr>
            <w:tcW w:type="dxa" w:w="2520"/>
            <w:vAlign w:val="center"/>
          </w:tcPr>
          <w:p>
            <w:pPr>
              <w:spacing w:after="40"/>
            </w:pPr>
            <w:r>
              <w:rPr>
                <w:sz w:val="16"/>
              </w:rPr>
              <w:t>https://www.bseindia.com/corporates/corporate_act.aspx</w:t>
            </w:r>
          </w:p>
        </w:tc>
        <w:tc>
          <w:tcPr>
            <w:tcW w:type="dxa" w:w="2520"/>
            <w:vAlign w:val="center"/>
          </w:tcPr>
          <w:p>
            <w:pPr>
              <w:spacing w:after="40"/>
            </w:pPr>
            <w:r>
              <w:rPr>
                <w:sz w:val="16"/>
              </w:rPr>
              <w:t>Corporate-action calendar and company action details</w:t>
            </w:r>
          </w:p>
        </w:tc>
        <w:tc>
          <w:tcPr>
            <w:tcW w:type="dxa" w:w="2520"/>
            <w:vAlign w:val="center"/>
          </w:tcPr>
          <w:p>
            <w:pPr>
              <w:spacing w:after="40"/>
            </w:pPr>
            <w:r>
              <w:rPr>
                <w:sz w:val="16"/>
              </w:rPr>
              <w:t>Check whether values are proposed, approved, revised or completed.</w:t>
            </w:r>
          </w:p>
        </w:tc>
      </w:tr>
      <w:tr>
        <w:tc>
          <w:tcPr>
            <w:tcW w:type="dxa" w:w="2520"/>
            <w:vAlign w:val="center"/>
          </w:tcPr>
          <w:p>
            <w:pPr>
              <w:spacing w:after="40"/>
            </w:pPr>
            <w:r>
              <w:rPr>
                <w:sz w:val="16"/>
              </w:rPr>
              <w:t>MCA</w:t>
            </w:r>
          </w:p>
        </w:tc>
        <w:tc>
          <w:tcPr>
            <w:tcW w:type="dxa" w:w="2520"/>
            <w:vAlign w:val="center"/>
          </w:tcPr>
          <w:p>
            <w:pPr>
              <w:spacing w:after="40"/>
            </w:pPr>
            <w:r>
              <w:rPr>
                <w:sz w:val="16"/>
              </w:rPr>
              <w:t>https://www.mca.gov.in/</w:t>
            </w:r>
          </w:p>
        </w:tc>
        <w:tc>
          <w:tcPr>
            <w:tcW w:type="dxa" w:w="2520"/>
            <w:vAlign w:val="center"/>
          </w:tcPr>
          <w:p>
            <w:pPr>
              <w:spacing w:after="40"/>
            </w:pPr>
            <w:r>
              <w:rPr>
                <w:sz w:val="16"/>
              </w:rPr>
              <w:t>Company registry and selected legal/corporate filings</w:t>
            </w:r>
          </w:p>
        </w:tc>
        <w:tc>
          <w:tcPr>
            <w:tcW w:type="dxa" w:w="2520"/>
            <w:vAlign w:val="center"/>
          </w:tcPr>
          <w:p>
            <w:pPr>
              <w:spacing w:after="40"/>
            </w:pPr>
            <w:r>
              <w:rPr>
                <w:sz w:val="16"/>
              </w:rPr>
              <w:t>Listed-company market event coverage may be indirect; access and document types vary.</w:t>
            </w:r>
          </w:p>
        </w:tc>
      </w:tr>
      <w:tr>
        <w:tc>
          <w:tcPr>
            <w:tcW w:type="dxa" w:w="2520"/>
            <w:vAlign w:val="center"/>
          </w:tcPr>
          <w:p>
            <w:pPr>
              <w:spacing w:after="40"/>
            </w:pPr>
            <w:r>
              <w:rPr>
                <w:sz w:val="16"/>
              </w:rPr>
              <w:t>Rating agencies</w:t>
            </w:r>
          </w:p>
        </w:tc>
        <w:tc>
          <w:tcPr>
            <w:tcW w:type="dxa" w:w="2520"/>
            <w:vAlign w:val="center"/>
          </w:tcPr>
          <w:p>
            <w:pPr>
              <w:spacing w:after="40"/>
            </w:pPr>
            <w:r>
              <w:rPr>
                <w:sz w:val="16"/>
              </w:rPr>
              <w:t>https://www.crisil.com/ ; https://www.icra.in/ ; https://www.careedge.in/</w:t>
            </w:r>
          </w:p>
        </w:tc>
        <w:tc>
          <w:tcPr>
            <w:tcW w:type="dxa" w:w="2520"/>
            <w:vAlign w:val="center"/>
          </w:tcPr>
          <w:p>
            <w:pPr>
              <w:spacing w:after="40"/>
            </w:pPr>
            <w:r>
              <w:rPr>
                <w:sz w:val="16"/>
              </w:rPr>
              <w:t>Credit-rating actions, outlooks and rationale reports</w:t>
            </w:r>
          </w:p>
        </w:tc>
        <w:tc>
          <w:tcPr>
            <w:tcW w:type="dxa" w:w="2520"/>
            <w:vAlign w:val="center"/>
          </w:tcPr>
          <w:p>
            <w:pPr>
              <w:spacing w:after="40"/>
            </w:pPr>
            <w:r>
              <w:rPr>
                <w:sz w:val="16"/>
              </w:rPr>
              <w:t>Access, archives and republication rights may vary; map issuer and instrument precisely.</w:t>
            </w:r>
          </w:p>
        </w:tc>
      </w:tr>
      <w:tr>
        <w:tc>
          <w:tcPr>
            <w:tcW w:type="dxa" w:w="2520"/>
            <w:vAlign w:val="center"/>
          </w:tcPr>
          <w:p>
            <w:pPr>
              <w:spacing w:after="40"/>
            </w:pPr>
            <w:r>
              <w:rPr>
                <w:sz w:val="16"/>
              </w:rPr>
              <w:t>News providers / aggregators</w:t>
            </w:r>
          </w:p>
        </w:tc>
        <w:tc>
          <w:tcPr>
            <w:tcW w:type="dxa" w:w="2520"/>
            <w:vAlign w:val="center"/>
          </w:tcPr>
          <w:p>
            <w:pPr>
              <w:spacing w:after="40"/>
            </w:pPr>
            <w:r>
              <w:rPr>
                <w:sz w:val="16"/>
              </w:rPr>
              <w:t>Provider-specific licensed APIs and archives</w:t>
            </w:r>
          </w:p>
        </w:tc>
        <w:tc>
          <w:tcPr>
            <w:tcW w:type="dxa" w:w="2520"/>
            <w:vAlign w:val="center"/>
          </w:tcPr>
          <w:p>
            <w:pPr>
              <w:spacing w:after="40"/>
            </w:pPr>
            <w:r>
              <w:rPr>
                <w:sz w:val="16"/>
              </w:rPr>
              <w:t>Fast coverage, contextual summaries, article metadata and sentiment inputs</w:t>
            </w:r>
          </w:p>
        </w:tc>
        <w:tc>
          <w:tcPr>
            <w:tcW w:type="dxa" w:w="2520"/>
            <w:vAlign w:val="center"/>
          </w:tcPr>
          <w:p>
            <w:pPr>
              <w:spacing w:after="40"/>
            </w:pPr>
            <w:r>
              <w:rPr>
                <w:sz w:val="16"/>
              </w:rPr>
              <w:t>Historical archives, real-time timestamps, duplicates and commercial licences may be paid.</w:t>
            </w:r>
          </w:p>
        </w:tc>
      </w:tr>
      <w:tr>
        <w:tc>
          <w:tcPr>
            <w:tcW w:type="dxa" w:w="2520"/>
            <w:vAlign w:val="center"/>
          </w:tcPr>
          <w:p>
            <w:pPr>
              <w:spacing w:after="40"/>
            </w:pPr>
            <w:r>
              <w:rPr>
                <w:sz w:val="16"/>
              </w:rPr>
              <w:t>NSE Data &amp; Analytics</w:t>
            </w:r>
          </w:p>
        </w:tc>
        <w:tc>
          <w:tcPr>
            <w:tcW w:type="dxa" w:w="2520"/>
            <w:vAlign w:val="center"/>
          </w:tcPr>
          <w:p>
            <w:pPr>
              <w:spacing w:after="40"/>
            </w:pPr>
            <w:r>
              <w:rPr>
                <w:sz w:val="16"/>
              </w:rPr>
              <w:t>https://www.nse.in/static/nse-data-and-analytics/data-information-vending</w:t>
            </w:r>
          </w:p>
        </w:tc>
        <w:tc>
          <w:tcPr>
            <w:tcW w:type="dxa" w:w="2520"/>
            <w:vAlign w:val="center"/>
          </w:tcPr>
          <w:p>
            <w:pPr>
              <w:spacing w:after="40"/>
            </w:pPr>
            <w:r>
              <w:rPr>
                <w:sz w:val="16"/>
              </w:rPr>
              <w:t>Official market data product and licensing information for event-reaction analysis</w:t>
            </w:r>
          </w:p>
        </w:tc>
        <w:tc>
          <w:tcPr>
            <w:tcW w:type="dxa" w:w="2520"/>
            <w:vAlign w:val="center"/>
          </w:tcPr>
          <w:p>
            <w:pPr>
              <w:spacing w:after="40"/>
            </w:pPr>
            <w:r>
              <w:rPr>
                <w:sz w:val="16"/>
              </w:rPr>
              <w:t>Some historical/intraday data products are commercial; price adjustments need documentation.</w:t>
            </w:r>
          </w:p>
        </w:tc>
      </w:tr>
    </w:tbl>
    <w:p/>
    <w:p>
      <w:r>
        <w:t>For a research prototype, prefer official exchange/company filings for event truth and use media to add context. Do not assume scraped content can be stored, used to train models, or redistributed without checking terms.</w:t>
      </w:r>
    </w:p>
    <w:p>
      <w:pPr>
        <w:pStyle w:val="Heading1"/>
      </w:pPr>
      <w:r>
        <w:t>10. Publication Timing and Leakage Prevention</w:t>
      </w:r>
    </w:p>
    <w:p>
      <w:pPr>
        <w:pStyle w:val="ListBullet"/>
        <w:spacing w:after="40"/>
      </w:pPr>
      <w:r>
        <w:t>Record first_public_at, published_at, updated_at, retrieved_at and the market session. If the source shows only a date, do not fabricate an intraday time.</w:t>
      </w:r>
    </w:p>
    <w:p>
      <w:pPr>
        <w:pStyle w:val="ListBullet"/>
        <w:spacing w:after="40"/>
      </w:pPr>
      <w:r>
        <w:t>Use the first official filing or earliest verified source timestamp to determine when information became public. A later news article may summarize an earlier exchange filing.</w:t>
      </w:r>
    </w:p>
    <w:p>
      <w:pPr>
        <w:pStyle w:val="ListBullet"/>
        <w:spacing w:after="40"/>
      </w:pPr>
      <w:r>
        <w:t>Keep corrections, addenda and revised results as separate versions; the model may only use the version available at its prediction time.</w:t>
      </w:r>
    </w:p>
    <w:p>
      <w:pPr>
        <w:pStyle w:val="ListBullet"/>
        <w:spacing w:after="40"/>
      </w:pPr>
      <w:r>
        <w:t>An earnings result published after market close belongs to the next eligible trading session for a next-session prediction, unless a valid after-hours prediction timestamp is explicitly modelled.</w:t>
      </w:r>
    </w:p>
    <w:p>
      <w:pPr>
        <w:pStyle w:val="ListBullet"/>
        <w:spacing w:after="40"/>
      </w:pPr>
      <w:r>
        <w:t>An announcement timestamp may differ from the effective date, ex-date, record date, payment date or completion date. Model these as separate fields.</w:t>
      </w:r>
    </w:p>
    <w:p>
      <w:pPr>
        <w:pStyle w:val="ListBullet"/>
        <w:spacing w:after="40"/>
      </w:pPr>
      <w:r>
        <w:t>Do not use post-event prices, abnormal returns, post-event volume, later analyst revisions or later article updates as pre-event features.</w:t>
      </w:r>
    </w:p>
    <w:p>
      <w:pPr>
        <w:pStyle w:val="ListBullet"/>
        <w:spacing w:after="40"/>
      </w:pPr>
      <w:r>
        <w:t>Historical consensus must be point-in-time. Estimates collected after the results release are not valid historical expectations.</w:t>
      </w:r>
    </w:p>
    <w:p>
      <w:pPr>
        <w:pStyle w:val="ListBullet"/>
        <w:spacing w:after="40"/>
      </w:pPr>
      <w:r>
        <w:t>Deduplicate articles by event/entity/time/text similarity; syndicated copies should not count as independent evidence.</w:t>
      </w:r>
    </w:p>
    <w:p>
      <w:pPr>
        <w:pStyle w:val="ListBullet"/>
        <w:spacing w:after="40"/>
      </w:pPr>
      <w:r>
        <w:t>Resolve entities using ISIN, exchange code and aliases. Avoid attributing a parent-company story to a subsidiary or similarly named firm without verification.</w:t>
      </w:r>
    </w:p>
    <w:p>
      <w:pPr>
        <w:pStyle w:val="ListBullet"/>
        <w:spacing w:after="40"/>
      </w:pPr>
      <w:r>
        <w:t>Store model/version for sentiment, summarisation and event classification. A modern model run on an old article may not represent the information process available at that historical time.</w:t>
      </w:r>
    </w:p>
    <w:p>
      <w:pPr>
        <w:pStyle w:val="ListBullet"/>
        <w:spacing w:after="40"/>
      </w:pPr>
      <w:r>
        <w:t>Corporate actions affect adjusted price histories. Use a documented adjustment method and avoid mixing raw prices with retrospectively adjusted values without accounting for the adjustment.</w:t>
      </w:r>
    </w:p>
    <w:p>
      <w:pPr>
        <w:pStyle w:val="ListBullet"/>
        <w:spacing w:after="40"/>
      </w:pPr>
      <w:r>
        <w:t>Use chronological splits and ensure the same underlying event or syndicated story cluster does not leak across train and test data.</w:t>
      </w:r>
    </w:p>
    <w:p>
      <w:pPr>
        <w:pStyle w:val="Heading2"/>
      </w:pPr>
      <w:r>
        <w:t>10.1 Example</w:t>
      </w:r>
    </w:p>
    <w:p>
      <w:r>
        <w:t>If a company releases quarterly results at 16:30 IST after the regular session closes, a model making a prediction at 09:00 IST that day cannot use the results. For a next-session forecast, the release may be eligible if it was public before the next prediction timestamp. If a media article appears at 17:00 but the exchange filing was at 16:30, the official filing timestamp is the earlier availability point.</w:t>
      </w:r>
    </w:p>
    <w:p>
      <w:pPr>
        <w:pStyle w:val="Heading2"/>
      </w:pPr>
      <w:r>
        <w:t>10.2 Suggested event-vintage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rPr>
                <w:b/>
                <w:sz w:val="16"/>
              </w:rPr>
              <w:t>Field</w:t>
            </w:r>
          </w:p>
        </w:tc>
        <w:tc>
          <w:tcPr>
            <w:tcW w:type="dxa" w:w="5040"/>
            <w:shd w:fill="D9EAF2"/>
          </w:tcPr>
          <w:p>
            <w:r>
              <w:rPr>
                <w:b/>
                <w:sz w:val="16"/>
              </w:rPr>
              <w:t>Purpose</w:t>
            </w:r>
          </w:p>
        </w:tc>
      </w:tr>
      <w:tr>
        <w:tc>
          <w:tcPr>
            <w:tcW w:type="dxa" w:w="5040"/>
            <w:vAlign w:val="center"/>
          </w:tcPr>
          <w:p>
            <w:pPr>
              <w:spacing w:after="40"/>
            </w:pPr>
            <w:r>
              <w:rPr>
                <w:sz w:val="16"/>
              </w:rPr>
              <w:t>event_id / event_version</w:t>
            </w:r>
          </w:p>
        </w:tc>
        <w:tc>
          <w:tcPr>
            <w:tcW w:type="dxa" w:w="5040"/>
            <w:vAlign w:val="center"/>
          </w:tcPr>
          <w:p>
            <w:pPr>
              <w:spacing w:after="40"/>
            </w:pPr>
            <w:r>
              <w:rPr>
                <w:sz w:val="16"/>
              </w:rPr>
              <w:t>Underlying event and version of its disclosure</w:t>
            </w:r>
          </w:p>
        </w:tc>
      </w:tr>
      <w:tr>
        <w:tc>
          <w:tcPr>
            <w:tcW w:type="dxa" w:w="5040"/>
            <w:vAlign w:val="center"/>
          </w:tcPr>
          <w:p>
            <w:pPr>
              <w:spacing w:after="40"/>
            </w:pPr>
            <w:r>
              <w:rPr>
                <w:sz w:val="16"/>
              </w:rPr>
              <w:t>issuer_id / security_id</w:t>
            </w:r>
          </w:p>
        </w:tc>
        <w:tc>
          <w:tcPr>
            <w:tcW w:type="dxa" w:w="5040"/>
            <w:vAlign w:val="center"/>
          </w:tcPr>
          <w:p>
            <w:pPr>
              <w:spacing w:after="40"/>
            </w:pPr>
            <w:r>
              <w:rPr>
                <w:sz w:val="16"/>
              </w:rPr>
              <w:t>Stable issuer and instrument identifiers</w:t>
            </w:r>
          </w:p>
        </w:tc>
      </w:tr>
      <w:tr>
        <w:tc>
          <w:tcPr>
            <w:tcW w:type="dxa" w:w="5040"/>
            <w:vAlign w:val="center"/>
          </w:tcPr>
          <w:p>
            <w:pPr>
              <w:spacing w:after="40"/>
            </w:pPr>
            <w:r>
              <w:rPr>
                <w:sz w:val="16"/>
              </w:rPr>
              <w:t>source_type / source_url</w:t>
            </w:r>
          </w:p>
        </w:tc>
        <w:tc>
          <w:tcPr>
            <w:tcW w:type="dxa" w:w="5040"/>
            <w:vAlign w:val="center"/>
          </w:tcPr>
          <w:p>
            <w:pPr>
              <w:spacing w:after="40"/>
            </w:pPr>
            <w:r>
              <w:rPr>
                <w:sz w:val="16"/>
              </w:rPr>
              <w:t>Official exchange, company IR, regulator, rating agency or media</w:t>
            </w:r>
          </w:p>
        </w:tc>
      </w:tr>
      <w:tr>
        <w:tc>
          <w:tcPr>
            <w:tcW w:type="dxa" w:w="5040"/>
            <w:vAlign w:val="center"/>
          </w:tcPr>
          <w:p>
            <w:pPr>
              <w:spacing w:after="40"/>
            </w:pPr>
            <w:r>
              <w:rPr>
                <w:sz w:val="16"/>
              </w:rPr>
              <w:t>first_public_at_utc</w:t>
            </w:r>
          </w:p>
        </w:tc>
        <w:tc>
          <w:tcPr>
            <w:tcW w:type="dxa" w:w="5040"/>
            <w:vAlign w:val="center"/>
          </w:tcPr>
          <w:p>
            <w:pPr>
              <w:spacing w:after="40"/>
            </w:pPr>
            <w:r>
              <w:rPr>
                <w:sz w:val="16"/>
              </w:rPr>
              <w:t>Earliest verified public availability</w:t>
            </w:r>
          </w:p>
        </w:tc>
      </w:tr>
      <w:tr>
        <w:tc>
          <w:tcPr>
            <w:tcW w:type="dxa" w:w="5040"/>
            <w:vAlign w:val="center"/>
          </w:tcPr>
          <w:p>
            <w:pPr>
              <w:spacing w:after="40"/>
            </w:pPr>
            <w:r>
              <w:rPr>
                <w:sz w:val="16"/>
              </w:rPr>
              <w:t>published_at_utc / updated_at_utc</w:t>
            </w:r>
          </w:p>
        </w:tc>
        <w:tc>
          <w:tcPr>
            <w:tcW w:type="dxa" w:w="5040"/>
            <w:vAlign w:val="center"/>
          </w:tcPr>
          <w:p>
            <w:pPr>
              <w:spacing w:after="40"/>
            </w:pPr>
            <w:r>
              <w:rPr>
                <w:sz w:val="16"/>
              </w:rPr>
              <w:t>Article/document publication and update times</w:t>
            </w:r>
          </w:p>
        </w:tc>
      </w:tr>
      <w:tr>
        <w:tc>
          <w:tcPr>
            <w:tcW w:type="dxa" w:w="5040"/>
            <w:vAlign w:val="center"/>
          </w:tcPr>
          <w:p>
            <w:pPr>
              <w:spacing w:after="40"/>
            </w:pPr>
            <w:r>
              <w:rPr>
                <w:sz w:val="16"/>
              </w:rPr>
              <w:t>retrieved_at_utc</w:t>
            </w:r>
          </w:p>
        </w:tc>
        <w:tc>
          <w:tcPr>
            <w:tcW w:type="dxa" w:w="5040"/>
            <w:vAlign w:val="center"/>
          </w:tcPr>
          <w:p>
            <w:pPr>
              <w:spacing w:after="40"/>
            </w:pPr>
            <w:r>
              <w:rPr>
                <w:sz w:val="16"/>
              </w:rPr>
              <w:t>Pipeline collection time</w:t>
            </w:r>
          </w:p>
        </w:tc>
      </w:tr>
      <w:tr>
        <w:tc>
          <w:tcPr>
            <w:tcW w:type="dxa" w:w="5040"/>
            <w:vAlign w:val="center"/>
          </w:tcPr>
          <w:p>
            <w:pPr>
              <w:spacing w:after="40"/>
            </w:pPr>
            <w:r>
              <w:rPr>
                <w:sz w:val="16"/>
              </w:rPr>
              <w:t>event_date / effective_date</w:t>
            </w:r>
          </w:p>
        </w:tc>
        <w:tc>
          <w:tcPr>
            <w:tcW w:type="dxa" w:w="5040"/>
            <w:vAlign w:val="center"/>
          </w:tcPr>
          <w:p>
            <w:pPr>
              <w:spacing w:after="40"/>
            </w:pPr>
            <w:r>
              <w:rPr>
                <w:sz w:val="16"/>
              </w:rPr>
              <w:t>Relevant business dates, kept distinct</w:t>
            </w:r>
          </w:p>
        </w:tc>
      </w:tr>
      <w:tr>
        <w:tc>
          <w:tcPr>
            <w:tcW w:type="dxa" w:w="5040"/>
            <w:vAlign w:val="center"/>
          </w:tcPr>
          <w:p>
            <w:pPr>
              <w:spacing w:after="40"/>
            </w:pPr>
            <w:r>
              <w:rPr>
                <w:sz w:val="16"/>
              </w:rPr>
              <w:t>event_type / taxonomy_version</w:t>
            </w:r>
          </w:p>
        </w:tc>
        <w:tc>
          <w:tcPr>
            <w:tcW w:type="dxa" w:w="5040"/>
            <w:vAlign w:val="center"/>
          </w:tcPr>
          <w:p>
            <w:pPr>
              <w:spacing w:after="40"/>
            </w:pPr>
            <w:r>
              <w:rPr>
                <w:sz w:val="16"/>
              </w:rPr>
              <w:t>Versioned classification</w:t>
            </w:r>
          </w:p>
        </w:tc>
      </w:tr>
      <w:tr>
        <w:tc>
          <w:tcPr>
            <w:tcW w:type="dxa" w:w="5040"/>
            <w:vAlign w:val="center"/>
          </w:tcPr>
          <w:p>
            <w:pPr>
              <w:spacing w:after="40"/>
            </w:pPr>
            <w:r>
              <w:rPr>
                <w:sz w:val="16"/>
              </w:rPr>
              <w:t>raw_text_hash / document_id</w:t>
            </w:r>
          </w:p>
        </w:tc>
        <w:tc>
          <w:tcPr>
            <w:tcW w:type="dxa" w:w="5040"/>
            <w:vAlign w:val="center"/>
          </w:tcPr>
          <w:p>
            <w:pPr>
              <w:spacing w:after="40"/>
            </w:pPr>
            <w:r>
              <w:rPr>
                <w:sz w:val="16"/>
              </w:rPr>
              <w:t>Traceability and duplicate detection</w:t>
            </w:r>
          </w:p>
        </w:tc>
      </w:tr>
      <w:tr>
        <w:tc>
          <w:tcPr>
            <w:tcW w:type="dxa" w:w="5040"/>
            <w:vAlign w:val="center"/>
          </w:tcPr>
          <w:p>
            <w:pPr>
              <w:spacing w:after="40"/>
            </w:pPr>
            <w:r>
              <w:rPr>
                <w:sz w:val="16"/>
              </w:rPr>
              <w:t>consensus_snapshot_at</w:t>
            </w:r>
          </w:p>
        </w:tc>
        <w:tc>
          <w:tcPr>
            <w:tcW w:type="dxa" w:w="5040"/>
            <w:vAlign w:val="center"/>
          </w:tcPr>
          <w:p>
            <w:pPr>
              <w:spacing w:after="40"/>
            </w:pPr>
            <w:r>
              <w:rPr>
                <w:sz w:val="16"/>
              </w:rPr>
              <w:t>Timestamp of expectation data</w:t>
            </w:r>
          </w:p>
        </w:tc>
      </w:tr>
      <w:tr>
        <w:tc>
          <w:tcPr>
            <w:tcW w:type="dxa" w:w="5040"/>
            <w:vAlign w:val="center"/>
          </w:tcPr>
          <w:p>
            <w:pPr>
              <w:spacing w:after="40"/>
            </w:pPr>
            <w:r>
              <w:rPr>
                <w:sz w:val="16"/>
              </w:rPr>
              <w:t>action_status / revision_state</w:t>
            </w:r>
          </w:p>
        </w:tc>
        <w:tc>
          <w:tcPr>
            <w:tcW w:type="dxa" w:w="5040"/>
            <w:vAlign w:val="center"/>
          </w:tcPr>
          <w:p>
            <w:pPr>
              <w:spacing w:after="40"/>
            </w:pPr>
            <w:r>
              <w:rPr>
                <w:sz w:val="16"/>
              </w:rPr>
              <w:t>Proposed, revised, approved, completed, etc.</w:t>
            </w:r>
          </w:p>
        </w:tc>
      </w:tr>
    </w:tbl>
    <w:p/>
    <w:p>
      <w:pPr>
        <w:pStyle w:val="Heading1"/>
      </w:pPr>
      <w:r>
        <w:t>11. Suggested Data Architecture</w:t>
      </w:r>
    </w:p>
    <w:p>
      <w:pPr>
        <w:pStyle w:val="ListNumber"/>
        <w:spacing w:after="60"/>
      </w:pPr>
      <w:r>
        <w:t>Raw layer: archive original exchange filings, PDFs, result tables, corporate-action records and licensed articles with source metadata.</w:t>
      </w:r>
    </w:p>
    <w:p>
      <w:pPr>
        <w:pStyle w:val="ListNumber"/>
        <w:spacing w:after="60"/>
      </w:pPr>
      <w:r>
        <w:t>Entity layer: maintain issuer/security master with ISIN, ticker history, legal names, aliases, parent/subsidiary relationships and sector.</w:t>
      </w:r>
    </w:p>
    <w:p>
      <w:pPr>
        <w:pStyle w:val="ListNumber"/>
        <w:spacing w:after="60"/>
      </w:pPr>
      <w:r>
        <w:t>Event registry: create one record per underlying event and attach multiple source documents/articles to it.</w:t>
      </w:r>
    </w:p>
    <w:p>
      <w:pPr>
        <w:pStyle w:val="ListNumber"/>
        <w:spacing w:after="60"/>
      </w:pPr>
      <w:r>
        <w:t>Extraction layer: parse numeric results and event details; keep extracted values alongside the source passage/page and confidence.</w:t>
      </w:r>
    </w:p>
    <w:p>
      <w:pPr>
        <w:pStyle w:val="ListNumber"/>
        <w:spacing w:after="60"/>
      </w:pPr>
      <w:r>
        <w:t>Versioning layer: retain original and corrected filings, article updates, corporate-action status changes and taxonomy/model versions.</w:t>
      </w:r>
    </w:p>
    <w:p>
      <w:pPr>
        <w:pStyle w:val="ListNumber"/>
        <w:spacing w:after="60"/>
      </w:pPr>
      <w:r>
        <w:t>Feature layer: calculate surprises, growth/margin changes, event counts, novelty and sentiment using only information available at the target timestamp.</w:t>
      </w:r>
    </w:p>
    <w:p>
      <w:pPr>
        <w:pStyle w:val="ListNumber"/>
        <w:spacing w:after="60"/>
      </w:pPr>
      <w:r>
        <w:t>Market-join layer: align events to trading sessions and join pre-event context; keep post-event reaction data separate as outcomes.</w:t>
      </w:r>
    </w:p>
    <w:p>
      <w:pPr>
        <w:pStyle w:val="ListNumber"/>
        <w:spacing w:after="60"/>
      </w:pPr>
      <w:r>
        <w:t>Validation layer: manually audit samples, measure extraction precision/recall, duplicate rates and timestamp accuracy.</w:t>
      </w:r>
    </w:p>
    <w:p>
      <w:pPr>
        <w:pStyle w:val="ListNumber"/>
        <w:spacing w:after="60"/>
      </w:pPr>
      <w:r>
        <w:t>Experiment layer: store event clusters, source versions, model definitions, time splits, metrics and code version.</w:t>
      </w:r>
    </w:p>
    <w:p>
      <w:pPr>
        <w:pStyle w:val="Heading1"/>
      </w:pPr>
      <w:r>
        <w:t>12. How to Test Whether These Events Help</w:t>
      </w:r>
    </w:p>
    <w:p>
      <w:pPr>
        <w:pStyle w:val="ListNumber"/>
        <w:spacing w:after="60"/>
      </w:pPr>
      <w:r>
        <w:t>Start with an event-study dataset before building a full predictive model. Verify timestamps, event categories and corporate-action adjustments on a hand-audited sample.</w:t>
      </w:r>
    </w:p>
    <w:p>
      <w:pPr>
        <w:pStyle w:val="ListNumber"/>
        <w:spacing w:after="60"/>
      </w:pPr>
      <w:r>
        <w:t>Define the prediction horizon: pre-announcement, post-announcement before market open, next-session close, or multi-day holding period.</w:t>
      </w:r>
    </w:p>
    <w:p>
      <w:pPr>
        <w:pStyle w:val="ListNumber"/>
        <w:spacing w:after="60"/>
      </w:pPr>
      <w:r>
        <w:t>Create separate models for structured earnings, corporate actions, material disclosures and news sentiment; their data quality and mechanisms differ.</w:t>
      </w:r>
    </w:p>
    <w:p>
      <w:pPr>
        <w:pStyle w:val="ListNumber"/>
        <w:spacing w:after="60"/>
      </w:pPr>
      <w:r>
        <w:t>Use a baseline with market/sector returns and company technical/fundamental features, then add event features to measure incremental value.</w:t>
      </w:r>
    </w:p>
    <w:p>
      <w:pPr>
        <w:pStyle w:val="ListNumber"/>
        <w:spacing w:after="60"/>
      </w:pPr>
      <w:r>
        <w:t>Split by time and group all articles/documents for the same event together. Avoid related copies in both training and test sets.</w:t>
      </w:r>
    </w:p>
    <w:p>
      <w:pPr>
        <w:pStyle w:val="ListNumber"/>
        <w:spacing w:after="60"/>
      </w:pPr>
      <w:r>
        <w:t>Evaluate event classification/extraction separately from price prediction. Good event extraction does not guarantee predictive returns.</w:t>
      </w:r>
    </w:p>
    <w:p>
      <w:pPr>
        <w:pStyle w:val="ListNumber"/>
        <w:spacing w:after="60"/>
      </w:pPr>
      <w:r>
        <w:t>Use metrics appropriate to the target and class imbalance; report calibration and confidence intervals where possible.</w:t>
      </w:r>
    </w:p>
    <w:p>
      <w:pPr>
        <w:pStyle w:val="ListNumber"/>
        <w:spacing w:after="60"/>
      </w:pPr>
      <w:r>
        <w:t>Check event types and sectors separately; a dividend, split, buyback, acquisition and auditor resignation should not be pooled blindly.</w:t>
      </w:r>
    </w:p>
    <w:p>
      <w:pPr>
        <w:pStyle w:val="ListNumber"/>
        <w:spacing w:after="60"/>
      </w:pPr>
      <w:r>
        <w:t>Test sensitivity to source timing, duplicates, sentiment model version, event windows and corporate-action adjustments.</w:t>
      </w:r>
    </w:p>
    <w:p>
      <w:pPr>
        <w:pStyle w:val="ListNumber"/>
        <w:spacing w:after="60"/>
      </w:pPr>
      <w:r>
        <w:t>Keep post-event returns as labels or diagnostics, never as features for a prediction made before those returns occurred.</w:t>
      </w:r>
    </w:p>
    <w:p>
      <w:pPr>
        <w:pStyle w:val="Heading1"/>
      </w:pPr>
      <w:r>
        <w:t>13. Likely Blockers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Blocker</w:t>
            </w:r>
          </w:p>
        </w:tc>
        <w:tc>
          <w:tcPr>
            <w:tcW w:type="dxa" w:w="3360"/>
            <w:shd w:fill="D9EAF2"/>
          </w:tcPr>
          <w:p>
            <w:r>
              <w:rPr>
                <w:b/>
                <w:sz w:val="16"/>
              </w:rPr>
              <w:t>Why it matters</w:t>
            </w:r>
          </w:p>
        </w:tc>
        <w:tc>
          <w:tcPr>
            <w:tcW w:type="dxa" w:w="3360"/>
            <w:shd w:fill="D9EAF2"/>
          </w:tcPr>
          <w:p>
            <w:r>
              <w:rPr>
                <w:b/>
                <w:sz w:val="16"/>
              </w:rPr>
              <w:t>Mitigation</w:t>
            </w:r>
          </w:p>
        </w:tc>
      </w:tr>
      <w:tr>
        <w:tc>
          <w:tcPr>
            <w:tcW w:type="dxa" w:w="3360"/>
            <w:vAlign w:val="center"/>
          </w:tcPr>
          <w:p>
            <w:pPr>
              <w:spacing w:after="40"/>
            </w:pPr>
            <w:r>
              <w:rPr>
                <w:sz w:val="16"/>
              </w:rPr>
              <w:t>Point-in-time consensus unavailable</w:t>
            </w:r>
          </w:p>
        </w:tc>
        <w:tc>
          <w:tcPr>
            <w:tcW w:type="dxa" w:w="3360"/>
            <w:vAlign w:val="center"/>
          </w:tcPr>
          <w:p>
            <w:pPr>
              <w:spacing w:after="40"/>
            </w:pPr>
            <w:r>
              <w:rPr>
                <w:sz w:val="16"/>
              </w:rPr>
              <w:t>Earnings surprise is hard to reconstruct historically</w:t>
            </w:r>
          </w:p>
        </w:tc>
        <w:tc>
          <w:tcPr>
            <w:tcW w:type="dxa" w:w="3360"/>
            <w:vAlign w:val="center"/>
          </w:tcPr>
          <w:p>
            <w:pPr>
              <w:spacing w:after="40"/>
            </w:pPr>
            <w:r>
              <w:rPr>
                <w:sz w:val="16"/>
              </w:rPr>
              <w:t>Start with reported results/growth; add consensus features only with verified historical snapshots.</w:t>
            </w:r>
          </w:p>
        </w:tc>
      </w:tr>
      <w:tr>
        <w:tc>
          <w:tcPr>
            <w:tcW w:type="dxa" w:w="3360"/>
            <w:vAlign w:val="center"/>
          </w:tcPr>
          <w:p>
            <w:pPr>
              <w:spacing w:after="40"/>
            </w:pPr>
            <w:r>
              <w:rPr>
                <w:sz w:val="16"/>
              </w:rPr>
              <w:t>PDF/table extraction errors</w:t>
            </w:r>
          </w:p>
        </w:tc>
        <w:tc>
          <w:tcPr>
            <w:tcW w:type="dxa" w:w="3360"/>
            <w:vAlign w:val="center"/>
          </w:tcPr>
          <w:p>
            <w:pPr>
              <w:spacing w:after="40"/>
            </w:pPr>
            <w:r>
              <w:rPr>
                <w:sz w:val="16"/>
              </w:rPr>
              <w:t>Wrong numeric values corrupt features</w:t>
            </w:r>
          </w:p>
        </w:tc>
        <w:tc>
          <w:tcPr>
            <w:tcW w:type="dxa" w:w="3360"/>
            <w:vAlign w:val="center"/>
          </w:tcPr>
          <w:p>
            <w:pPr>
              <w:spacing w:after="40"/>
            </w:pPr>
            <w:r>
              <w:rPr>
                <w:sz w:val="16"/>
              </w:rPr>
              <w:t>Preserve source, automate validation checks and manually audit a sample.</w:t>
            </w:r>
          </w:p>
        </w:tc>
      </w:tr>
      <w:tr>
        <w:tc>
          <w:tcPr>
            <w:tcW w:type="dxa" w:w="3360"/>
            <w:vAlign w:val="center"/>
          </w:tcPr>
          <w:p>
            <w:pPr>
              <w:spacing w:after="40"/>
            </w:pPr>
            <w:r>
              <w:rPr>
                <w:sz w:val="16"/>
              </w:rPr>
              <w:t>Duplicate/syndicated news</w:t>
            </w:r>
          </w:p>
        </w:tc>
        <w:tc>
          <w:tcPr>
            <w:tcW w:type="dxa" w:w="3360"/>
            <w:vAlign w:val="center"/>
          </w:tcPr>
          <w:p>
            <w:pPr>
              <w:spacing w:after="40"/>
            </w:pPr>
            <w:r>
              <w:rPr>
                <w:sz w:val="16"/>
              </w:rPr>
              <w:t>Inflates attention and sentiment measures</w:t>
            </w:r>
          </w:p>
        </w:tc>
        <w:tc>
          <w:tcPr>
            <w:tcW w:type="dxa" w:w="3360"/>
            <w:vAlign w:val="center"/>
          </w:tcPr>
          <w:p>
            <w:pPr>
              <w:spacing w:after="40"/>
            </w:pPr>
            <w:r>
              <w:rPr>
                <w:sz w:val="16"/>
              </w:rPr>
              <w:t>Group by event, entity, text similarity and time; track independent sources separately.</w:t>
            </w:r>
          </w:p>
        </w:tc>
      </w:tr>
      <w:tr>
        <w:tc>
          <w:tcPr>
            <w:tcW w:type="dxa" w:w="3360"/>
            <w:vAlign w:val="center"/>
          </w:tcPr>
          <w:p>
            <w:pPr>
              <w:spacing w:after="40"/>
            </w:pPr>
            <w:r>
              <w:rPr>
                <w:sz w:val="16"/>
              </w:rPr>
              <w:t>Entity-resolution mistakes</w:t>
            </w:r>
          </w:p>
        </w:tc>
        <w:tc>
          <w:tcPr>
            <w:tcW w:type="dxa" w:w="3360"/>
            <w:vAlign w:val="center"/>
          </w:tcPr>
          <w:p>
            <w:pPr>
              <w:spacing w:after="40"/>
            </w:pPr>
            <w:r>
              <w:rPr>
                <w:sz w:val="16"/>
              </w:rPr>
              <w:t>News may be assigned to the wrong company/security</w:t>
            </w:r>
          </w:p>
        </w:tc>
        <w:tc>
          <w:tcPr>
            <w:tcW w:type="dxa" w:w="3360"/>
            <w:vAlign w:val="center"/>
          </w:tcPr>
          <w:p>
            <w:pPr>
              <w:spacing w:after="40"/>
            </w:pPr>
            <w:r>
              <w:rPr>
                <w:sz w:val="16"/>
              </w:rPr>
              <w:t>Use ISIN and issuer master, aliases and parent/subsidiary rules.</w:t>
            </w:r>
          </w:p>
        </w:tc>
      </w:tr>
      <w:tr>
        <w:tc>
          <w:tcPr>
            <w:tcW w:type="dxa" w:w="3360"/>
            <w:vAlign w:val="center"/>
          </w:tcPr>
          <w:p>
            <w:pPr>
              <w:spacing w:after="40"/>
            </w:pPr>
            <w:r>
              <w:rPr>
                <w:sz w:val="16"/>
              </w:rPr>
              <w:t>Unknown first-public timestamp</w:t>
            </w:r>
          </w:p>
        </w:tc>
        <w:tc>
          <w:tcPr>
            <w:tcW w:type="dxa" w:w="3360"/>
            <w:vAlign w:val="center"/>
          </w:tcPr>
          <w:p>
            <w:pPr>
              <w:spacing w:after="40"/>
            </w:pPr>
            <w:r>
              <w:rPr>
                <w:sz w:val="16"/>
              </w:rPr>
              <w:t>Creates look-ahead leakage</w:t>
            </w:r>
          </w:p>
        </w:tc>
        <w:tc>
          <w:tcPr>
            <w:tcW w:type="dxa" w:w="3360"/>
            <w:vAlign w:val="center"/>
          </w:tcPr>
          <w:p>
            <w:pPr>
              <w:spacing w:after="40"/>
            </w:pPr>
            <w:r>
              <w:rPr>
                <w:sz w:val="16"/>
              </w:rPr>
              <w:t>Prefer official timestamped filings; exclude or coarsen uncertain-timing data.</w:t>
            </w:r>
          </w:p>
        </w:tc>
      </w:tr>
      <w:tr>
        <w:tc>
          <w:tcPr>
            <w:tcW w:type="dxa" w:w="3360"/>
            <w:vAlign w:val="center"/>
          </w:tcPr>
          <w:p>
            <w:pPr>
              <w:spacing w:after="40"/>
            </w:pPr>
            <w:r>
              <w:rPr>
                <w:sz w:val="16"/>
              </w:rPr>
              <w:t>Corporate-action price distortions</w:t>
            </w:r>
          </w:p>
        </w:tc>
        <w:tc>
          <w:tcPr>
            <w:tcW w:type="dxa" w:w="3360"/>
            <w:vAlign w:val="center"/>
          </w:tcPr>
          <w:p>
            <w:pPr>
              <w:spacing w:after="40"/>
            </w:pPr>
            <w:r>
              <w:rPr>
                <w:sz w:val="16"/>
              </w:rPr>
              <w:t>Splits/dividends can look like extreme returns</w:t>
            </w:r>
          </w:p>
        </w:tc>
        <w:tc>
          <w:tcPr>
            <w:tcW w:type="dxa" w:w="3360"/>
            <w:vAlign w:val="center"/>
          </w:tcPr>
          <w:p>
            <w:pPr>
              <w:spacing w:after="40"/>
            </w:pPr>
            <w:r>
              <w:rPr>
                <w:sz w:val="16"/>
              </w:rPr>
              <w:t>Use documented adjusted prices and explicit action features.</w:t>
            </w:r>
          </w:p>
        </w:tc>
      </w:tr>
      <w:tr>
        <w:tc>
          <w:tcPr>
            <w:tcW w:type="dxa" w:w="3360"/>
            <w:vAlign w:val="center"/>
          </w:tcPr>
          <w:p>
            <w:pPr>
              <w:spacing w:after="40"/>
            </w:pPr>
            <w:r>
              <w:rPr>
                <w:sz w:val="16"/>
              </w:rPr>
              <w:t>Sparse event categories</w:t>
            </w:r>
          </w:p>
        </w:tc>
        <w:tc>
          <w:tcPr>
            <w:tcW w:type="dxa" w:w="3360"/>
            <w:vAlign w:val="center"/>
          </w:tcPr>
          <w:p>
            <w:pPr>
              <w:spacing w:after="40"/>
            </w:pPr>
            <w:r>
              <w:rPr>
                <w:sz w:val="16"/>
              </w:rPr>
              <w:t>Small samples lead to unstable conclusions</w:t>
            </w:r>
          </w:p>
        </w:tc>
        <w:tc>
          <w:tcPr>
            <w:tcW w:type="dxa" w:w="3360"/>
            <w:vAlign w:val="center"/>
          </w:tcPr>
          <w:p>
            <w:pPr>
              <w:spacing w:after="40"/>
            </w:pPr>
            <w:r>
              <w:rPr>
                <w:sz w:val="16"/>
              </w:rPr>
              <w:t>Use simple taxonomies, combine only economically compatible classes and report uncertainty.</w:t>
            </w:r>
          </w:p>
        </w:tc>
      </w:tr>
      <w:tr>
        <w:tc>
          <w:tcPr>
            <w:tcW w:type="dxa" w:w="3360"/>
            <w:vAlign w:val="center"/>
          </w:tcPr>
          <w:p>
            <w:pPr>
              <w:spacing w:after="40"/>
            </w:pPr>
            <w:r>
              <w:rPr>
                <w:sz w:val="16"/>
              </w:rPr>
              <w:t>News licensing and retention</w:t>
            </w:r>
          </w:p>
        </w:tc>
        <w:tc>
          <w:tcPr>
            <w:tcW w:type="dxa" w:w="3360"/>
            <w:vAlign w:val="center"/>
          </w:tcPr>
          <w:p>
            <w:pPr>
              <w:spacing w:after="40"/>
            </w:pPr>
            <w:r>
              <w:rPr>
                <w:sz w:val="16"/>
              </w:rPr>
              <w:t>Scraping may violate terms or prevent reproducibility</w:t>
            </w:r>
          </w:p>
        </w:tc>
        <w:tc>
          <w:tcPr>
            <w:tcW w:type="dxa" w:w="3360"/>
            <w:vAlign w:val="center"/>
          </w:tcPr>
          <w:p>
            <w:pPr>
              <w:spacing w:after="40"/>
            </w:pPr>
            <w:r>
              <w:rPr>
                <w:sz w:val="16"/>
              </w:rPr>
              <w:t>Use licensed feeds or permitted public filings; confirm storage and derived-data rights.</w:t>
            </w:r>
          </w:p>
        </w:tc>
      </w:tr>
      <w:tr>
        <w:tc>
          <w:tcPr>
            <w:tcW w:type="dxa" w:w="3360"/>
            <w:vAlign w:val="center"/>
          </w:tcPr>
          <w:p>
            <w:pPr>
              <w:spacing w:after="40"/>
            </w:pPr>
            <w:r>
              <w:rPr>
                <w:sz w:val="16"/>
              </w:rPr>
              <w:t>Sentiment model domain errors</w:t>
            </w:r>
          </w:p>
        </w:tc>
        <w:tc>
          <w:tcPr>
            <w:tcW w:type="dxa" w:w="3360"/>
            <w:vAlign w:val="center"/>
          </w:tcPr>
          <w:p>
            <w:pPr>
              <w:spacing w:after="40"/>
            </w:pPr>
            <w:r>
              <w:rPr>
                <w:sz w:val="16"/>
              </w:rPr>
              <w:t>Financial language and negation are hard to classify</w:t>
            </w:r>
          </w:p>
        </w:tc>
        <w:tc>
          <w:tcPr>
            <w:tcW w:type="dxa" w:w="3360"/>
            <w:vAlign w:val="center"/>
          </w:tcPr>
          <w:p>
            <w:pPr>
              <w:spacing w:after="40"/>
            </w:pPr>
            <w:r>
              <w:rPr>
                <w:sz w:val="16"/>
              </w:rPr>
              <w:t>Audit a labelled sample, version the model and retain uncertainty/abstention.</w:t>
            </w:r>
          </w:p>
        </w:tc>
      </w:tr>
      <w:tr>
        <w:tc>
          <w:tcPr>
            <w:tcW w:type="dxa" w:w="3360"/>
            <w:vAlign w:val="center"/>
          </w:tcPr>
          <w:p>
            <w:pPr>
              <w:spacing w:after="40"/>
            </w:pPr>
            <w:r>
              <w:rPr>
                <w:sz w:val="16"/>
              </w:rPr>
              <w:t>Retrospective labels</w:t>
            </w:r>
          </w:p>
        </w:tc>
        <w:tc>
          <w:tcPr>
            <w:tcW w:type="dxa" w:w="3360"/>
            <w:vAlign w:val="center"/>
          </w:tcPr>
          <w:p>
            <w:pPr>
              <w:spacing w:after="40"/>
            </w:pPr>
            <w:r>
              <w:rPr>
                <w:sz w:val="16"/>
              </w:rPr>
              <w:t>Later outcomes can influence event labels or taxonomy</w:t>
            </w:r>
          </w:p>
        </w:tc>
        <w:tc>
          <w:tcPr>
            <w:tcW w:type="dxa" w:w="3360"/>
            <w:vAlign w:val="center"/>
          </w:tcPr>
          <w:p>
            <w:pPr>
              <w:spacing w:after="40"/>
            </w:pPr>
            <w:r>
              <w:rPr>
                <w:sz w:val="16"/>
              </w:rPr>
              <w:t>Use a pre-defined taxonomy and timestamped source evidence; keep outcomes separate.</w:t>
            </w:r>
          </w:p>
        </w:tc>
      </w:tr>
    </w:tbl>
    <w:p/>
    <w:p>
      <w:pPr>
        <w:pStyle w:val="Heading1"/>
      </w:pPr>
      <w:r>
        <w:t>14. Recommended Initial Shortlist</w:t>
      </w:r>
    </w:p>
    <w:p>
      <w:r>
        <w:t>This shortlist is a research proposal, not an empirically validated ranking.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Priority</w:t>
            </w:r>
          </w:p>
        </w:tc>
        <w:tc>
          <w:tcPr>
            <w:tcW w:type="dxa" w:w="2520"/>
            <w:shd w:fill="D9EAF2"/>
          </w:tcPr>
          <w:p>
            <w:r>
              <w:rPr>
                <w:b/>
                <w:sz w:val="16"/>
              </w:rPr>
              <w:t>Candidate</w:t>
            </w:r>
          </w:p>
        </w:tc>
        <w:tc>
          <w:tcPr>
            <w:tcW w:type="dxa" w:w="2520"/>
            <w:shd w:fill="D9EAF2"/>
          </w:tcPr>
          <w:p>
            <w:r>
              <w:rPr>
                <w:b/>
                <w:sz w:val="16"/>
              </w:rPr>
              <w:t>Reason to start</w:t>
            </w:r>
          </w:p>
        </w:tc>
        <w:tc>
          <w:tcPr>
            <w:tcW w:type="dxa" w:w="2520"/>
            <w:shd w:fill="D9EAF2"/>
          </w:tcPr>
          <w:p>
            <w:r>
              <w:rPr>
                <w:b/>
                <w:sz w:val="16"/>
              </w:rPr>
              <w:t>Caution</w:t>
            </w:r>
          </w:p>
        </w:tc>
      </w:tr>
      <w:tr>
        <w:tc>
          <w:tcPr>
            <w:tcW w:type="dxa" w:w="2520"/>
            <w:vAlign w:val="center"/>
          </w:tcPr>
          <w:p>
            <w:pPr>
              <w:spacing w:after="40"/>
            </w:pPr>
            <w:r>
              <w:rPr>
                <w:sz w:val="16"/>
              </w:rPr>
              <w:t>1</w:t>
            </w:r>
          </w:p>
        </w:tc>
        <w:tc>
          <w:tcPr>
            <w:tcW w:type="dxa" w:w="2520"/>
            <w:vAlign w:val="center"/>
          </w:tcPr>
          <w:p>
            <w:pPr>
              <w:spacing w:after="40"/>
            </w:pPr>
            <w:r>
              <w:rPr>
                <w:sz w:val="16"/>
              </w:rPr>
              <w:t>Official earnings event flag + release timestamp</w:t>
            </w:r>
          </w:p>
        </w:tc>
        <w:tc>
          <w:tcPr>
            <w:tcW w:type="dxa" w:w="2520"/>
            <w:vAlign w:val="center"/>
          </w:tcPr>
          <w:p>
            <w:pPr>
              <w:spacing w:after="40"/>
            </w:pPr>
            <w:r>
              <w:rPr>
                <w:sz w:val="16"/>
              </w:rPr>
              <w:t>High-impact and structured event type</w:t>
            </w:r>
          </w:p>
        </w:tc>
        <w:tc>
          <w:tcPr>
            <w:tcW w:type="dxa" w:w="2520"/>
            <w:vAlign w:val="center"/>
          </w:tcPr>
          <w:p>
            <w:pPr>
              <w:spacing w:after="40"/>
            </w:pPr>
            <w:r>
              <w:rPr>
                <w:sz w:val="16"/>
              </w:rPr>
              <w:t>Timestamp and after-close mapping are critical</w:t>
            </w:r>
          </w:p>
        </w:tc>
      </w:tr>
      <w:tr>
        <w:tc>
          <w:tcPr>
            <w:tcW w:type="dxa" w:w="2520"/>
            <w:vAlign w:val="center"/>
          </w:tcPr>
          <w:p>
            <w:pPr>
              <w:spacing w:after="40"/>
            </w:pPr>
            <w:r>
              <w:rPr>
                <w:sz w:val="16"/>
              </w:rPr>
              <w:t>2</w:t>
            </w:r>
          </w:p>
        </w:tc>
        <w:tc>
          <w:tcPr>
            <w:tcW w:type="dxa" w:w="2520"/>
            <w:vAlign w:val="center"/>
          </w:tcPr>
          <w:p>
            <w:pPr>
              <w:spacing w:after="40"/>
            </w:pPr>
            <w:r>
              <w:rPr>
                <w:sz w:val="16"/>
              </w:rPr>
              <w:t>Revenue/PAT/EPS growth and margin change</w:t>
            </w:r>
          </w:p>
        </w:tc>
        <w:tc>
          <w:tcPr>
            <w:tcW w:type="dxa" w:w="2520"/>
            <w:vAlign w:val="center"/>
          </w:tcPr>
          <w:p>
            <w:pPr>
              <w:spacing w:after="40"/>
            </w:pPr>
            <w:r>
              <w:rPr>
                <w:sz w:val="16"/>
              </w:rPr>
              <w:t>Structured, interpretable result features</w:t>
            </w:r>
          </w:p>
        </w:tc>
        <w:tc>
          <w:tcPr>
            <w:tcW w:type="dxa" w:w="2520"/>
            <w:vAlign w:val="center"/>
          </w:tcPr>
          <w:p>
            <w:pPr>
              <w:spacing w:after="40"/>
            </w:pPr>
            <w:r>
              <w:rPr>
                <w:sz w:val="16"/>
              </w:rPr>
              <w:t>Standalone/consolidated and accounting basis must match</w:t>
            </w:r>
          </w:p>
        </w:tc>
      </w:tr>
      <w:tr>
        <w:tc>
          <w:tcPr>
            <w:tcW w:type="dxa" w:w="2520"/>
            <w:vAlign w:val="center"/>
          </w:tcPr>
          <w:p>
            <w:pPr>
              <w:spacing w:after="40"/>
            </w:pPr>
            <w:r>
              <w:rPr>
                <w:sz w:val="16"/>
              </w:rPr>
              <w:t>3</w:t>
            </w:r>
          </w:p>
        </w:tc>
        <w:tc>
          <w:tcPr>
            <w:tcW w:type="dxa" w:w="2520"/>
            <w:vAlign w:val="center"/>
          </w:tcPr>
          <w:p>
            <w:pPr>
              <w:spacing w:after="40"/>
            </w:pPr>
            <w:r>
              <w:rPr>
                <w:sz w:val="16"/>
              </w:rPr>
              <w:t>Earnings surprise vs consensus</w:t>
            </w:r>
          </w:p>
        </w:tc>
        <w:tc>
          <w:tcPr>
            <w:tcW w:type="dxa" w:w="2520"/>
            <w:vAlign w:val="center"/>
          </w:tcPr>
          <w:p>
            <w:pPr>
              <w:spacing w:after="40"/>
            </w:pPr>
            <w:r>
              <w:rPr>
                <w:sz w:val="16"/>
              </w:rPr>
              <w:t>Captures result relative to expectations</w:t>
            </w:r>
          </w:p>
        </w:tc>
        <w:tc>
          <w:tcPr>
            <w:tcW w:type="dxa" w:w="2520"/>
            <w:vAlign w:val="center"/>
          </w:tcPr>
          <w:p>
            <w:pPr>
              <w:spacing w:after="40"/>
            </w:pPr>
            <w:r>
              <w:rPr>
                <w:sz w:val="16"/>
              </w:rPr>
              <w:t>Requires point-in-time historical consensus</w:t>
            </w:r>
          </w:p>
        </w:tc>
      </w:tr>
      <w:tr>
        <w:tc>
          <w:tcPr>
            <w:tcW w:type="dxa" w:w="2520"/>
            <w:vAlign w:val="center"/>
          </w:tcPr>
          <w:p>
            <w:pPr>
              <w:spacing w:after="40"/>
            </w:pPr>
            <w:r>
              <w:rPr>
                <w:sz w:val="16"/>
              </w:rPr>
              <w:t>4</w:t>
            </w:r>
          </w:p>
        </w:tc>
        <w:tc>
          <w:tcPr>
            <w:tcW w:type="dxa" w:w="2520"/>
            <w:vAlign w:val="center"/>
          </w:tcPr>
          <w:p>
            <w:pPr>
              <w:spacing w:after="40"/>
            </w:pPr>
            <w:r>
              <w:rPr>
                <w:sz w:val="16"/>
              </w:rPr>
              <w:t>Corporate-action type, ratio/amount and status</w:t>
            </w:r>
          </w:p>
        </w:tc>
        <w:tc>
          <w:tcPr>
            <w:tcW w:type="dxa" w:w="2520"/>
            <w:vAlign w:val="center"/>
          </w:tcPr>
          <w:p>
            <w:pPr>
              <w:spacing w:after="40"/>
            </w:pPr>
            <w:r>
              <w:rPr>
                <w:sz w:val="16"/>
              </w:rPr>
              <w:t>Dividend, buyback, split, rights issue and other events are distinct</w:t>
            </w:r>
          </w:p>
        </w:tc>
        <w:tc>
          <w:tcPr>
            <w:tcW w:type="dxa" w:w="2520"/>
            <w:vAlign w:val="center"/>
          </w:tcPr>
          <w:p>
            <w:pPr>
              <w:spacing w:after="40"/>
            </w:pPr>
            <w:r>
              <w:rPr>
                <w:sz w:val="16"/>
              </w:rPr>
              <w:t>Separate announcement/effective/ex/record dates</w:t>
            </w:r>
          </w:p>
        </w:tc>
      </w:tr>
      <w:tr>
        <w:tc>
          <w:tcPr>
            <w:tcW w:type="dxa" w:w="2520"/>
            <w:vAlign w:val="center"/>
          </w:tcPr>
          <w:p>
            <w:pPr>
              <w:spacing w:after="40"/>
            </w:pPr>
            <w:r>
              <w:rPr>
                <w:sz w:val="16"/>
              </w:rPr>
              <w:t>5</w:t>
            </w:r>
          </w:p>
        </w:tc>
        <w:tc>
          <w:tcPr>
            <w:tcW w:type="dxa" w:w="2520"/>
            <w:vAlign w:val="center"/>
          </w:tcPr>
          <w:p>
            <w:pPr>
              <w:spacing w:after="40"/>
            </w:pPr>
            <w:r>
              <w:rPr>
                <w:sz w:val="16"/>
              </w:rPr>
              <w:t>Order win/capacity/capex/material disclosure flags</w:t>
            </w:r>
          </w:p>
        </w:tc>
        <w:tc>
          <w:tcPr>
            <w:tcW w:type="dxa" w:w="2520"/>
            <w:vAlign w:val="center"/>
          </w:tcPr>
          <w:p>
            <w:pPr>
              <w:spacing w:after="40"/>
            </w:pPr>
            <w:r>
              <w:rPr>
                <w:sz w:val="16"/>
              </w:rPr>
              <w:t>May change forward revenue or cost expectations</w:t>
            </w:r>
          </w:p>
        </w:tc>
        <w:tc>
          <w:tcPr>
            <w:tcW w:type="dxa" w:w="2520"/>
            <w:vAlign w:val="center"/>
          </w:tcPr>
          <w:p>
            <w:pPr>
              <w:spacing w:after="40"/>
            </w:pPr>
            <w:r>
              <w:rPr>
                <w:sz w:val="16"/>
              </w:rPr>
              <w:t>Materiality and value need consistent extraction</w:t>
            </w:r>
          </w:p>
        </w:tc>
      </w:tr>
      <w:tr>
        <w:tc>
          <w:tcPr>
            <w:tcW w:type="dxa" w:w="2520"/>
            <w:vAlign w:val="center"/>
          </w:tcPr>
          <w:p>
            <w:pPr>
              <w:spacing w:after="40"/>
            </w:pPr>
            <w:r>
              <w:rPr>
                <w:sz w:val="16"/>
              </w:rPr>
              <w:t>6</w:t>
            </w:r>
          </w:p>
        </w:tc>
        <w:tc>
          <w:tcPr>
            <w:tcW w:type="dxa" w:w="2520"/>
            <w:vAlign w:val="center"/>
          </w:tcPr>
          <w:p>
            <w:pPr>
              <w:spacing w:after="40"/>
            </w:pPr>
            <w:r>
              <w:rPr>
                <w:sz w:val="16"/>
              </w:rPr>
              <w:t>Rating/auditor/governance/regulatory event flags</w:t>
            </w:r>
          </w:p>
        </w:tc>
        <w:tc>
          <w:tcPr>
            <w:tcW w:type="dxa" w:w="2520"/>
            <w:vAlign w:val="center"/>
          </w:tcPr>
          <w:p>
            <w:pPr>
              <w:spacing w:after="40"/>
            </w:pPr>
            <w:r>
              <w:rPr>
                <w:sz w:val="16"/>
              </w:rPr>
              <w:t>Potential risk and funding-cost changes</w:t>
            </w:r>
          </w:p>
        </w:tc>
        <w:tc>
          <w:tcPr>
            <w:tcW w:type="dxa" w:w="2520"/>
            <w:vAlign w:val="center"/>
          </w:tcPr>
          <w:p>
            <w:pPr>
              <w:spacing w:after="40"/>
            </w:pPr>
            <w:r>
              <w:rPr>
                <w:sz w:val="16"/>
              </w:rPr>
              <w:t>Avoid fixed sentiment labels without context</w:t>
            </w:r>
          </w:p>
        </w:tc>
      </w:tr>
      <w:tr>
        <w:tc>
          <w:tcPr>
            <w:tcW w:type="dxa" w:w="2520"/>
            <w:vAlign w:val="center"/>
          </w:tcPr>
          <w:p>
            <w:pPr>
              <w:spacing w:after="40"/>
            </w:pPr>
            <w:r>
              <w:rPr>
                <w:sz w:val="16"/>
              </w:rPr>
              <w:t>Later</w:t>
            </w:r>
          </w:p>
        </w:tc>
        <w:tc>
          <w:tcPr>
            <w:tcW w:type="dxa" w:w="2520"/>
            <w:vAlign w:val="center"/>
          </w:tcPr>
          <w:p>
            <w:pPr>
              <w:spacing w:after="40"/>
            </w:pPr>
            <w:r>
              <w:rPr>
                <w:sz w:val="16"/>
              </w:rPr>
              <w:t>News sentiment, novelty, source disagreement and attention surprise</w:t>
            </w:r>
          </w:p>
        </w:tc>
        <w:tc>
          <w:tcPr>
            <w:tcW w:type="dxa" w:w="2520"/>
            <w:vAlign w:val="center"/>
          </w:tcPr>
          <w:p>
            <w:pPr>
              <w:spacing w:after="40"/>
            </w:pPr>
            <w:r>
              <w:rPr>
                <w:sz w:val="16"/>
              </w:rPr>
              <w:t>Can add breadth and tone of information</w:t>
            </w:r>
          </w:p>
        </w:tc>
        <w:tc>
          <w:tcPr>
            <w:tcW w:type="dxa" w:w="2520"/>
            <w:vAlign w:val="center"/>
          </w:tcPr>
          <w:p>
            <w:pPr>
              <w:spacing w:after="40"/>
            </w:pPr>
            <w:r>
              <w:rPr>
                <w:sz w:val="16"/>
              </w:rPr>
              <w:t>Needs licensing, deduplication, entity resolution and validation</w:t>
            </w:r>
          </w:p>
        </w:tc>
      </w:tr>
    </w:tbl>
    <w:p/>
    <w:p>
      <w:r>
        <w:t>Recommended first experiment: build a verified sample of official earnings and corporate-action events for a limited group of liquid listed companies, confirm timestamps manually, then test a small set of structured features before adding NLP.</w:t>
      </w:r>
    </w:p>
    <w:p>
      <w:pPr>
        <w:pStyle w:val="Heading1"/>
      </w:pPr>
      <w:r>
        <w:t>15. Mentor / Team-Lead Summary</w:t>
      </w:r>
    </w:p>
    <w:p>
      <w:r>
        <w:t>Objective: assess whether company-level disclosures, earnings surprises, corporate actions and material news add incremental predictive information beyond market, macro, fundamental and sentiment variables. Core dimensions include quarterly results and guidance, dividends/buybacks/splits/fundraising, orders/capex/acquisitions, management/governance events, rating/regulatory/legal actions, and news tone/attention.</w:t>
      </w:r>
    </w:p>
    <w:p>
      <w:r>
        <w:t>Candidate features include reported growth and margin changes, point-in-time earnings surprises, event-type flags, action ratios/status, timestamped sentiment, unique-news volume, novelty and source disagreement. Post-event abnormal returns should be treated as labels or diagnostics, not as pre-event predictors.</w:t>
      </w:r>
    </w:p>
    <w:p>
      <w:r>
        <w:t>Critical dependency: a versioned, point-in-time event database that uses official exchange/company sources, resolves issuers correctly, deduplicates articles, distinguishes announcement from effective dates, and preserves corrections. Historical consensus and licensed news archives are likely blockers.</w:t>
      </w:r>
    </w:p>
    <w:p>
      <w:r>
        <w:t>Recommended execution: start with a manually audited official-filing sample, build event and earnings features, validate extraction and timestamps, then measure incremental value using chronological event-grouped testing. Add NLP only after the data foundation is reliable.</w:t>
      </w:r>
    </w:p>
    <w:p>
      <w:r>
        <w:t>Research caveat: the presence of an event does not guarantee a predictable direction. The market may have anticipated it, and impact depends on magnitude, context, sector, expectations and timing.</w:t>
      </w:r>
    </w:p>
    <w:p>
      <w:pPr>
        <w:pStyle w:val="Heading1"/>
      </w:pPr>
      <w:r>
        <w:t>16. Research Checklist</w:t>
      </w:r>
    </w:p>
    <w:p>
      <w:pPr>
        <w:pStyle w:val="ListBullet"/>
        <w:spacing w:after="40"/>
      </w:pPr>
      <w:r>
        <w:t>☐ Target horizon and prediction timestamp are explicit.</w:t>
      </w:r>
    </w:p>
    <w:p>
      <w:pPr>
        <w:pStyle w:val="ListBullet"/>
        <w:spacing w:after="40"/>
      </w:pPr>
      <w:r>
        <w:t>☐ Official filing and earliest public timestamps are captured.</w:t>
      </w:r>
    </w:p>
    <w:p>
      <w:pPr>
        <w:pStyle w:val="ListBullet"/>
        <w:spacing w:after="40"/>
      </w:pPr>
      <w:r>
        <w:t>☐ Event taxonomy and issuer/security mapping are versioned.</w:t>
      </w:r>
    </w:p>
    <w:p>
      <w:pPr>
        <w:pStyle w:val="ListBullet"/>
        <w:spacing w:after="40"/>
      </w:pPr>
      <w:r>
        <w:t>☐ Original and corrected disclosures are retained separately.</w:t>
      </w:r>
    </w:p>
    <w:p>
      <w:pPr>
        <w:pStyle w:val="ListBullet"/>
        <w:spacing w:after="40"/>
      </w:pPr>
      <w:r>
        <w:t>☐ Corporate-action announcement, ex-date, record date and effective date are distinct.</w:t>
      </w:r>
    </w:p>
    <w:p>
      <w:pPr>
        <w:pStyle w:val="ListBullet"/>
        <w:spacing w:after="40"/>
      </w:pPr>
      <w:r>
        <w:t>☐ Consensus estimates are point-in-time and unit-comparable.</w:t>
      </w:r>
    </w:p>
    <w:p>
      <w:pPr>
        <w:pStyle w:val="ListBullet"/>
        <w:spacing w:after="40"/>
      </w:pPr>
      <w:r>
        <w:t>☐ News sources are licensed for the intended storage/model use.</w:t>
      </w:r>
    </w:p>
    <w:p>
      <w:pPr>
        <w:pStyle w:val="ListBullet"/>
        <w:spacing w:after="40"/>
      </w:pPr>
      <w:r>
        <w:t>☐ Duplicate events/articles are grouped before counting or splitting datasets.</w:t>
      </w:r>
    </w:p>
    <w:p>
      <w:pPr>
        <w:pStyle w:val="ListBullet"/>
        <w:spacing w:after="40"/>
      </w:pPr>
      <w:r>
        <w:t>☐ Post-event price/volume information is excluded from pre-event features.</w:t>
      </w:r>
    </w:p>
    <w:p>
      <w:pPr>
        <w:pStyle w:val="ListBullet"/>
        <w:spacing w:after="40"/>
      </w:pPr>
      <w:r>
        <w:t>☐ Extraction quality and incremental out-of-sample predictive value are audited.</w:t>
      </w:r>
    </w:p>
    <w:p>
      <w:pPr>
        <w:pStyle w:val="Heading1"/>
      </w:pPr>
      <w:r>
        <w:t>17. Sources and Further Reading</w:t>
      </w:r>
    </w:p>
    <w:p>
      <w:pPr>
        <w:pStyle w:val="ListBullet"/>
        <w:spacing w:after="80"/>
      </w:pPr>
      <w:r>
        <w:rPr>
          <w:b/>
        </w:rPr>
        <w:t xml:space="preserve">NSE corporate filings and announcements — </w:t>
      </w:r>
      <w:r>
        <w:t>https://www.nseindia.com/companies-listing/corporate-filings-announcements</w:t>
        <w:br/>
        <w:t>Official listed-company disclosures and attached documents; verify each filing timestamp and correction.</w:t>
      </w:r>
    </w:p>
    <w:p>
      <w:pPr>
        <w:pStyle w:val="ListBullet"/>
        <w:spacing w:after="80"/>
      </w:pPr>
      <w:r>
        <w:rPr>
          <w:b/>
        </w:rPr>
        <w:t xml:space="preserve">BSE corporate announcements — </w:t>
      </w:r>
      <w:r>
        <w:t>https://www.bseindia.com/corporates/ann.html</w:t>
        <w:br/>
        <w:t>Official company announcements and filings; maintain issuer identifiers and document versions.</w:t>
      </w:r>
    </w:p>
    <w:p>
      <w:pPr>
        <w:pStyle w:val="ListBullet"/>
        <w:spacing w:after="80"/>
      </w:pPr>
      <w:r>
        <w:rPr>
          <w:b/>
        </w:rPr>
        <w:t xml:space="preserve">NSE corporate actions — </w:t>
      </w:r>
      <w:r>
        <w:t>https://www.nseindia.com/companies-listing/corporate-actions</w:t>
        <w:br/>
        <w:t>Corporate-action information; confirm the current interface and action status/dates.</w:t>
      </w:r>
    </w:p>
    <w:p>
      <w:pPr>
        <w:pStyle w:val="ListBullet"/>
        <w:spacing w:after="80"/>
      </w:pPr>
      <w:r>
        <w:rPr>
          <w:b/>
        </w:rPr>
        <w:t xml:space="preserve">BSE corporate actions — </w:t>
      </w:r>
      <w:r>
        <w:t>https://www.bseindia.com/corporates/corporate_act.aspx</w:t>
        <w:br/>
        <w:t>Corporate-action calendar and details; distinguish proposed and completed actions.</w:t>
      </w:r>
    </w:p>
    <w:p>
      <w:pPr>
        <w:pStyle w:val="ListBullet"/>
        <w:spacing w:after="80"/>
      </w:pPr>
      <w:r>
        <w:rPr>
          <w:b/>
        </w:rPr>
        <w:t xml:space="preserve">SEBI — </w:t>
      </w:r>
      <w:r>
        <w:t>https://www.sebi.gov.in/</w:t>
        <w:br/>
        <w:t>Official regulatory orders, circulars and disclosure requirements.</w:t>
      </w:r>
    </w:p>
    <w:p>
      <w:pPr>
        <w:pStyle w:val="ListBullet"/>
        <w:spacing w:after="80"/>
      </w:pPr>
      <w:r>
        <w:rPr>
          <w:b/>
        </w:rPr>
        <w:t xml:space="preserve">Company investor relations websites — </w:t>
      </w:r>
      <w:r>
        <w:t>Company-specific official IR pages</w:t>
        <w:br/>
        <w:t>Primary source for results, investor presentations, transcripts and guidance; archive original release timestamps.</w:t>
      </w:r>
    </w:p>
    <w:p>
      <w:pPr>
        <w:pStyle w:val="ListBullet"/>
        <w:spacing w:after="80"/>
      </w:pPr>
      <w:r>
        <w:rPr>
          <w:b/>
        </w:rPr>
        <w:t xml:space="preserve">Ministry of Corporate Affairs — </w:t>
      </w:r>
      <w:r>
        <w:t>https://www.mca.gov.in/</w:t>
        <w:br/>
        <w:t>Company registry and selected corporate/legal filings; listed-market coverage may be indirect.</w:t>
      </w:r>
    </w:p>
    <w:p>
      <w:pPr>
        <w:pStyle w:val="ListBullet"/>
        <w:spacing w:after="80"/>
      </w:pPr>
      <w:r>
        <w:rPr>
          <w:b/>
        </w:rPr>
        <w:t xml:space="preserve">CRISIL — </w:t>
      </w:r>
      <w:r>
        <w:t>https://www.crisil.com/</w:t>
        <w:br/>
        <w:t>Credit-rating actions and rationale reports; confirm access and use rights.</w:t>
      </w:r>
    </w:p>
    <w:p>
      <w:pPr>
        <w:pStyle w:val="ListBullet"/>
        <w:spacing w:after="80"/>
      </w:pPr>
      <w:r>
        <w:rPr>
          <w:b/>
        </w:rPr>
        <w:t xml:space="preserve">ICRA — </w:t>
      </w:r>
      <w:r>
        <w:t>https://www.icra.in/</w:t>
        <w:br/>
        <w:t>Credit-rating announcements and reports; map the issuer/instrument correctly.</w:t>
      </w:r>
    </w:p>
    <w:p>
      <w:pPr>
        <w:pStyle w:val="ListBullet"/>
        <w:spacing w:after="80"/>
      </w:pPr>
      <w:r>
        <w:rPr>
          <w:b/>
        </w:rPr>
        <w:t xml:space="preserve">CARE Ratings — </w:t>
      </w:r>
      <w:r>
        <w:t>https://www.careedge.in/</w:t>
        <w:br/>
        <w:t>Credit-rating actions and rationale; verify historical coverage and terms.</w:t>
      </w:r>
    </w:p>
    <w:p>
      <w:pPr>
        <w:pStyle w:val="ListBullet"/>
        <w:spacing w:after="80"/>
      </w:pPr>
      <w:r>
        <w:rPr>
          <w:b/>
        </w:rPr>
        <w:t xml:space="preserve">NSE Data &amp; Analytics — </w:t>
      </w:r>
      <w:r>
        <w:t>https://www.nse.in/static/nse-data-and-analytics/data-information-vending</w:t>
        <w:br/>
        <w:t>Official market-data product and licensing information for event-reaction data.</w:t>
      </w:r>
    </w:p>
    <w:p>
      <w:pPr>
        <w:pStyle w:val="Heading1"/>
      </w:pPr>
      <w:r>
        <w:t>Final Research Caveat</w:t>
      </w:r>
    </w:p>
    <w:p>
      <w:r>
        <w:t>Company news and corporate actions are event-driven and heterogeneous. A positive headline may already be priced in, and a corporate action may create a mechanical price adjustment rather than a genuine gain or loss. Use this document to design clean, timestamped research experiments; only out-of-sample testing can establish whether a feature adds useful predictive information.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Company-Specific News, Corporate Actions &amp; Earnings Events | Research document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