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ptos Display" w:hAnsi="Aptos Display"/>
          <w:b/>
          <w:color w:val="163A5F"/>
          <w:sz w:val="48"/>
        </w:rPr>
        <w:t>ECONOMIC GROWTH &amp;</w:t>
        <w:br/>
        <w:t>BUSINESS CYCLE INDICATORS</w:t>
      </w:r>
    </w:p>
    <w:p>
      <w:pPr>
        <w:jc w:val="center"/>
      </w:pPr>
      <w:r>
        <w:rPr>
          <w:i/>
          <w:sz w:val="26"/>
        </w:rPr>
        <w:t>Research Dimensions for an Indian Stock-Market Prediction Project</w:t>
      </w:r>
    </w:p>
    <w:p>
      <w:pPr>
        <w:jc w:val="center"/>
      </w:pPr>
      <w:r>
        <w:t>Category 6 | Research and feature-engineering plan | 14 October 2026</w:t>
      </w:r>
    </w:p>
    <w:p>
      <w:r>
        <w:t>Purpose: identify candidate economic-activity variables that might add information to predictions of Indian equity returns, direction, or volatility. This is a research plan, not an investment recommendation and not proof that any feature is predictive.</w:t>
      </w:r>
    </w:p>
    <w:p>
      <w:r>
        <w:br w:type="page"/>
      </w:r>
    </w:p>
    <w:p>
      <w:pPr>
        <w:pStyle w:val="Heading1"/>
      </w:pPr>
      <w:r>
        <w:t>1. Executive Summary</w:t>
      </w:r>
    </w:p>
    <w:p>
      <w:r>
        <w:t>Economic-growth indicators describe whether households, businesses, factories, services firms and the wider economy are expanding or slowing. Equity markets may respond to both the level of activity and the change in expectations about activity. Strong growth can support revenue and earnings, but it can also raise inflation or interest-rate expectations; weak growth can hurt earnings, but may sometimes support equities if it leads to easier policy. Therefore, no indicator has a permanently bullish or bearish interpretation.</w:t>
      </w:r>
    </w:p>
    <w:p>
      <w:r>
        <w:t>The research should distinguish leading indicators (which may turn before official output), coincident indicators (which describe current activity) and lagging indicators (which confirm conditions after they have developed). For an investable prediction task, the actual publication timestamp is as important as the observation period.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2"/>
          </w:tcPr>
          <w:p>
            <w:r>
              <w:rPr>
                <w:b/>
                <w:sz w:val="16"/>
              </w:rPr>
              <w:t>Dimension</w:t>
            </w:r>
          </w:p>
        </w:tc>
        <w:tc>
          <w:tcPr>
            <w:tcW w:type="dxa" w:w="2520"/>
            <w:shd w:fill="D9EAF2"/>
          </w:tcPr>
          <w:p>
            <w:r>
              <w:rPr>
                <w:b/>
                <w:sz w:val="16"/>
              </w:rPr>
              <w:t>Candidate measures</w:t>
            </w:r>
          </w:p>
        </w:tc>
        <w:tc>
          <w:tcPr>
            <w:tcW w:type="dxa" w:w="2520"/>
            <w:shd w:fill="D9EAF2"/>
          </w:tcPr>
          <w:p>
            <w:r>
              <w:rPr>
                <w:b/>
                <w:sz w:val="16"/>
              </w:rPr>
              <w:t>Potential channel</w:t>
            </w:r>
          </w:p>
        </w:tc>
        <w:tc>
          <w:tcPr>
            <w:tcW w:type="dxa" w:w="2520"/>
            <w:shd w:fill="D9EAF2"/>
          </w:tcPr>
          <w:p>
            <w:r>
              <w:rPr>
                <w:b/>
                <w:sz w:val="16"/>
              </w:rPr>
              <w:t>Initial priority</w:t>
            </w:r>
          </w:p>
        </w:tc>
      </w:tr>
      <w:tr>
        <w:tc>
          <w:tcPr>
            <w:tcW w:type="dxa" w:w="2520"/>
            <w:vAlign w:val="center"/>
          </w:tcPr>
          <w:p>
            <w:pPr>
              <w:spacing w:after="40"/>
            </w:pPr>
            <w:r>
              <w:rPr>
                <w:sz w:val="16"/>
              </w:rPr>
              <w:t>GDP and national accounts</w:t>
            </w:r>
          </w:p>
        </w:tc>
        <w:tc>
          <w:tcPr>
            <w:tcW w:type="dxa" w:w="2520"/>
            <w:vAlign w:val="center"/>
          </w:tcPr>
          <w:p>
            <w:pPr>
              <w:spacing w:after="40"/>
            </w:pPr>
            <w:r>
              <w:rPr>
                <w:sz w:val="16"/>
              </w:rPr>
              <w:t>Real/nominal GDP growth, GVA, consumption, investment, government spending, exports/imports</w:t>
            </w:r>
          </w:p>
        </w:tc>
        <w:tc>
          <w:tcPr>
            <w:tcW w:type="dxa" w:w="2520"/>
            <w:vAlign w:val="center"/>
          </w:tcPr>
          <w:p>
            <w:pPr>
              <w:spacing w:after="40"/>
            </w:pPr>
            <w:r>
              <w:rPr>
                <w:sz w:val="16"/>
              </w:rPr>
              <w:t>Broad activity, demand and earnings backdrop</w:t>
            </w:r>
          </w:p>
        </w:tc>
        <w:tc>
          <w:tcPr>
            <w:tcW w:type="dxa" w:w="2520"/>
            <w:vAlign w:val="center"/>
          </w:tcPr>
          <w:p>
            <w:pPr>
              <w:spacing w:after="40"/>
            </w:pPr>
            <w:r>
              <w:rPr>
                <w:sz w:val="16"/>
              </w:rPr>
              <w:t>High but low frequency</w:t>
            </w:r>
          </w:p>
        </w:tc>
      </w:tr>
      <w:tr>
        <w:tc>
          <w:tcPr>
            <w:tcW w:type="dxa" w:w="2520"/>
            <w:vAlign w:val="center"/>
          </w:tcPr>
          <w:p>
            <w:pPr>
              <w:spacing w:after="40"/>
            </w:pPr>
            <w:r>
              <w:rPr>
                <w:sz w:val="16"/>
              </w:rPr>
              <w:t>Industrial activity</w:t>
            </w:r>
          </w:p>
        </w:tc>
        <w:tc>
          <w:tcPr>
            <w:tcW w:type="dxa" w:w="2520"/>
            <w:vAlign w:val="center"/>
          </w:tcPr>
          <w:p>
            <w:pPr>
              <w:spacing w:after="40"/>
            </w:pPr>
            <w:r>
              <w:rPr>
                <w:sz w:val="16"/>
              </w:rPr>
              <w:t>IIP overall, manufacturing, mining, electricity; growth and acceleration</w:t>
            </w:r>
          </w:p>
        </w:tc>
        <w:tc>
          <w:tcPr>
            <w:tcW w:type="dxa" w:w="2520"/>
            <w:vAlign w:val="center"/>
          </w:tcPr>
          <w:p>
            <w:pPr>
              <w:spacing w:after="40"/>
            </w:pPr>
            <w:r>
              <w:rPr>
                <w:sz w:val="16"/>
              </w:rPr>
              <w:t>Factory output and cyclically sensitive sectors</w:t>
            </w:r>
          </w:p>
        </w:tc>
        <w:tc>
          <w:tcPr>
            <w:tcW w:type="dxa" w:w="2520"/>
            <w:vAlign w:val="center"/>
          </w:tcPr>
          <w:p>
            <w:pPr>
              <w:spacing w:after="40"/>
            </w:pPr>
            <w:r>
              <w:rPr>
                <w:sz w:val="16"/>
              </w:rPr>
              <w:t>High</w:t>
            </w:r>
          </w:p>
        </w:tc>
      </w:tr>
      <w:tr>
        <w:tc>
          <w:tcPr>
            <w:tcW w:type="dxa" w:w="2520"/>
            <w:vAlign w:val="center"/>
          </w:tcPr>
          <w:p>
            <w:pPr>
              <w:spacing w:after="40"/>
            </w:pPr>
            <w:r>
              <w:rPr>
                <w:sz w:val="16"/>
              </w:rPr>
              <w:t>Business surveys</w:t>
            </w:r>
          </w:p>
        </w:tc>
        <w:tc>
          <w:tcPr>
            <w:tcW w:type="dxa" w:w="2520"/>
            <w:vAlign w:val="center"/>
          </w:tcPr>
          <w:p>
            <w:pPr>
              <w:spacing w:after="40"/>
            </w:pPr>
            <w:r>
              <w:rPr>
                <w:sz w:val="16"/>
              </w:rPr>
              <w:t>Manufacturing/services PMI, new orders, output, employment, input/output prices, backlog</w:t>
            </w:r>
          </w:p>
        </w:tc>
        <w:tc>
          <w:tcPr>
            <w:tcW w:type="dxa" w:w="2520"/>
            <w:vAlign w:val="center"/>
          </w:tcPr>
          <w:p>
            <w:pPr>
              <w:spacing w:after="40"/>
            </w:pPr>
            <w:r>
              <w:rPr>
                <w:sz w:val="16"/>
              </w:rPr>
              <w:t>Timely signal of business momentum</w:t>
            </w:r>
          </w:p>
        </w:tc>
        <w:tc>
          <w:tcPr>
            <w:tcW w:type="dxa" w:w="2520"/>
            <w:vAlign w:val="center"/>
          </w:tcPr>
          <w:p>
            <w:pPr>
              <w:spacing w:after="40"/>
            </w:pPr>
            <w:r>
              <w:rPr>
                <w:sz w:val="16"/>
              </w:rPr>
              <w:t>High</w:t>
            </w:r>
          </w:p>
        </w:tc>
      </w:tr>
      <w:tr>
        <w:tc>
          <w:tcPr>
            <w:tcW w:type="dxa" w:w="2520"/>
            <w:vAlign w:val="center"/>
          </w:tcPr>
          <w:p>
            <w:pPr>
              <w:spacing w:after="40"/>
            </w:pPr>
            <w:r>
              <w:rPr>
                <w:sz w:val="16"/>
              </w:rPr>
              <w:t>Labour market</w:t>
            </w:r>
          </w:p>
        </w:tc>
        <w:tc>
          <w:tcPr>
            <w:tcW w:type="dxa" w:w="2520"/>
            <w:vAlign w:val="center"/>
          </w:tcPr>
          <w:p>
            <w:pPr>
              <w:spacing w:after="40"/>
            </w:pPr>
            <w:r>
              <w:rPr>
                <w:sz w:val="16"/>
              </w:rPr>
              <w:t>Unemployment rate, LFPR, WPR, employment composition</w:t>
            </w:r>
          </w:p>
        </w:tc>
        <w:tc>
          <w:tcPr>
            <w:tcW w:type="dxa" w:w="2520"/>
            <w:vAlign w:val="center"/>
          </w:tcPr>
          <w:p>
            <w:pPr>
              <w:spacing w:after="40"/>
            </w:pPr>
            <w:r>
              <w:rPr>
                <w:sz w:val="16"/>
              </w:rPr>
              <w:t>Household income, demand, wage pressure</w:t>
            </w:r>
          </w:p>
        </w:tc>
        <w:tc>
          <w:tcPr>
            <w:tcW w:type="dxa" w:w="2520"/>
            <w:vAlign w:val="center"/>
          </w:tcPr>
          <w:p>
            <w:pPr>
              <w:spacing w:after="40"/>
            </w:pPr>
            <w:r>
              <w:rPr>
                <w:sz w:val="16"/>
              </w:rPr>
              <w:t>Medium</w:t>
            </w:r>
          </w:p>
        </w:tc>
      </w:tr>
      <w:tr>
        <w:tc>
          <w:tcPr>
            <w:tcW w:type="dxa" w:w="2520"/>
            <w:vAlign w:val="center"/>
          </w:tcPr>
          <w:p>
            <w:pPr>
              <w:spacing w:after="40"/>
            </w:pPr>
            <w:r>
              <w:rPr>
                <w:sz w:val="16"/>
              </w:rPr>
              <w:t>Consumption and demand</w:t>
            </w:r>
          </w:p>
        </w:tc>
        <w:tc>
          <w:tcPr>
            <w:tcW w:type="dxa" w:w="2520"/>
            <w:vAlign w:val="center"/>
          </w:tcPr>
          <w:p>
            <w:pPr>
              <w:spacing w:after="40"/>
            </w:pPr>
            <w:r>
              <w:rPr>
                <w:sz w:val="16"/>
              </w:rPr>
              <w:t>Vehicle sales, GST collections, e-way bills, retail proxies, consumer confidence</w:t>
            </w:r>
          </w:p>
        </w:tc>
        <w:tc>
          <w:tcPr>
            <w:tcW w:type="dxa" w:w="2520"/>
            <w:vAlign w:val="center"/>
          </w:tcPr>
          <w:p>
            <w:pPr>
              <w:spacing w:after="40"/>
            </w:pPr>
            <w:r>
              <w:rPr>
                <w:sz w:val="16"/>
              </w:rPr>
              <w:t>Household spending and tax/transaction activity</w:t>
            </w:r>
          </w:p>
        </w:tc>
        <w:tc>
          <w:tcPr>
            <w:tcW w:type="dxa" w:w="2520"/>
            <w:vAlign w:val="center"/>
          </w:tcPr>
          <w:p>
            <w:pPr>
              <w:spacing w:after="40"/>
            </w:pPr>
            <w:r>
              <w:rPr>
                <w:sz w:val="16"/>
              </w:rPr>
              <w:t>Medium-high; proxy caveats</w:t>
            </w:r>
          </w:p>
        </w:tc>
      </w:tr>
      <w:tr>
        <w:tc>
          <w:tcPr>
            <w:tcW w:type="dxa" w:w="2520"/>
            <w:vAlign w:val="center"/>
          </w:tcPr>
          <w:p>
            <w:pPr>
              <w:spacing w:after="40"/>
            </w:pPr>
            <w:r>
              <w:rPr>
                <w:sz w:val="16"/>
              </w:rPr>
              <w:t>Trade and external demand</w:t>
            </w:r>
          </w:p>
        </w:tc>
        <w:tc>
          <w:tcPr>
            <w:tcW w:type="dxa" w:w="2520"/>
            <w:vAlign w:val="center"/>
          </w:tcPr>
          <w:p>
            <w:pPr>
              <w:spacing w:after="40"/>
            </w:pPr>
            <w:r>
              <w:rPr>
                <w:sz w:val="16"/>
              </w:rPr>
              <w:t>Merchandise exports/imports, trade balance, services exports where available</w:t>
            </w:r>
          </w:p>
        </w:tc>
        <w:tc>
          <w:tcPr>
            <w:tcW w:type="dxa" w:w="2520"/>
            <w:vAlign w:val="center"/>
          </w:tcPr>
          <w:p>
            <w:pPr>
              <w:spacing w:after="40"/>
            </w:pPr>
            <w:r>
              <w:rPr>
                <w:sz w:val="16"/>
              </w:rPr>
              <w:t>Demand, import costs, industrial orders</w:t>
            </w:r>
          </w:p>
        </w:tc>
        <w:tc>
          <w:tcPr>
            <w:tcW w:type="dxa" w:w="2520"/>
            <w:vAlign w:val="center"/>
          </w:tcPr>
          <w:p>
            <w:pPr>
              <w:spacing w:after="40"/>
            </w:pPr>
            <w:r>
              <w:rPr>
                <w:sz w:val="16"/>
              </w:rPr>
              <w:t>Medium</w:t>
            </w:r>
          </w:p>
        </w:tc>
      </w:tr>
      <w:tr>
        <w:tc>
          <w:tcPr>
            <w:tcW w:type="dxa" w:w="2520"/>
            <w:vAlign w:val="center"/>
          </w:tcPr>
          <w:p>
            <w:pPr>
              <w:spacing w:after="40"/>
            </w:pPr>
            <w:r>
              <w:rPr>
                <w:sz w:val="16"/>
              </w:rPr>
              <w:t>Credit and financial activity</w:t>
            </w:r>
          </w:p>
        </w:tc>
        <w:tc>
          <w:tcPr>
            <w:tcW w:type="dxa" w:w="2520"/>
            <w:vAlign w:val="center"/>
          </w:tcPr>
          <w:p>
            <w:pPr>
              <w:spacing w:after="40"/>
            </w:pPr>
            <w:r>
              <w:rPr>
                <w:sz w:val="16"/>
              </w:rPr>
              <w:t>Bank credit growth, deposit growth, credit-to-deposit trends</w:t>
            </w:r>
          </w:p>
        </w:tc>
        <w:tc>
          <w:tcPr>
            <w:tcW w:type="dxa" w:w="2520"/>
            <w:vAlign w:val="center"/>
          </w:tcPr>
          <w:p>
            <w:pPr>
              <w:spacing w:after="40"/>
            </w:pPr>
            <w:r>
              <w:rPr>
                <w:sz w:val="16"/>
              </w:rPr>
              <w:t>Borrowing, spending, business investment and liquidity</w:t>
            </w:r>
          </w:p>
        </w:tc>
        <w:tc>
          <w:tcPr>
            <w:tcW w:type="dxa" w:w="2520"/>
            <w:vAlign w:val="center"/>
          </w:tcPr>
          <w:p>
            <w:pPr>
              <w:spacing w:after="40"/>
            </w:pPr>
            <w:r>
              <w:rPr>
                <w:sz w:val="16"/>
              </w:rPr>
              <w:t>Medium</w:t>
            </w:r>
          </w:p>
        </w:tc>
      </w:tr>
      <w:tr>
        <w:tc>
          <w:tcPr>
            <w:tcW w:type="dxa" w:w="2520"/>
            <w:vAlign w:val="center"/>
          </w:tcPr>
          <w:p>
            <w:pPr>
              <w:spacing w:after="40"/>
            </w:pPr>
            <w:r>
              <w:rPr>
                <w:sz w:val="16"/>
              </w:rPr>
              <w:t>Business-cycle state</w:t>
            </w:r>
          </w:p>
        </w:tc>
        <w:tc>
          <w:tcPr>
            <w:tcW w:type="dxa" w:w="2520"/>
            <w:vAlign w:val="center"/>
          </w:tcPr>
          <w:p>
            <w:pPr>
              <w:spacing w:after="40"/>
            </w:pPr>
            <w:r>
              <w:rPr>
                <w:sz w:val="16"/>
              </w:rPr>
              <w:t>Growth acceleration, diffusion indicators, leading indicators, regime labels</w:t>
            </w:r>
          </w:p>
        </w:tc>
        <w:tc>
          <w:tcPr>
            <w:tcW w:type="dxa" w:w="2520"/>
            <w:vAlign w:val="center"/>
          </w:tcPr>
          <w:p>
            <w:pPr>
              <w:spacing w:after="40"/>
            </w:pPr>
            <w:r>
              <w:rPr>
                <w:sz w:val="16"/>
              </w:rPr>
              <w:t>Whether momentum is improving or deteriorating</w:t>
            </w:r>
          </w:p>
        </w:tc>
        <w:tc>
          <w:tcPr>
            <w:tcW w:type="dxa" w:w="2520"/>
            <w:vAlign w:val="center"/>
          </w:tcPr>
          <w:p>
            <w:pPr>
              <w:spacing w:after="40"/>
            </w:pPr>
            <w:r>
              <w:rPr>
                <w:sz w:val="16"/>
              </w:rPr>
              <w:t>Medium; avoid overfitting</w:t>
            </w:r>
          </w:p>
        </w:tc>
      </w:tr>
    </w:tbl>
    <w:p/>
    <w:p>
      <w:pPr>
        <w:pStyle w:val="Heading1"/>
      </w:pPr>
      <w:r>
        <w:t>2. What This Category Is—and Is Not</w:t>
      </w:r>
    </w:p>
    <w:p>
      <w:r>
        <w:t>This category focuses on real-economy activity and business-cycle conditions. It complements the earlier Macro/Inflation category (prices, inflation and real rates), Global Markets category (international markets, currencies, yields and commodities), Technical/Market category (price-derived features), Fundamental/Company category (reported company financials) and Sentiment category (positioning, flows, news and risk appetite).</w:t>
      </w:r>
    </w:p>
    <w:p>
      <w:r>
        <w:t>Avoid duplicating features without a reason. For example, company revenue growth belongs primarily in company fundamentals; aggregate retail sales or industrial output belongs here. The same underlying economic release may be used in more than one conceptual analysis, but its raw source, release timestamp and transformations should be defined once.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2"/>
          </w:tcPr>
          <w:p>
            <w:r>
              <w:rPr>
                <w:b/>
                <w:sz w:val="16"/>
              </w:rPr>
              <w:t>Indicator type</w:t>
            </w:r>
          </w:p>
        </w:tc>
        <w:tc>
          <w:tcPr>
            <w:tcW w:type="dxa" w:w="2520"/>
            <w:shd w:fill="D9EAF2"/>
          </w:tcPr>
          <w:p>
            <w:r>
              <w:rPr>
                <w:b/>
                <w:sz w:val="16"/>
              </w:rPr>
              <w:t>Meaning</w:t>
            </w:r>
          </w:p>
        </w:tc>
        <w:tc>
          <w:tcPr>
            <w:tcW w:type="dxa" w:w="2520"/>
            <w:shd w:fill="D9EAF2"/>
          </w:tcPr>
          <w:p>
            <w:r>
              <w:rPr>
                <w:b/>
                <w:sz w:val="16"/>
              </w:rPr>
              <w:t>Examples</w:t>
            </w:r>
          </w:p>
        </w:tc>
        <w:tc>
          <w:tcPr>
            <w:tcW w:type="dxa" w:w="2520"/>
            <w:shd w:fill="D9EAF2"/>
          </w:tcPr>
          <w:p>
            <w:r>
              <w:rPr>
                <w:b/>
                <w:sz w:val="16"/>
              </w:rPr>
              <w:t>Use in model</w:t>
            </w:r>
          </w:p>
        </w:tc>
      </w:tr>
      <w:tr>
        <w:tc>
          <w:tcPr>
            <w:tcW w:type="dxa" w:w="2520"/>
            <w:vAlign w:val="center"/>
          </w:tcPr>
          <w:p>
            <w:pPr>
              <w:spacing w:after="40"/>
            </w:pPr>
            <w:r>
              <w:rPr>
                <w:sz w:val="16"/>
              </w:rPr>
              <w:t>Leading</w:t>
            </w:r>
          </w:p>
        </w:tc>
        <w:tc>
          <w:tcPr>
            <w:tcW w:type="dxa" w:w="2520"/>
            <w:vAlign w:val="center"/>
          </w:tcPr>
          <w:p>
            <w:pPr>
              <w:spacing w:after="40"/>
            </w:pPr>
            <w:r>
              <w:rPr>
                <w:sz w:val="16"/>
              </w:rPr>
              <w:t>May change before broad economic output</w:t>
            </w:r>
          </w:p>
        </w:tc>
        <w:tc>
          <w:tcPr>
            <w:tcW w:type="dxa" w:w="2520"/>
            <w:vAlign w:val="center"/>
          </w:tcPr>
          <w:p>
            <w:pPr>
              <w:spacing w:after="40"/>
            </w:pPr>
            <w:r>
              <w:rPr>
                <w:sz w:val="16"/>
              </w:rPr>
              <w:t>PMI new orders, selected leading indicators, credit conditions</w:t>
            </w:r>
          </w:p>
        </w:tc>
        <w:tc>
          <w:tcPr>
            <w:tcW w:type="dxa" w:w="2520"/>
            <w:vAlign w:val="center"/>
          </w:tcPr>
          <w:p>
            <w:pPr>
              <w:spacing w:after="40"/>
            </w:pPr>
            <w:r>
              <w:rPr>
                <w:sz w:val="16"/>
              </w:rPr>
              <w:t>Potential early momentum signal</w:t>
            </w:r>
          </w:p>
        </w:tc>
      </w:tr>
      <w:tr>
        <w:tc>
          <w:tcPr>
            <w:tcW w:type="dxa" w:w="2520"/>
            <w:vAlign w:val="center"/>
          </w:tcPr>
          <w:p>
            <w:pPr>
              <w:spacing w:after="40"/>
            </w:pPr>
            <w:r>
              <w:rPr>
                <w:sz w:val="16"/>
              </w:rPr>
              <w:t>Coincident</w:t>
            </w:r>
          </w:p>
        </w:tc>
        <w:tc>
          <w:tcPr>
            <w:tcW w:type="dxa" w:w="2520"/>
            <w:vAlign w:val="center"/>
          </w:tcPr>
          <w:p>
            <w:pPr>
              <w:spacing w:after="40"/>
            </w:pPr>
            <w:r>
              <w:rPr>
                <w:sz w:val="16"/>
              </w:rPr>
              <w:t>Moves broadly with current activity</w:t>
            </w:r>
          </w:p>
        </w:tc>
        <w:tc>
          <w:tcPr>
            <w:tcW w:type="dxa" w:w="2520"/>
            <w:vAlign w:val="center"/>
          </w:tcPr>
          <w:p>
            <w:pPr>
              <w:spacing w:after="40"/>
            </w:pPr>
            <w:r>
              <w:rPr>
                <w:sz w:val="16"/>
              </w:rPr>
              <w:t>IIP, some consumption and production measures</w:t>
            </w:r>
          </w:p>
        </w:tc>
        <w:tc>
          <w:tcPr>
            <w:tcW w:type="dxa" w:w="2520"/>
            <w:vAlign w:val="center"/>
          </w:tcPr>
          <w:p>
            <w:pPr>
              <w:spacing w:after="40"/>
            </w:pPr>
            <w:r>
              <w:rPr>
                <w:sz w:val="16"/>
              </w:rPr>
              <w:t>Current activity state</w:t>
            </w:r>
          </w:p>
        </w:tc>
      </w:tr>
      <w:tr>
        <w:tc>
          <w:tcPr>
            <w:tcW w:type="dxa" w:w="2520"/>
            <w:vAlign w:val="center"/>
          </w:tcPr>
          <w:p>
            <w:pPr>
              <w:spacing w:after="40"/>
            </w:pPr>
            <w:r>
              <w:rPr>
                <w:sz w:val="16"/>
              </w:rPr>
              <w:t>Lagging</w:t>
            </w:r>
          </w:p>
        </w:tc>
        <w:tc>
          <w:tcPr>
            <w:tcW w:type="dxa" w:w="2520"/>
            <w:vAlign w:val="center"/>
          </w:tcPr>
          <w:p>
            <w:pPr>
              <w:spacing w:after="40"/>
            </w:pPr>
            <w:r>
              <w:rPr>
                <w:sz w:val="16"/>
              </w:rPr>
              <w:t>Often confirms activity after a delay</w:t>
            </w:r>
          </w:p>
        </w:tc>
        <w:tc>
          <w:tcPr>
            <w:tcW w:type="dxa" w:w="2520"/>
            <w:vAlign w:val="center"/>
          </w:tcPr>
          <w:p>
            <w:pPr>
              <w:spacing w:after="40"/>
            </w:pPr>
            <w:r>
              <w:rPr>
                <w:sz w:val="16"/>
              </w:rPr>
              <w:t>Some labour indicators, revised GDP components</w:t>
            </w:r>
          </w:p>
        </w:tc>
        <w:tc>
          <w:tcPr>
            <w:tcW w:type="dxa" w:w="2520"/>
            <w:vAlign w:val="center"/>
          </w:tcPr>
          <w:p>
            <w:pPr>
              <w:spacing w:after="40"/>
            </w:pPr>
            <w:r>
              <w:rPr>
                <w:sz w:val="16"/>
              </w:rPr>
              <w:t>Regime confirmation; limited short-horizon value</w:t>
            </w:r>
          </w:p>
        </w:tc>
      </w:tr>
      <w:tr>
        <w:tc>
          <w:tcPr>
            <w:tcW w:type="dxa" w:w="2520"/>
            <w:vAlign w:val="center"/>
          </w:tcPr>
          <w:p>
            <w:pPr>
              <w:spacing w:after="40"/>
            </w:pPr>
            <w:r>
              <w:rPr>
                <w:sz w:val="16"/>
              </w:rPr>
              <w:t>Survey-based</w:t>
            </w:r>
          </w:p>
        </w:tc>
        <w:tc>
          <w:tcPr>
            <w:tcW w:type="dxa" w:w="2520"/>
            <w:vAlign w:val="center"/>
          </w:tcPr>
          <w:p>
            <w:pPr>
              <w:spacing w:after="40"/>
            </w:pPr>
            <w:r>
              <w:rPr>
                <w:sz w:val="16"/>
              </w:rPr>
              <w:t>Responses about direction/conditions, not direct output volumes</w:t>
            </w:r>
          </w:p>
        </w:tc>
        <w:tc>
          <w:tcPr>
            <w:tcW w:type="dxa" w:w="2520"/>
            <w:vAlign w:val="center"/>
          </w:tcPr>
          <w:p>
            <w:pPr>
              <w:spacing w:after="40"/>
            </w:pPr>
            <w:r>
              <w:rPr>
                <w:sz w:val="16"/>
              </w:rPr>
              <w:t>PMI, business/consumer confidence</w:t>
            </w:r>
          </w:p>
        </w:tc>
        <w:tc>
          <w:tcPr>
            <w:tcW w:type="dxa" w:w="2520"/>
            <w:vAlign w:val="center"/>
          </w:tcPr>
          <w:p>
            <w:pPr>
              <w:spacing w:after="40"/>
            </w:pPr>
            <w:r>
              <w:rPr>
                <w:sz w:val="16"/>
              </w:rPr>
              <w:t>Timely but sentiment-sensitive</w:t>
            </w:r>
          </w:p>
        </w:tc>
      </w:tr>
      <w:tr>
        <w:tc>
          <w:tcPr>
            <w:tcW w:type="dxa" w:w="2520"/>
            <w:vAlign w:val="center"/>
          </w:tcPr>
          <w:p>
            <w:pPr>
              <w:spacing w:after="40"/>
            </w:pPr>
            <w:r>
              <w:rPr>
                <w:sz w:val="16"/>
              </w:rPr>
              <w:t>Administrative/proxy</w:t>
            </w:r>
          </w:p>
        </w:tc>
        <w:tc>
          <w:tcPr>
            <w:tcW w:type="dxa" w:w="2520"/>
            <w:vAlign w:val="center"/>
          </w:tcPr>
          <w:p>
            <w:pPr>
              <w:spacing w:after="40"/>
            </w:pPr>
            <w:r>
              <w:rPr>
                <w:sz w:val="16"/>
              </w:rPr>
              <w:t>Collected through tax, registrations or transactions</w:t>
            </w:r>
          </w:p>
        </w:tc>
        <w:tc>
          <w:tcPr>
            <w:tcW w:type="dxa" w:w="2520"/>
            <w:vAlign w:val="center"/>
          </w:tcPr>
          <w:p>
            <w:pPr>
              <w:spacing w:after="40"/>
            </w:pPr>
            <w:r>
              <w:rPr>
                <w:sz w:val="16"/>
              </w:rPr>
              <w:t>GST collections, vehicle registrations, e-way bills</w:t>
            </w:r>
          </w:p>
        </w:tc>
        <w:tc>
          <w:tcPr>
            <w:tcW w:type="dxa" w:w="2520"/>
            <w:vAlign w:val="center"/>
          </w:tcPr>
          <w:p>
            <w:pPr>
              <w:spacing w:after="40"/>
            </w:pPr>
            <w:r>
              <w:rPr>
                <w:sz w:val="16"/>
              </w:rPr>
              <w:t>Potentially frequent; policy and coverage can distort</w:t>
            </w:r>
          </w:p>
        </w:tc>
      </w:tr>
    </w:tbl>
    <w:p/>
    <w:p>
      <w:pPr>
        <w:pStyle w:val="Heading1"/>
      </w:pPr>
      <w:r>
        <w:t>3. Research Dimension Tree</w:t>
      </w:r>
    </w:p>
    <w:p>
      <w:pPr>
        <w:pStyle w:val="ListBullet"/>
        <w:spacing w:after="40"/>
      </w:pPr>
      <w:r>
        <w:t>3.1 National accounts: real GDP, nominal GDP, GVA, per-capita measures where appropriate, expenditure-side components.</w:t>
      </w:r>
    </w:p>
    <w:p>
      <w:pPr>
        <w:pStyle w:val="ListBullet"/>
        <w:spacing w:after="40"/>
      </w:pPr>
      <w:r>
        <w:t>3.2 Industrial output: IIP total and sub-indices, manufacturing, mining, electricity, capital goods, consumer durables and non-durables.</w:t>
      </w:r>
    </w:p>
    <w:p>
      <w:pPr>
        <w:pStyle w:val="ListBullet"/>
        <w:spacing w:after="40"/>
      </w:pPr>
      <w:r>
        <w:t>3.3 Business surveys: manufacturing PMI, services PMI, composite PMI, new orders, export orders, output, employment, inventories, delivery times and price sub-indices.</w:t>
      </w:r>
    </w:p>
    <w:p>
      <w:pPr>
        <w:pStyle w:val="ListBullet"/>
        <w:spacing w:after="40"/>
      </w:pPr>
      <w:r>
        <w:t>3.4 Labour market: unemployment rate, labour-force participation rate (LFPR), worker-population ratio (WPR), rural/urban and gender/age splits where comparable.</w:t>
      </w:r>
    </w:p>
    <w:p>
      <w:pPr>
        <w:pStyle w:val="ListBullet"/>
        <w:spacing w:after="40"/>
      </w:pPr>
      <w:r>
        <w:t>3.5 Consumption: vehicle sales/registrations, consumer confidence, household expenditure surveys, selected retail and transaction proxies.</w:t>
      </w:r>
    </w:p>
    <w:p>
      <w:pPr>
        <w:pStyle w:val="ListBullet"/>
        <w:spacing w:after="40"/>
      </w:pPr>
      <w:r>
        <w:t>3.6 Government/administrative activity: GST collections, e-way bills, public capital expenditure and selected infrastructure execution measures.</w:t>
      </w:r>
    </w:p>
    <w:p>
      <w:pPr>
        <w:pStyle w:val="ListBullet"/>
        <w:spacing w:after="40"/>
      </w:pPr>
      <w:r>
        <w:t>3.7 Trade and external demand: merchandise exports/imports, trade balance, export mix, import mix and services trade where consistent data are available.</w:t>
      </w:r>
    </w:p>
    <w:p>
      <w:pPr>
        <w:pStyle w:val="ListBullet"/>
        <w:spacing w:after="40"/>
      </w:pPr>
      <w:r>
        <w:t>3.8 Credit and financing: non-food bank credit, sectoral credit, deposit growth, credit/deposit ratio, lending-rate and credit-condition measures.</w:t>
      </w:r>
    </w:p>
    <w:p>
      <w:pPr>
        <w:pStyle w:val="ListBullet"/>
        <w:spacing w:after="40"/>
      </w:pPr>
      <w:r>
        <w:t>3.9 Business-cycle momentum: growth acceleration, trend deviation, diffusion indices, breadth of improving components, recession/slowdown-style flags.</w:t>
      </w:r>
    </w:p>
    <w:p>
      <w:pPr>
        <w:pStyle w:val="ListBullet"/>
        <w:spacing w:after="40"/>
      </w:pPr>
      <w:r>
        <w:t>3.10 Data vintage and release timing: observation period, first release, revisions, methodology changes, seasonal adjustment and source timestamps.</w:t>
      </w:r>
    </w:p>
    <w:p>
      <w:pPr>
        <w:pStyle w:val="Heading1"/>
      </w:pPr>
      <w:r>
        <w:t>4. Economic Mechanisms: How Activity Can Affect Stocks</w:t>
      </w:r>
    </w:p>
    <w:p>
      <w:pPr>
        <w:pStyle w:val="Heading2"/>
      </w:pPr>
      <w:r>
        <w:t>4.1 Growth and earnings</w:t>
      </w:r>
    </w:p>
    <w:p>
      <w:r>
        <w:t>Stronger economic activity can increase product demand, capacity utilisation, pricing power and revenue. The effect differs by sector: banks may respond to credit demand and asset quality; industrial companies to orders and utilisation; consumer companies to household demand; exporters to foreign demand and currency conditions. Markets react to expectations relative to what was already priced in, not only to the published number.</w:t>
      </w:r>
    </w:p>
    <w:p>
      <w:pPr>
        <w:pStyle w:val="Heading2"/>
      </w:pPr>
      <w:r>
        <w:t>4.2 Growth and interest-rate expectations</w:t>
      </w:r>
    </w:p>
    <w:p>
      <w:r>
        <w:t>A stronger growth surprise may lift expected earnings but may also raise expected policy rates or bond yields if it adds inflation pressure. The net equity response depends on the balance between cash-flow expectations and discount rates. This is why a model should test interactions with the Macro/Inflation and Global Markets categories.</w:t>
      </w:r>
    </w:p>
    <w:p>
      <w:pPr>
        <w:pStyle w:val="Heading2"/>
      </w:pPr>
      <w:r>
        <w:t>4.3 Surveys versus official output</w:t>
      </w:r>
    </w:p>
    <w:p>
      <w:r>
        <w:t>PMI and business surveys are often released before full official output data and can reveal direction and breadth. They are survey diffusion measures, not percentage growth rates. A PMI reading above 50 generally indicates expansion relative to the prior month among surveyed firms; it does not mean GDP is growing by that percentage.</w:t>
      </w:r>
    </w:p>
    <w:p>
      <w:pPr>
        <w:pStyle w:val="Heading2"/>
      </w:pPr>
      <w:r>
        <w:t>4.4 Labour, consumption and credit</w:t>
      </w:r>
    </w:p>
    <w:p>
      <w:r>
        <w:t>Employment and income can support consumption, while credit growth can support investment and purchases. However, fast credit growth may also signal leverage or future asset-quality risks. Administrative indicators can be affected by tax rates, compliance, calendar effects, policy changes and changes in survey coverage.</w:t>
      </w:r>
    </w:p>
    <w:p>
      <w:pPr>
        <w:pStyle w:val="Heading2"/>
      </w:pPr>
      <w:r>
        <w:t>4.5 Levels versus surprises</w:t>
      </w:r>
    </w:p>
    <w:p>
      <w:r>
        <w:t>A high reading can be less important than an unexpected improvement or deterioration. Candidate features should include levels, changes, acceleration, and—where a trustworthy pre-release consensus exists—standardised surprises. Surprise data must use the consensus snapshot that existed before publication.</w:t>
      </w:r>
    </w:p>
    <w:p>
      <w:pPr>
        <w:pStyle w:val="Heading1"/>
      </w:pPr>
      <w:r>
        <w:t>5. Raw Data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2"/>
          </w:tcPr>
          <w:p>
            <w:r>
              <w:rPr>
                <w:b/>
                <w:sz w:val="16"/>
              </w:rPr>
              <w:t>Family</w:t>
            </w:r>
          </w:p>
        </w:tc>
        <w:tc>
          <w:tcPr>
            <w:tcW w:type="dxa" w:w="2520"/>
            <w:shd w:fill="D9EAF2"/>
          </w:tcPr>
          <w:p>
            <w:r>
              <w:rPr>
                <w:b/>
                <w:sz w:val="16"/>
              </w:rPr>
              <w:t>Raw fields</w:t>
            </w:r>
          </w:p>
        </w:tc>
        <w:tc>
          <w:tcPr>
            <w:tcW w:type="dxa" w:w="2520"/>
            <w:shd w:fill="D9EAF2"/>
          </w:tcPr>
          <w:p>
            <w:r>
              <w:rPr>
                <w:b/>
                <w:sz w:val="16"/>
              </w:rPr>
              <w:t>Frequency / history</w:t>
            </w:r>
          </w:p>
        </w:tc>
        <w:tc>
          <w:tcPr>
            <w:tcW w:type="dxa" w:w="2520"/>
            <w:shd w:fill="D9EAF2"/>
          </w:tcPr>
          <w:p>
            <w:r>
              <w:rPr>
                <w:b/>
                <w:sz w:val="16"/>
              </w:rPr>
              <w:t>Quality checks</w:t>
            </w:r>
          </w:p>
        </w:tc>
      </w:tr>
      <w:tr>
        <w:tc>
          <w:tcPr>
            <w:tcW w:type="dxa" w:w="2520"/>
            <w:vAlign w:val="center"/>
          </w:tcPr>
          <w:p>
            <w:pPr>
              <w:spacing w:after="40"/>
            </w:pPr>
            <w:r>
              <w:rPr>
                <w:sz w:val="16"/>
              </w:rPr>
              <w:t>GDP / GVA</w:t>
            </w:r>
          </w:p>
        </w:tc>
        <w:tc>
          <w:tcPr>
            <w:tcW w:type="dxa" w:w="2520"/>
            <w:vAlign w:val="center"/>
          </w:tcPr>
          <w:p>
            <w:pPr>
              <w:spacing w:after="40"/>
            </w:pPr>
            <w:r>
              <w:rPr>
                <w:sz w:val="16"/>
              </w:rPr>
              <w:t>Series name, real/nominal flag, value, unit, quarter, fiscal year, release date/time, vintage, revision status</w:t>
            </w:r>
          </w:p>
        </w:tc>
        <w:tc>
          <w:tcPr>
            <w:tcW w:type="dxa" w:w="2520"/>
            <w:vAlign w:val="center"/>
          </w:tcPr>
          <w:p>
            <w:pPr>
              <w:spacing w:after="40"/>
            </w:pPr>
            <w:r>
              <w:rPr>
                <w:sz w:val="16"/>
              </w:rPr>
              <w:t>Quarterly; collect longest consistent history available</w:t>
            </w:r>
          </w:p>
        </w:tc>
        <w:tc>
          <w:tcPr>
            <w:tcW w:type="dxa" w:w="2520"/>
            <w:vAlign w:val="center"/>
          </w:tcPr>
          <w:p>
            <w:pPr>
              <w:spacing w:after="40"/>
            </w:pPr>
            <w:r>
              <w:rPr>
                <w:sz w:val="16"/>
              </w:rPr>
              <w:t>Base-year changes, revisions, fiscal-year vs calendar-year mapping, seasonality</w:t>
            </w:r>
          </w:p>
        </w:tc>
      </w:tr>
      <w:tr>
        <w:tc>
          <w:tcPr>
            <w:tcW w:type="dxa" w:w="2520"/>
            <w:vAlign w:val="center"/>
          </w:tcPr>
          <w:p>
            <w:pPr>
              <w:spacing w:after="40"/>
            </w:pPr>
            <w:r>
              <w:rPr>
                <w:sz w:val="16"/>
              </w:rPr>
              <w:t>IIP</w:t>
            </w:r>
          </w:p>
        </w:tc>
        <w:tc>
          <w:tcPr>
            <w:tcW w:type="dxa" w:w="2520"/>
            <w:vAlign w:val="center"/>
          </w:tcPr>
          <w:p>
            <w:pPr>
              <w:spacing w:after="40"/>
            </w:pPr>
            <w:r>
              <w:rPr>
                <w:sz w:val="16"/>
              </w:rPr>
              <w:t>Index value, sector/use-based group, month, base year, release date/time, provisional/final flag</w:t>
            </w:r>
          </w:p>
        </w:tc>
        <w:tc>
          <w:tcPr>
            <w:tcW w:type="dxa" w:w="2520"/>
            <w:vAlign w:val="center"/>
          </w:tcPr>
          <w:p>
            <w:pPr>
              <w:spacing w:after="40"/>
            </w:pPr>
            <w:r>
              <w:rPr>
                <w:sz w:val="16"/>
              </w:rPr>
              <w:t>Monthly; long history where consistent</w:t>
            </w:r>
          </w:p>
        </w:tc>
        <w:tc>
          <w:tcPr>
            <w:tcW w:type="dxa" w:w="2520"/>
            <w:vAlign w:val="center"/>
          </w:tcPr>
          <w:p>
            <w:pPr>
              <w:spacing w:after="40"/>
            </w:pPr>
            <w:r>
              <w:rPr>
                <w:sz w:val="16"/>
              </w:rPr>
              <w:t>Base-year revisions, classification changes, provisional revisions, seasonal patterns</w:t>
            </w:r>
          </w:p>
        </w:tc>
      </w:tr>
      <w:tr>
        <w:tc>
          <w:tcPr>
            <w:tcW w:type="dxa" w:w="2520"/>
            <w:vAlign w:val="center"/>
          </w:tcPr>
          <w:p>
            <w:pPr>
              <w:spacing w:after="40"/>
            </w:pPr>
            <w:r>
              <w:rPr>
                <w:sz w:val="16"/>
              </w:rPr>
              <w:t>PMI</w:t>
            </w:r>
          </w:p>
        </w:tc>
        <w:tc>
          <w:tcPr>
            <w:tcW w:type="dxa" w:w="2520"/>
            <w:vAlign w:val="center"/>
          </w:tcPr>
          <w:p>
            <w:pPr>
              <w:spacing w:after="40"/>
            </w:pPr>
            <w:r>
              <w:rPr>
                <w:sz w:val="16"/>
              </w:rPr>
              <w:t>Headline index, sub-index, country, sector, survey month, publication timestamp, release type (flash/final)</w:t>
            </w:r>
          </w:p>
        </w:tc>
        <w:tc>
          <w:tcPr>
            <w:tcW w:type="dxa" w:w="2520"/>
            <w:vAlign w:val="center"/>
          </w:tcPr>
          <w:p>
            <w:pPr>
              <w:spacing w:after="40"/>
            </w:pPr>
            <w:r>
              <w:rPr>
                <w:sz w:val="16"/>
              </w:rPr>
              <w:t>Monthly; archive history subject to access</w:t>
            </w:r>
          </w:p>
        </w:tc>
        <w:tc>
          <w:tcPr>
            <w:tcW w:type="dxa" w:w="2520"/>
            <w:vAlign w:val="center"/>
          </w:tcPr>
          <w:p>
            <w:pPr>
              <w:spacing w:after="40"/>
            </w:pPr>
            <w:r>
              <w:rPr>
                <w:sz w:val="16"/>
              </w:rPr>
              <w:t>Flash vs final, release time, methodology and coverage changes</w:t>
            </w:r>
          </w:p>
        </w:tc>
      </w:tr>
      <w:tr>
        <w:tc>
          <w:tcPr>
            <w:tcW w:type="dxa" w:w="2520"/>
            <w:vAlign w:val="center"/>
          </w:tcPr>
          <w:p>
            <w:pPr>
              <w:spacing w:after="40"/>
            </w:pPr>
            <w:r>
              <w:rPr>
                <w:sz w:val="16"/>
              </w:rPr>
              <w:t>PLFS/labour</w:t>
            </w:r>
          </w:p>
        </w:tc>
        <w:tc>
          <w:tcPr>
            <w:tcW w:type="dxa" w:w="2520"/>
            <w:vAlign w:val="center"/>
          </w:tcPr>
          <w:p>
            <w:pPr>
              <w:spacing w:after="40"/>
            </w:pPr>
            <w:r>
              <w:rPr>
                <w:sz w:val="16"/>
              </w:rPr>
              <w:t>UR, LFPR, WPR, reference period, geography, age group, sex, rural/urban, release date</w:t>
            </w:r>
          </w:p>
        </w:tc>
        <w:tc>
          <w:tcPr>
            <w:tcW w:type="dxa" w:w="2520"/>
            <w:vAlign w:val="center"/>
          </w:tcPr>
          <w:p>
            <w:pPr>
              <w:spacing w:after="40"/>
            </w:pPr>
            <w:r>
              <w:rPr>
                <w:sz w:val="16"/>
              </w:rPr>
              <w:t>Monthly/quarterly depending series and methodology</w:t>
            </w:r>
          </w:p>
        </w:tc>
        <w:tc>
          <w:tcPr>
            <w:tcW w:type="dxa" w:w="2520"/>
            <w:vAlign w:val="center"/>
          </w:tcPr>
          <w:p>
            <w:pPr>
              <w:spacing w:after="40"/>
            </w:pPr>
            <w:r>
              <w:rPr>
                <w:sz w:val="16"/>
              </w:rPr>
              <w:t>Methodology breaks, sample design, definitions and comparability</w:t>
            </w:r>
          </w:p>
        </w:tc>
      </w:tr>
      <w:tr>
        <w:tc>
          <w:tcPr>
            <w:tcW w:type="dxa" w:w="2520"/>
            <w:vAlign w:val="center"/>
          </w:tcPr>
          <w:p>
            <w:pPr>
              <w:spacing w:after="40"/>
            </w:pPr>
            <w:r>
              <w:rPr>
                <w:sz w:val="16"/>
              </w:rPr>
              <w:t>Consumption/admin proxies</w:t>
            </w:r>
          </w:p>
        </w:tc>
        <w:tc>
          <w:tcPr>
            <w:tcW w:type="dxa" w:w="2520"/>
            <w:vAlign w:val="center"/>
          </w:tcPr>
          <w:p>
            <w:pPr>
              <w:spacing w:after="40"/>
            </w:pPr>
            <w:r>
              <w:rPr>
                <w:sz w:val="16"/>
              </w:rPr>
              <w:t>Series, value, units, geography, calendar period, publication timestamp</w:t>
            </w:r>
          </w:p>
        </w:tc>
        <w:tc>
          <w:tcPr>
            <w:tcW w:type="dxa" w:w="2520"/>
            <w:vAlign w:val="center"/>
          </w:tcPr>
          <w:p>
            <w:pPr>
              <w:spacing w:after="40"/>
            </w:pPr>
            <w:r>
              <w:rPr>
                <w:sz w:val="16"/>
              </w:rPr>
              <w:t>Monthly or higher-frequency depending source</w:t>
            </w:r>
          </w:p>
        </w:tc>
        <w:tc>
          <w:tcPr>
            <w:tcW w:type="dxa" w:w="2520"/>
            <w:vAlign w:val="center"/>
          </w:tcPr>
          <w:p>
            <w:pPr>
              <w:spacing w:after="40"/>
            </w:pPr>
            <w:r>
              <w:rPr>
                <w:sz w:val="16"/>
              </w:rPr>
              <w:t>Tax/policy changes, festival timing, registrations vs sales, nominal vs real</w:t>
            </w:r>
          </w:p>
        </w:tc>
      </w:tr>
      <w:tr>
        <w:tc>
          <w:tcPr>
            <w:tcW w:type="dxa" w:w="2520"/>
            <w:vAlign w:val="center"/>
          </w:tcPr>
          <w:p>
            <w:pPr>
              <w:spacing w:after="40"/>
            </w:pPr>
            <w:r>
              <w:rPr>
                <w:sz w:val="16"/>
              </w:rPr>
              <w:t>Trade</w:t>
            </w:r>
          </w:p>
        </w:tc>
        <w:tc>
          <w:tcPr>
            <w:tcW w:type="dxa" w:w="2520"/>
            <w:vAlign w:val="center"/>
          </w:tcPr>
          <w:p>
            <w:pPr>
              <w:spacing w:after="40"/>
            </w:pPr>
            <w:r>
              <w:rPr>
                <w:sz w:val="16"/>
              </w:rPr>
              <w:t>Exports, imports, balance, product/category, currency, period, release timestamp</w:t>
            </w:r>
          </w:p>
        </w:tc>
        <w:tc>
          <w:tcPr>
            <w:tcW w:type="dxa" w:w="2520"/>
            <w:vAlign w:val="center"/>
          </w:tcPr>
          <w:p>
            <w:pPr>
              <w:spacing w:after="40"/>
            </w:pPr>
            <w:r>
              <w:rPr>
                <w:sz w:val="16"/>
              </w:rPr>
              <w:t>Monthly</w:t>
            </w:r>
          </w:p>
        </w:tc>
        <w:tc>
          <w:tcPr>
            <w:tcW w:type="dxa" w:w="2520"/>
            <w:vAlign w:val="center"/>
          </w:tcPr>
          <w:p>
            <w:pPr>
              <w:spacing w:after="40"/>
            </w:pPr>
            <w:r>
              <w:rPr>
                <w:sz w:val="16"/>
              </w:rPr>
              <w:t>Revisions, currency units, commodity-price effects, customs classification</w:t>
            </w:r>
          </w:p>
        </w:tc>
      </w:tr>
      <w:tr>
        <w:tc>
          <w:tcPr>
            <w:tcW w:type="dxa" w:w="2520"/>
            <w:vAlign w:val="center"/>
          </w:tcPr>
          <w:p>
            <w:pPr>
              <w:spacing w:after="40"/>
            </w:pPr>
            <w:r>
              <w:rPr>
                <w:sz w:val="16"/>
              </w:rPr>
              <w:t>Credit/deposits</w:t>
            </w:r>
          </w:p>
        </w:tc>
        <w:tc>
          <w:tcPr>
            <w:tcW w:type="dxa" w:w="2520"/>
            <w:vAlign w:val="center"/>
          </w:tcPr>
          <w:p>
            <w:pPr>
              <w:spacing w:after="40"/>
            </w:pPr>
            <w:r>
              <w:rPr>
                <w:sz w:val="16"/>
              </w:rPr>
              <w:t>Outstanding amount, growth rate, sector, reporting date, release date</w:t>
            </w:r>
          </w:p>
        </w:tc>
        <w:tc>
          <w:tcPr>
            <w:tcW w:type="dxa" w:w="2520"/>
            <w:vAlign w:val="center"/>
          </w:tcPr>
          <w:p>
            <w:pPr>
              <w:spacing w:after="40"/>
            </w:pPr>
            <w:r>
              <w:rPr>
                <w:sz w:val="16"/>
              </w:rPr>
              <w:t>Weekly/monthly depending series</w:t>
            </w:r>
          </w:p>
        </w:tc>
        <w:tc>
          <w:tcPr>
            <w:tcW w:type="dxa" w:w="2520"/>
            <w:vAlign w:val="center"/>
          </w:tcPr>
          <w:p>
            <w:pPr>
              <w:spacing w:after="40"/>
            </w:pPr>
            <w:r>
              <w:rPr>
                <w:sz w:val="16"/>
              </w:rPr>
              <w:t>Stock vs flow, reporting dates, definition changes, revisions</w:t>
            </w:r>
          </w:p>
        </w:tc>
      </w:tr>
      <w:tr>
        <w:tc>
          <w:tcPr>
            <w:tcW w:type="dxa" w:w="2520"/>
            <w:vAlign w:val="center"/>
          </w:tcPr>
          <w:p>
            <w:pPr>
              <w:spacing w:after="40"/>
            </w:pPr>
            <w:r>
              <w:rPr>
                <w:sz w:val="16"/>
              </w:rPr>
              <w:t>Consensus/events</w:t>
            </w:r>
          </w:p>
        </w:tc>
        <w:tc>
          <w:tcPr>
            <w:tcW w:type="dxa" w:w="2520"/>
            <w:vAlign w:val="center"/>
          </w:tcPr>
          <w:p>
            <w:pPr>
              <w:spacing w:after="40"/>
            </w:pPr>
            <w:r>
              <w:rPr>
                <w:sz w:val="16"/>
              </w:rPr>
              <w:t>Event ID, prior, consensus snapshot, actual, revision, release timestamp, source</w:t>
            </w:r>
          </w:p>
        </w:tc>
        <w:tc>
          <w:tcPr>
            <w:tcW w:type="dxa" w:w="2520"/>
            <w:vAlign w:val="center"/>
          </w:tcPr>
          <w:p>
            <w:pPr>
              <w:spacing w:after="40"/>
            </w:pPr>
            <w:r>
              <w:rPr>
                <w:sz w:val="16"/>
              </w:rPr>
              <w:t>Event-level</w:t>
            </w:r>
          </w:p>
        </w:tc>
        <w:tc>
          <w:tcPr>
            <w:tcW w:type="dxa" w:w="2520"/>
            <w:vAlign w:val="center"/>
          </w:tcPr>
          <w:p>
            <w:pPr>
              <w:spacing w:after="40"/>
            </w:pPr>
            <w:r>
              <w:rPr>
                <w:sz w:val="16"/>
              </w:rPr>
              <w:t>Consensus capture time, source reliability, surprise definition</w:t>
            </w:r>
          </w:p>
        </w:tc>
      </w:tr>
    </w:tbl>
    <w:p/>
    <w:p>
      <w:r>
        <w:t>Minimum data lineage fields: series_id, observation_period, observation_timestamp, published_at, retrieved_at, source_url, unit, seasonal_adjustment, vintage/revision_id, is_provisional, and methodology_version. Do not rely on a simple date column.</w:t>
      </w:r>
    </w:p>
    <w:p>
      <w:pPr>
        <w:pStyle w:val="Heading1"/>
      </w:pPr>
      <w:r>
        <w:t>6. Candidate Features and Formulas</w:t>
      </w:r>
    </w:p>
    <w:p>
      <w:r>
        <w:t>Let X_t be an indicator's value for period t. The following are candidate transformations. Use only values that were available at the model's prediction time.</w:t>
      </w:r>
    </w:p>
    <w:p>
      <w:pPr>
        <w:pStyle w:val="Heading2"/>
      </w:pPr>
      <w:r>
        <w:t>6.1 Year-over-year and month/quarter changes</w:t>
      </w:r>
    </w:p>
    <w:p>
      <w:pPr>
        <w:pStyle w:val="ListBullet"/>
        <w:spacing w:after="40"/>
      </w:pPr>
      <w:r>
        <w:t>Year-over-year growth: YoY_t = (X_t / X_(t-12) − 1) × 100 for monthly positive-valued indices, or t-4 for quarterly values. Confirm the series and definition before using.</w:t>
      </w:r>
    </w:p>
    <w:p>
      <w:pPr>
        <w:pStyle w:val="ListBullet"/>
        <w:spacing w:after="40"/>
      </w:pPr>
      <w:r>
        <w:t>Month-over-month growth: MoM_t = (X_t / X_(t-1) − 1) × 100. For strongly seasonal series, prefer seasonally adjusted data or interpret carefully.</w:t>
      </w:r>
    </w:p>
    <w:p>
      <w:pPr>
        <w:pStyle w:val="ListBullet"/>
        <w:spacing w:after="40"/>
      </w:pPr>
      <w:r>
        <w:t>Quarter-over-quarter growth: QoQ_t = (X_t / X_(t-1) − 1) × 100. For GDP, use the official seasonally adjusted series if appropriate and available; do not compare raw seasonal quarters as if they were directly comparable.</w:t>
      </w:r>
    </w:p>
    <w:p>
      <w:pPr>
        <w:pStyle w:val="ListBullet"/>
        <w:spacing w:after="40"/>
      </w:pPr>
      <w:r>
        <w:t>Acceleration: accel_t = growth_t − growth_(t-1). This measures whether the growth rate is increasing or decreasing.</w:t>
      </w:r>
    </w:p>
    <w:p>
      <w:pPr>
        <w:pStyle w:val="ListBullet"/>
        <w:spacing w:after="40"/>
      </w:pPr>
      <w:r>
        <w:t>Three-period momentum: momentum_3_t = growth_t − growth_(t-3), using a consistent monthly/quarterly frequency.</w:t>
      </w:r>
    </w:p>
    <w:p>
      <w:pPr>
        <w:pStyle w:val="Heading2"/>
      </w:pPr>
      <w:r>
        <w:t>6.2 Growth surprise</w:t>
      </w:r>
    </w:p>
    <w:p>
      <w:r>
        <w:t>surprise_t = actual_t − consensus_t. Standardised surprise: zsurprise_t = (actual_t − consensus_t) / standard_deviation(historical surprises). Use a consistent unit and a pre-release consensus snapshot. If no reliable consensus history exists, omit this feature rather than fabricate one.</w:t>
      </w:r>
    </w:p>
    <w:p>
      <w:pPr>
        <w:pStyle w:val="Heading2"/>
      </w:pPr>
      <w:r>
        <w:t>6.3 PMI features</w:t>
      </w:r>
    </w:p>
    <w:p>
      <w:pPr>
        <w:pStyle w:val="ListBullet"/>
        <w:spacing w:after="40"/>
      </w:pPr>
      <w:r>
        <w:t>PMI distance from neutral: pmi_gap_t = PMI_t − 50.</w:t>
      </w:r>
    </w:p>
    <w:p>
      <w:pPr>
        <w:pStyle w:val="ListBullet"/>
        <w:spacing w:after="40"/>
      </w:pPr>
      <w:r>
        <w:t>PMI change: pmi_change_t = PMI_t − PMI_(t-1).</w:t>
      </w:r>
    </w:p>
    <w:p>
      <w:pPr>
        <w:pStyle w:val="ListBullet"/>
        <w:spacing w:after="40"/>
      </w:pPr>
      <w:r>
        <w:t>PMI breadth: manufacturing PMI and services PMI can be retained separately; an average composite should only be created with a documented weighting rule.</w:t>
      </w:r>
    </w:p>
    <w:p>
      <w:pPr>
        <w:pStyle w:val="ListBullet"/>
        <w:spacing w:after="40"/>
      </w:pPr>
      <w:r>
        <w:t>New-orders momentum: new_orders_t − new_orders_(t-1), if historical sub-index data are available and comparable.</w:t>
      </w:r>
    </w:p>
    <w:p>
      <w:pPr>
        <w:pStyle w:val="ListBullet"/>
        <w:spacing w:after="40"/>
      </w:pPr>
      <w:r>
        <w:t>Expansion persistence: count of consecutive available readings above 50. Define how missing releases and flash/final revisions are handled.</w:t>
      </w:r>
    </w:p>
    <w:p>
      <w:pPr>
        <w:pStyle w:val="Heading2"/>
      </w:pPr>
      <w:r>
        <w:t>6.4 Labour and consumption features</w:t>
      </w:r>
    </w:p>
    <w:p>
      <w:pPr>
        <w:pStyle w:val="ListBullet"/>
        <w:spacing w:after="40"/>
      </w:pPr>
      <w:r>
        <w:t>Unemployment change: UR_change_t = UR_t − UR_(t-1), in percentage points (not percent change).</w:t>
      </w:r>
    </w:p>
    <w:p>
      <w:pPr>
        <w:pStyle w:val="ListBullet"/>
        <w:spacing w:after="40"/>
      </w:pPr>
      <w:r>
        <w:t>LFPR/WPR change: current rate minus prior comparable rate, keeping the same population definition and survey methodology.</w:t>
      </w:r>
    </w:p>
    <w:p>
      <w:pPr>
        <w:pStyle w:val="ListBullet"/>
        <w:spacing w:after="40"/>
      </w:pPr>
      <w:r>
        <w:t>Vehicle-sales YoY: (units_t / units_(t-12) − 1) × 100; separate two-wheelers, passenger vehicles and commercial vehicles if sector relevance warrants it.</w:t>
      </w:r>
    </w:p>
    <w:p>
      <w:pPr>
        <w:pStyle w:val="ListBullet"/>
        <w:spacing w:after="40"/>
      </w:pPr>
      <w:r>
        <w:t>GST growth: (GST_t / GST_(t-12) − 1) × 100, but flag changes in tax rules, reporting and calendar/festival effects; nominal growth is not the same as real growth.</w:t>
      </w:r>
    </w:p>
    <w:p>
      <w:pPr>
        <w:pStyle w:val="ListBullet"/>
        <w:spacing w:after="40"/>
      </w:pPr>
      <w:r>
        <w:t>Credit growth acceleration: current credit growth rate minus the prior period's rate; distinguish total credit from sectoral credit.</w:t>
      </w:r>
    </w:p>
    <w:p>
      <w:pPr>
        <w:pStyle w:val="Heading2"/>
      </w:pPr>
      <w:r>
        <w:t>6.5 Business-cycle and diffusion features</w:t>
      </w:r>
    </w:p>
    <w:p>
      <w:pPr>
        <w:pStyle w:val="ListBullet"/>
        <w:spacing w:after="40"/>
      </w:pPr>
      <w:r>
        <w:t>Standardised level: z_t = (X_t − training_mean) / training_standard_deviation. Estimate these parameters from training data only.</w:t>
      </w:r>
    </w:p>
    <w:p>
      <w:pPr>
        <w:pStyle w:val="ListBullet"/>
        <w:spacing w:after="40"/>
      </w:pPr>
      <w:r>
        <w:t>Trend deviation: gap_t = X_t − rolling_trend_t. Choose a backward-looking trend method; centred filters use future observations and can leak.</w:t>
      </w:r>
    </w:p>
    <w:p>
      <w:pPr>
        <w:pStyle w:val="ListBullet"/>
        <w:spacing w:after="40"/>
      </w:pPr>
      <w:r>
        <w:t>Diffusion score: share of selected indicators whose growth/momentum improved versus the previous period. Define the indicator set in advance and handle missing data consistently.</w:t>
      </w:r>
    </w:p>
    <w:p>
      <w:pPr>
        <w:pStyle w:val="ListBullet"/>
        <w:spacing w:after="40"/>
      </w:pPr>
      <w:r>
        <w:t>Leading/coincident lag: test X_(t-k) for k values that reflect the release schedule, rather than shifting by arbitrary rows.</w:t>
      </w:r>
    </w:p>
    <w:p>
      <w:pPr>
        <w:pStyle w:val="ListBullet"/>
        <w:spacing w:after="40"/>
      </w:pPr>
      <w:r>
        <w:t>Regime flag: define expansion/slowdown labels from training-only rules or a recognised methodology; avoid using future-confirmed turning points as if they were known in real time.</w:t>
      </w:r>
    </w:p>
    <w:p>
      <w:pPr>
        <w:pStyle w:val="Heading1"/>
      </w:pPr>
      <w:r>
        <w:t>7. Worked Examples (Illustrative Only)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2"/>
          </w:tcPr>
          <w:p>
            <w:r>
              <w:rPr>
                <w:b/>
                <w:sz w:val="16"/>
              </w:rPr>
              <w:t>Example input</w:t>
            </w:r>
          </w:p>
        </w:tc>
        <w:tc>
          <w:tcPr>
            <w:tcW w:type="dxa" w:w="3360"/>
            <w:shd w:fill="D9EAF2"/>
          </w:tcPr>
          <w:p>
            <w:r>
              <w:rPr>
                <w:b/>
                <w:sz w:val="16"/>
              </w:rPr>
              <w:t>Calculation</w:t>
            </w:r>
          </w:p>
        </w:tc>
        <w:tc>
          <w:tcPr>
            <w:tcW w:type="dxa" w:w="3360"/>
            <w:shd w:fill="D9EAF2"/>
          </w:tcPr>
          <w:p>
            <w:r>
              <w:rPr>
                <w:b/>
                <w:sz w:val="16"/>
              </w:rPr>
              <w:t>Interpretation</w:t>
            </w:r>
          </w:p>
        </w:tc>
      </w:tr>
      <w:tr>
        <w:tc>
          <w:tcPr>
            <w:tcW w:type="dxa" w:w="3360"/>
            <w:vAlign w:val="center"/>
          </w:tcPr>
          <w:p>
            <w:pPr>
              <w:spacing w:after="40"/>
            </w:pPr>
            <w:r>
              <w:rPr>
                <w:sz w:val="16"/>
              </w:rPr>
              <w:t>IIP rises from 150 to 153 month-on-month</w:t>
            </w:r>
          </w:p>
        </w:tc>
        <w:tc>
          <w:tcPr>
            <w:tcW w:type="dxa" w:w="3360"/>
            <w:vAlign w:val="center"/>
          </w:tcPr>
          <w:p>
            <w:pPr>
              <w:spacing w:after="40"/>
            </w:pPr>
            <w:r>
              <w:rPr>
                <w:sz w:val="16"/>
              </w:rPr>
              <w:t>(153/150 − 1) × 100 = 2%</w:t>
            </w:r>
          </w:p>
        </w:tc>
        <w:tc>
          <w:tcPr>
            <w:tcW w:type="dxa" w:w="3360"/>
            <w:vAlign w:val="center"/>
          </w:tcPr>
          <w:p>
            <w:pPr>
              <w:spacing w:after="40"/>
            </w:pPr>
            <w:r>
              <w:rPr>
                <w:sz w:val="16"/>
              </w:rPr>
              <w:t>The index level rose 2% from the prior observation; seasonality must be considered.</w:t>
            </w:r>
          </w:p>
        </w:tc>
      </w:tr>
      <w:tr>
        <w:tc>
          <w:tcPr>
            <w:tcW w:type="dxa" w:w="3360"/>
            <w:vAlign w:val="center"/>
          </w:tcPr>
          <w:p>
            <w:pPr>
              <w:spacing w:after="40"/>
            </w:pPr>
            <w:r>
              <w:rPr>
                <w:sz w:val="16"/>
              </w:rPr>
              <w:t>IIP is 153 this month and 147 a year earlier</w:t>
            </w:r>
          </w:p>
        </w:tc>
        <w:tc>
          <w:tcPr>
            <w:tcW w:type="dxa" w:w="3360"/>
            <w:vAlign w:val="center"/>
          </w:tcPr>
          <w:p>
            <w:pPr>
              <w:spacing w:after="40"/>
            </w:pPr>
            <w:r>
              <w:rPr>
                <w:sz w:val="16"/>
              </w:rPr>
              <w:t>(153/147 − 1) × 100 ≈ 4.08%</w:t>
            </w:r>
          </w:p>
        </w:tc>
        <w:tc>
          <w:tcPr>
            <w:tcW w:type="dxa" w:w="3360"/>
            <w:vAlign w:val="center"/>
          </w:tcPr>
          <w:p>
            <w:pPr>
              <w:spacing w:after="40"/>
            </w:pPr>
            <w:r>
              <w:rPr>
                <w:sz w:val="16"/>
              </w:rPr>
              <w:t>Year-over-year index growth is about 4.1%; this is not a direct GDP growth estimate.</w:t>
            </w:r>
          </w:p>
        </w:tc>
      </w:tr>
      <w:tr>
        <w:tc>
          <w:tcPr>
            <w:tcW w:type="dxa" w:w="3360"/>
            <w:vAlign w:val="center"/>
          </w:tcPr>
          <w:p>
            <w:pPr>
              <w:spacing w:after="40"/>
            </w:pPr>
            <w:r>
              <w:rPr>
                <w:sz w:val="16"/>
              </w:rPr>
              <w:t>PMI rises from 51.2 to 53.0</w:t>
            </w:r>
          </w:p>
        </w:tc>
        <w:tc>
          <w:tcPr>
            <w:tcW w:type="dxa" w:w="3360"/>
            <w:vAlign w:val="center"/>
          </w:tcPr>
          <w:p>
            <w:pPr>
              <w:spacing w:after="40"/>
            </w:pPr>
            <w:r>
              <w:rPr>
                <w:sz w:val="16"/>
              </w:rPr>
              <w:t>PMI gap = +3.0; change = +1.8 points</w:t>
            </w:r>
          </w:p>
        </w:tc>
        <w:tc>
          <w:tcPr>
            <w:tcW w:type="dxa" w:w="3360"/>
            <w:vAlign w:val="center"/>
          </w:tcPr>
          <w:p>
            <w:pPr>
              <w:spacing w:after="40"/>
            </w:pPr>
            <w:r>
              <w:rPr>
                <w:sz w:val="16"/>
              </w:rPr>
              <w:t>Survey signals expansion and stronger momentum relative to the previous reading; not 3% or 1.8% output growth.</w:t>
            </w:r>
          </w:p>
        </w:tc>
      </w:tr>
      <w:tr>
        <w:tc>
          <w:tcPr>
            <w:tcW w:type="dxa" w:w="3360"/>
            <w:vAlign w:val="center"/>
          </w:tcPr>
          <w:p>
            <w:pPr>
              <w:spacing w:after="40"/>
            </w:pPr>
            <w:r>
              <w:rPr>
                <w:sz w:val="16"/>
              </w:rPr>
              <w:t>Unemployment rate falls from 5.4% to 5.1%</w:t>
            </w:r>
          </w:p>
        </w:tc>
        <w:tc>
          <w:tcPr>
            <w:tcW w:type="dxa" w:w="3360"/>
            <w:vAlign w:val="center"/>
          </w:tcPr>
          <w:p>
            <w:pPr>
              <w:spacing w:after="40"/>
            </w:pPr>
            <w:r>
              <w:rPr>
                <w:sz w:val="16"/>
              </w:rPr>
              <w:t>5.1 − 5.4 = −0.3 percentage points</w:t>
            </w:r>
          </w:p>
        </w:tc>
        <w:tc>
          <w:tcPr>
            <w:tcW w:type="dxa" w:w="3360"/>
            <w:vAlign w:val="center"/>
          </w:tcPr>
          <w:p>
            <w:pPr>
              <w:spacing w:after="40"/>
            </w:pPr>
            <w:r>
              <w:rPr>
                <w:sz w:val="16"/>
              </w:rPr>
              <w:t>A decrease of 0.3 percentage points, assuming comparable survey definitions.</w:t>
            </w:r>
          </w:p>
        </w:tc>
      </w:tr>
      <w:tr>
        <w:tc>
          <w:tcPr>
            <w:tcW w:type="dxa" w:w="3360"/>
            <w:vAlign w:val="center"/>
          </w:tcPr>
          <w:p>
            <w:pPr>
              <w:spacing w:after="40"/>
            </w:pPr>
            <w:r>
              <w:rPr>
                <w:sz w:val="16"/>
              </w:rPr>
              <w:t>GDP actual growth 7.2%, consensus 6.9%</w:t>
            </w:r>
          </w:p>
        </w:tc>
        <w:tc>
          <w:tcPr>
            <w:tcW w:type="dxa" w:w="3360"/>
            <w:vAlign w:val="center"/>
          </w:tcPr>
          <w:p>
            <w:pPr>
              <w:spacing w:after="40"/>
            </w:pPr>
            <w:r>
              <w:rPr>
                <w:sz w:val="16"/>
              </w:rPr>
              <w:t>Surprise = +0.3 percentage points</w:t>
            </w:r>
          </w:p>
        </w:tc>
        <w:tc>
          <w:tcPr>
            <w:tcW w:type="dxa" w:w="3360"/>
            <w:vAlign w:val="center"/>
          </w:tcPr>
          <w:p>
            <w:pPr>
              <w:spacing w:after="40"/>
            </w:pPr>
            <w:r>
              <w:rPr>
                <w:sz w:val="16"/>
              </w:rPr>
              <w:t>A positive surprise versus consensus; market impact still depends on expectations, components and policy implications.</w:t>
            </w:r>
          </w:p>
        </w:tc>
      </w:tr>
    </w:tbl>
    <w:p/>
    <w:p>
      <w:r>
        <w:t>All numbers in this section are invented examples for teaching the formulas, not current economic readings.</w:t>
      </w:r>
    </w:p>
    <w:p>
      <w:pPr>
        <w:pStyle w:val="Heading1"/>
      </w:pPr>
      <w:r>
        <w:t>8. Candidate Dataset Columns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2"/>
          </w:tcPr>
          <w:p>
            <w:r>
              <w:rPr>
                <w:b/>
                <w:sz w:val="16"/>
              </w:rPr>
              <w:t>Column</w:t>
            </w:r>
          </w:p>
        </w:tc>
        <w:tc>
          <w:tcPr>
            <w:tcW w:type="dxa" w:w="2520"/>
            <w:shd w:fill="D9EAF2"/>
          </w:tcPr>
          <w:p>
            <w:r>
              <w:rPr>
                <w:b/>
                <w:sz w:val="16"/>
              </w:rPr>
              <w:t>Definition</w:t>
            </w:r>
          </w:p>
        </w:tc>
        <w:tc>
          <w:tcPr>
            <w:tcW w:type="dxa" w:w="2520"/>
            <w:shd w:fill="D9EAF2"/>
          </w:tcPr>
          <w:p>
            <w:r>
              <w:rPr>
                <w:b/>
                <w:sz w:val="16"/>
              </w:rPr>
              <w:t>Frequency / lag</w:t>
            </w:r>
          </w:p>
        </w:tc>
        <w:tc>
          <w:tcPr>
            <w:tcW w:type="dxa" w:w="2520"/>
            <w:shd w:fill="D9EAF2"/>
          </w:tcPr>
          <w:p>
            <w:r>
              <w:rPr>
                <w:b/>
                <w:sz w:val="16"/>
              </w:rPr>
              <w:t>Caveat</w:t>
            </w:r>
          </w:p>
        </w:tc>
      </w:tr>
      <w:tr>
        <w:tc>
          <w:tcPr>
            <w:tcW w:type="dxa" w:w="2520"/>
            <w:vAlign w:val="center"/>
          </w:tcPr>
          <w:p>
            <w:pPr>
              <w:spacing w:after="40"/>
            </w:pPr>
            <w:r>
              <w:rPr>
                <w:sz w:val="16"/>
              </w:rPr>
              <w:t>gdp_real_yoy</w:t>
            </w:r>
          </w:p>
        </w:tc>
        <w:tc>
          <w:tcPr>
            <w:tcW w:type="dxa" w:w="2520"/>
            <w:vAlign w:val="center"/>
          </w:tcPr>
          <w:p>
            <w:pPr>
              <w:spacing w:after="40"/>
            </w:pPr>
            <w:r>
              <w:rPr>
                <w:sz w:val="16"/>
              </w:rPr>
              <w:t>Official real GDP YoY growth</w:t>
            </w:r>
          </w:p>
        </w:tc>
        <w:tc>
          <w:tcPr>
            <w:tcW w:type="dxa" w:w="2520"/>
            <w:vAlign w:val="center"/>
          </w:tcPr>
          <w:p>
            <w:pPr>
              <w:spacing w:after="40"/>
            </w:pPr>
            <w:r>
              <w:rPr>
                <w:sz w:val="16"/>
              </w:rPr>
              <w:t>Quarterly; use after release</w:t>
            </w:r>
          </w:p>
        </w:tc>
        <w:tc>
          <w:tcPr>
            <w:tcW w:type="dxa" w:w="2520"/>
            <w:vAlign w:val="center"/>
          </w:tcPr>
          <w:p>
            <w:pPr>
              <w:spacing w:after="40"/>
            </w:pPr>
            <w:r>
              <w:rPr>
                <w:sz w:val="16"/>
              </w:rPr>
              <w:t>Revision and base-year breaks</w:t>
            </w:r>
          </w:p>
        </w:tc>
      </w:tr>
      <w:tr>
        <w:tc>
          <w:tcPr>
            <w:tcW w:type="dxa" w:w="2520"/>
            <w:vAlign w:val="center"/>
          </w:tcPr>
          <w:p>
            <w:pPr>
              <w:spacing w:after="40"/>
            </w:pPr>
            <w:r>
              <w:rPr>
                <w:sz w:val="16"/>
              </w:rPr>
              <w:t>gva_real_yoy</w:t>
            </w:r>
          </w:p>
        </w:tc>
        <w:tc>
          <w:tcPr>
            <w:tcW w:type="dxa" w:w="2520"/>
            <w:vAlign w:val="center"/>
          </w:tcPr>
          <w:p>
            <w:pPr>
              <w:spacing w:after="40"/>
            </w:pPr>
            <w:r>
              <w:rPr>
                <w:sz w:val="16"/>
              </w:rPr>
              <w:t>Real GVA YoY growth</w:t>
            </w:r>
          </w:p>
        </w:tc>
        <w:tc>
          <w:tcPr>
            <w:tcW w:type="dxa" w:w="2520"/>
            <w:vAlign w:val="center"/>
          </w:tcPr>
          <w:p>
            <w:pPr>
              <w:spacing w:after="40"/>
            </w:pPr>
            <w:r>
              <w:rPr>
                <w:sz w:val="16"/>
              </w:rPr>
              <w:t>Quarterly; after release</w:t>
            </w:r>
          </w:p>
        </w:tc>
        <w:tc>
          <w:tcPr>
            <w:tcW w:type="dxa" w:w="2520"/>
            <w:vAlign w:val="center"/>
          </w:tcPr>
          <w:p>
            <w:pPr>
              <w:spacing w:after="40"/>
            </w:pPr>
            <w:r>
              <w:rPr>
                <w:sz w:val="16"/>
              </w:rPr>
              <w:t>Definition and component revisions</w:t>
            </w:r>
          </w:p>
        </w:tc>
      </w:tr>
      <w:tr>
        <w:tc>
          <w:tcPr>
            <w:tcW w:type="dxa" w:w="2520"/>
            <w:vAlign w:val="center"/>
          </w:tcPr>
          <w:p>
            <w:pPr>
              <w:spacing w:after="40"/>
            </w:pPr>
            <w:r>
              <w:rPr>
                <w:sz w:val="16"/>
              </w:rPr>
              <w:t>gdp_growth_accel</w:t>
            </w:r>
          </w:p>
        </w:tc>
        <w:tc>
          <w:tcPr>
            <w:tcW w:type="dxa" w:w="2520"/>
            <w:vAlign w:val="center"/>
          </w:tcPr>
          <w:p>
            <w:pPr>
              <w:spacing w:after="40"/>
            </w:pPr>
            <w:r>
              <w:rPr>
                <w:sz w:val="16"/>
              </w:rPr>
              <w:t>Current GDP growth minus previous comparable GDP growth</w:t>
            </w:r>
          </w:p>
        </w:tc>
        <w:tc>
          <w:tcPr>
            <w:tcW w:type="dxa" w:w="2520"/>
            <w:vAlign w:val="center"/>
          </w:tcPr>
          <w:p>
            <w:pPr>
              <w:spacing w:after="40"/>
            </w:pPr>
            <w:r>
              <w:rPr>
                <w:sz w:val="16"/>
              </w:rPr>
              <w:t>Quarterly</w:t>
            </w:r>
          </w:p>
        </w:tc>
        <w:tc>
          <w:tcPr>
            <w:tcW w:type="dxa" w:w="2520"/>
            <w:vAlign w:val="center"/>
          </w:tcPr>
          <w:p>
            <w:pPr>
              <w:spacing w:after="40"/>
            </w:pPr>
            <w:r>
              <w:rPr>
                <w:sz w:val="16"/>
              </w:rPr>
              <w:t>Use vintage available at each date</w:t>
            </w:r>
          </w:p>
        </w:tc>
      </w:tr>
      <w:tr>
        <w:tc>
          <w:tcPr>
            <w:tcW w:type="dxa" w:w="2520"/>
            <w:vAlign w:val="center"/>
          </w:tcPr>
          <w:p>
            <w:pPr>
              <w:spacing w:after="40"/>
            </w:pPr>
            <w:r>
              <w:rPr>
                <w:sz w:val="16"/>
              </w:rPr>
              <w:t>gdp_cons_surprise</w:t>
            </w:r>
          </w:p>
        </w:tc>
        <w:tc>
          <w:tcPr>
            <w:tcW w:type="dxa" w:w="2520"/>
            <w:vAlign w:val="center"/>
          </w:tcPr>
          <w:p>
            <w:pPr>
              <w:spacing w:after="40"/>
            </w:pPr>
            <w:r>
              <w:rPr>
                <w:sz w:val="16"/>
              </w:rPr>
              <w:t>Actual minus pre-release consensus</w:t>
            </w:r>
          </w:p>
        </w:tc>
        <w:tc>
          <w:tcPr>
            <w:tcW w:type="dxa" w:w="2520"/>
            <w:vAlign w:val="center"/>
          </w:tcPr>
          <w:p>
            <w:pPr>
              <w:spacing w:after="40"/>
            </w:pPr>
            <w:r>
              <w:rPr>
                <w:sz w:val="16"/>
              </w:rPr>
              <w:t>Quarterly event</w:t>
            </w:r>
          </w:p>
        </w:tc>
        <w:tc>
          <w:tcPr>
            <w:tcW w:type="dxa" w:w="2520"/>
            <w:vAlign w:val="center"/>
          </w:tcPr>
          <w:p>
            <w:pPr>
              <w:spacing w:after="40"/>
            </w:pPr>
            <w:r>
              <w:rPr>
                <w:sz w:val="16"/>
              </w:rPr>
              <w:t>Only if historical consensus snapshot is reliable</w:t>
            </w:r>
          </w:p>
        </w:tc>
      </w:tr>
      <w:tr>
        <w:tc>
          <w:tcPr>
            <w:tcW w:type="dxa" w:w="2520"/>
            <w:vAlign w:val="center"/>
          </w:tcPr>
          <w:p>
            <w:pPr>
              <w:spacing w:after="40"/>
            </w:pPr>
            <w:r>
              <w:rPr>
                <w:sz w:val="16"/>
              </w:rPr>
              <w:t>iip_yoy</w:t>
            </w:r>
          </w:p>
        </w:tc>
        <w:tc>
          <w:tcPr>
            <w:tcW w:type="dxa" w:w="2520"/>
            <w:vAlign w:val="center"/>
          </w:tcPr>
          <w:p>
            <w:pPr>
              <w:spacing w:after="40"/>
            </w:pPr>
            <w:r>
              <w:rPr>
                <w:sz w:val="16"/>
              </w:rPr>
              <w:t>IIP YoY growth</w:t>
            </w:r>
          </w:p>
        </w:tc>
        <w:tc>
          <w:tcPr>
            <w:tcW w:type="dxa" w:w="2520"/>
            <w:vAlign w:val="center"/>
          </w:tcPr>
          <w:p>
            <w:pPr>
              <w:spacing w:after="40"/>
            </w:pPr>
            <w:r>
              <w:rPr>
                <w:sz w:val="16"/>
              </w:rPr>
              <w:t>Monthly; after publication</w:t>
            </w:r>
          </w:p>
        </w:tc>
        <w:tc>
          <w:tcPr>
            <w:tcW w:type="dxa" w:w="2520"/>
            <w:vAlign w:val="center"/>
          </w:tcPr>
          <w:p>
            <w:pPr>
              <w:spacing w:after="40"/>
            </w:pPr>
            <w:r>
              <w:rPr>
                <w:sz w:val="16"/>
              </w:rPr>
              <w:t>Provisional revisions/base-year changes</w:t>
            </w:r>
          </w:p>
        </w:tc>
      </w:tr>
      <w:tr>
        <w:tc>
          <w:tcPr>
            <w:tcW w:type="dxa" w:w="2520"/>
            <w:vAlign w:val="center"/>
          </w:tcPr>
          <w:p>
            <w:pPr>
              <w:spacing w:after="40"/>
            </w:pPr>
            <w:r>
              <w:rPr>
                <w:sz w:val="16"/>
              </w:rPr>
              <w:t>iip_mom_sa</w:t>
            </w:r>
          </w:p>
        </w:tc>
        <w:tc>
          <w:tcPr>
            <w:tcW w:type="dxa" w:w="2520"/>
            <w:vAlign w:val="center"/>
          </w:tcPr>
          <w:p>
            <w:pPr>
              <w:spacing w:after="40"/>
            </w:pPr>
            <w:r>
              <w:rPr>
                <w:sz w:val="16"/>
              </w:rPr>
              <w:t>Seasonally adjusted IIP MoM growth</w:t>
            </w:r>
          </w:p>
        </w:tc>
        <w:tc>
          <w:tcPr>
            <w:tcW w:type="dxa" w:w="2520"/>
            <w:vAlign w:val="center"/>
          </w:tcPr>
          <w:p>
            <w:pPr>
              <w:spacing w:after="40"/>
            </w:pPr>
            <w:r>
              <w:rPr>
                <w:sz w:val="16"/>
              </w:rPr>
              <w:t>Monthly if valid SA series exists</w:t>
            </w:r>
          </w:p>
        </w:tc>
        <w:tc>
          <w:tcPr>
            <w:tcW w:type="dxa" w:w="2520"/>
            <w:vAlign w:val="center"/>
          </w:tcPr>
          <w:p>
            <w:pPr>
              <w:spacing w:after="40"/>
            </w:pPr>
            <w:r>
              <w:rPr>
                <w:sz w:val="16"/>
              </w:rPr>
              <w:t>Do not seasonally adjust ad hoc without testing</w:t>
            </w:r>
          </w:p>
        </w:tc>
      </w:tr>
      <w:tr>
        <w:tc>
          <w:tcPr>
            <w:tcW w:type="dxa" w:w="2520"/>
            <w:vAlign w:val="center"/>
          </w:tcPr>
          <w:p>
            <w:pPr>
              <w:spacing w:after="40"/>
            </w:pPr>
            <w:r>
              <w:rPr>
                <w:sz w:val="16"/>
              </w:rPr>
              <w:t>iip_manufacturing_yoy</w:t>
            </w:r>
          </w:p>
        </w:tc>
        <w:tc>
          <w:tcPr>
            <w:tcW w:type="dxa" w:w="2520"/>
            <w:vAlign w:val="center"/>
          </w:tcPr>
          <w:p>
            <w:pPr>
              <w:spacing w:after="40"/>
            </w:pPr>
            <w:r>
              <w:rPr>
                <w:sz w:val="16"/>
              </w:rPr>
              <w:t>Manufacturing IIP YoY growth</w:t>
            </w:r>
          </w:p>
        </w:tc>
        <w:tc>
          <w:tcPr>
            <w:tcW w:type="dxa" w:w="2520"/>
            <w:vAlign w:val="center"/>
          </w:tcPr>
          <w:p>
            <w:pPr>
              <w:spacing w:after="40"/>
            </w:pPr>
            <w:r>
              <w:rPr>
                <w:sz w:val="16"/>
              </w:rPr>
              <w:t>Monthly</w:t>
            </w:r>
          </w:p>
        </w:tc>
        <w:tc>
          <w:tcPr>
            <w:tcW w:type="dxa" w:w="2520"/>
            <w:vAlign w:val="center"/>
          </w:tcPr>
          <w:p>
            <w:pPr>
              <w:spacing w:after="40"/>
            </w:pPr>
            <w:r>
              <w:rPr>
                <w:sz w:val="16"/>
              </w:rPr>
              <w:t>Sector/classification consistency</w:t>
            </w:r>
          </w:p>
        </w:tc>
      </w:tr>
      <w:tr>
        <w:tc>
          <w:tcPr>
            <w:tcW w:type="dxa" w:w="2520"/>
            <w:vAlign w:val="center"/>
          </w:tcPr>
          <w:p>
            <w:pPr>
              <w:spacing w:after="40"/>
            </w:pPr>
            <w:r>
              <w:rPr>
                <w:sz w:val="16"/>
              </w:rPr>
              <w:t>pmi_manufacturing</w:t>
            </w:r>
          </w:p>
        </w:tc>
        <w:tc>
          <w:tcPr>
            <w:tcW w:type="dxa" w:w="2520"/>
            <w:vAlign w:val="center"/>
          </w:tcPr>
          <w:p>
            <w:pPr>
              <w:spacing w:after="40"/>
            </w:pPr>
            <w:r>
              <w:rPr>
                <w:sz w:val="16"/>
              </w:rPr>
              <w:t>Manufacturing PMI level</w:t>
            </w:r>
          </w:p>
        </w:tc>
        <w:tc>
          <w:tcPr>
            <w:tcW w:type="dxa" w:w="2520"/>
            <w:vAlign w:val="center"/>
          </w:tcPr>
          <w:p>
            <w:pPr>
              <w:spacing w:after="40"/>
            </w:pPr>
            <w:r>
              <w:rPr>
                <w:sz w:val="16"/>
              </w:rPr>
              <w:t>Monthly release timestamp</w:t>
            </w:r>
          </w:p>
        </w:tc>
        <w:tc>
          <w:tcPr>
            <w:tcW w:type="dxa" w:w="2520"/>
            <w:vAlign w:val="center"/>
          </w:tcPr>
          <w:p>
            <w:pPr>
              <w:spacing w:after="40"/>
            </w:pPr>
            <w:r>
              <w:rPr>
                <w:sz w:val="16"/>
              </w:rPr>
              <w:t>Flash/final and data access</w:t>
            </w:r>
          </w:p>
        </w:tc>
      </w:tr>
      <w:tr>
        <w:tc>
          <w:tcPr>
            <w:tcW w:type="dxa" w:w="2520"/>
            <w:vAlign w:val="center"/>
          </w:tcPr>
          <w:p>
            <w:pPr>
              <w:spacing w:after="40"/>
            </w:pPr>
            <w:r>
              <w:rPr>
                <w:sz w:val="16"/>
              </w:rPr>
              <w:t>pmi_services</w:t>
            </w:r>
          </w:p>
        </w:tc>
        <w:tc>
          <w:tcPr>
            <w:tcW w:type="dxa" w:w="2520"/>
            <w:vAlign w:val="center"/>
          </w:tcPr>
          <w:p>
            <w:pPr>
              <w:spacing w:after="40"/>
            </w:pPr>
            <w:r>
              <w:rPr>
                <w:sz w:val="16"/>
              </w:rPr>
              <w:t>Services PMI level</w:t>
            </w:r>
          </w:p>
        </w:tc>
        <w:tc>
          <w:tcPr>
            <w:tcW w:type="dxa" w:w="2520"/>
            <w:vAlign w:val="center"/>
          </w:tcPr>
          <w:p>
            <w:pPr>
              <w:spacing w:after="40"/>
            </w:pPr>
            <w:r>
              <w:rPr>
                <w:sz w:val="16"/>
              </w:rPr>
              <w:t>Monthly release timestamp</w:t>
            </w:r>
          </w:p>
        </w:tc>
        <w:tc>
          <w:tcPr>
            <w:tcW w:type="dxa" w:w="2520"/>
            <w:vAlign w:val="center"/>
          </w:tcPr>
          <w:p>
            <w:pPr>
              <w:spacing w:after="40"/>
            </w:pPr>
            <w:r>
              <w:rPr>
                <w:sz w:val="16"/>
              </w:rPr>
              <w:t>Flash/final and data access</w:t>
            </w:r>
          </w:p>
        </w:tc>
      </w:tr>
      <w:tr>
        <w:tc>
          <w:tcPr>
            <w:tcW w:type="dxa" w:w="2520"/>
            <w:vAlign w:val="center"/>
          </w:tcPr>
          <w:p>
            <w:pPr>
              <w:spacing w:after="40"/>
            </w:pPr>
            <w:r>
              <w:rPr>
                <w:sz w:val="16"/>
              </w:rPr>
              <w:t>pmi_composite_gap</w:t>
            </w:r>
          </w:p>
        </w:tc>
        <w:tc>
          <w:tcPr>
            <w:tcW w:type="dxa" w:w="2520"/>
            <w:vAlign w:val="center"/>
          </w:tcPr>
          <w:p>
            <w:pPr>
              <w:spacing w:after="40"/>
            </w:pPr>
            <w:r>
              <w:rPr>
                <w:sz w:val="16"/>
              </w:rPr>
              <w:t>Composite PMI minus 50</w:t>
            </w:r>
          </w:p>
        </w:tc>
        <w:tc>
          <w:tcPr>
            <w:tcW w:type="dxa" w:w="2520"/>
            <w:vAlign w:val="center"/>
          </w:tcPr>
          <w:p>
            <w:pPr>
              <w:spacing w:after="40"/>
            </w:pPr>
            <w:r>
              <w:rPr>
                <w:sz w:val="16"/>
              </w:rPr>
              <w:t>Monthly</w:t>
            </w:r>
          </w:p>
        </w:tc>
        <w:tc>
          <w:tcPr>
            <w:tcW w:type="dxa" w:w="2520"/>
            <w:vAlign w:val="center"/>
          </w:tcPr>
          <w:p>
            <w:pPr>
              <w:spacing w:after="40"/>
            </w:pPr>
            <w:r>
              <w:rPr>
                <w:sz w:val="16"/>
              </w:rPr>
              <w:t>Index is not a growth percentage</w:t>
            </w:r>
          </w:p>
        </w:tc>
      </w:tr>
      <w:tr>
        <w:tc>
          <w:tcPr>
            <w:tcW w:type="dxa" w:w="2520"/>
            <w:vAlign w:val="center"/>
          </w:tcPr>
          <w:p>
            <w:pPr>
              <w:spacing w:after="40"/>
            </w:pPr>
            <w:r>
              <w:rPr>
                <w:sz w:val="16"/>
              </w:rPr>
              <w:t>pmi_new_orders_change</w:t>
            </w:r>
          </w:p>
        </w:tc>
        <w:tc>
          <w:tcPr>
            <w:tcW w:type="dxa" w:w="2520"/>
            <w:vAlign w:val="center"/>
          </w:tcPr>
          <w:p>
            <w:pPr>
              <w:spacing w:after="40"/>
            </w:pPr>
            <w:r>
              <w:rPr>
                <w:sz w:val="16"/>
              </w:rPr>
              <w:t>Change in new-orders sub-index</w:t>
            </w:r>
          </w:p>
        </w:tc>
        <w:tc>
          <w:tcPr>
            <w:tcW w:type="dxa" w:w="2520"/>
            <w:vAlign w:val="center"/>
          </w:tcPr>
          <w:p>
            <w:pPr>
              <w:spacing w:after="40"/>
            </w:pPr>
            <w:r>
              <w:rPr>
                <w:sz w:val="16"/>
              </w:rPr>
              <w:t>Monthly</w:t>
            </w:r>
          </w:p>
        </w:tc>
        <w:tc>
          <w:tcPr>
            <w:tcW w:type="dxa" w:w="2520"/>
            <w:vAlign w:val="center"/>
          </w:tcPr>
          <w:p>
            <w:pPr>
              <w:spacing w:after="40"/>
            </w:pPr>
            <w:r>
              <w:rPr>
                <w:sz w:val="16"/>
              </w:rPr>
              <w:t>Sub-index archive access</w:t>
            </w:r>
          </w:p>
        </w:tc>
      </w:tr>
      <w:tr>
        <w:tc>
          <w:tcPr>
            <w:tcW w:type="dxa" w:w="2520"/>
            <w:vAlign w:val="center"/>
          </w:tcPr>
          <w:p>
            <w:pPr>
              <w:spacing w:after="40"/>
            </w:pPr>
            <w:r>
              <w:rPr>
                <w:sz w:val="16"/>
              </w:rPr>
              <w:t>plfs_ur_change_pp</w:t>
            </w:r>
          </w:p>
        </w:tc>
        <w:tc>
          <w:tcPr>
            <w:tcW w:type="dxa" w:w="2520"/>
            <w:vAlign w:val="center"/>
          </w:tcPr>
          <w:p>
            <w:pPr>
              <w:spacing w:after="40"/>
            </w:pPr>
            <w:r>
              <w:rPr>
                <w:sz w:val="16"/>
              </w:rPr>
              <w:t>Unemployment rate change in percentage points</w:t>
            </w:r>
          </w:p>
        </w:tc>
        <w:tc>
          <w:tcPr>
            <w:tcW w:type="dxa" w:w="2520"/>
            <w:vAlign w:val="center"/>
          </w:tcPr>
          <w:p>
            <w:pPr>
              <w:spacing w:after="40"/>
            </w:pPr>
            <w:r>
              <w:rPr>
                <w:sz w:val="16"/>
              </w:rPr>
              <w:t>Monthly/quarterly series as appropriate</w:t>
            </w:r>
          </w:p>
        </w:tc>
        <w:tc>
          <w:tcPr>
            <w:tcW w:type="dxa" w:w="2520"/>
            <w:vAlign w:val="center"/>
          </w:tcPr>
          <w:p>
            <w:pPr>
              <w:spacing w:after="40"/>
            </w:pPr>
            <w:r>
              <w:rPr>
                <w:sz w:val="16"/>
              </w:rPr>
              <w:t>Survey methodology breaks</w:t>
            </w:r>
          </w:p>
        </w:tc>
      </w:tr>
      <w:tr>
        <w:tc>
          <w:tcPr>
            <w:tcW w:type="dxa" w:w="2520"/>
            <w:vAlign w:val="center"/>
          </w:tcPr>
          <w:p>
            <w:pPr>
              <w:spacing w:after="40"/>
            </w:pPr>
            <w:r>
              <w:rPr>
                <w:sz w:val="16"/>
              </w:rPr>
              <w:t>plfs_lfpr_yoy_change</w:t>
            </w:r>
          </w:p>
        </w:tc>
        <w:tc>
          <w:tcPr>
            <w:tcW w:type="dxa" w:w="2520"/>
            <w:vAlign w:val="center"/>
          </w:tcPr>
          <w:p>
            <w:pPr>
              <w:spacing w:after="40"/>
            </w:pPr>
            <w:r>
              <w:rPr>
                <w:sz w:val="16"/>
              </w:rPr>
              <w:t>LFPR change vs comparable period</w:t>
            </w:r>
          </w:p>
        </w:tc>
        <w:tc>
          <w:tcPr>
            <w:tcW w:type="dxa" w:w="2520"/>
            <w:vAlign w:val="center"/>
          </w:tcPr>
          <w:p>
            <w:pPr>
              <w:spacing w:after="40"/>
            </w:pPr>
            <w:r>
              <w:rPr>
                <w:sz w:val="16"/>
              </w:rPr>
              <w:t>Monthly/quarterly</w:t>
            </w:r>
          </w:p>
        </w:tc>
        <w:tc>
          <w:tcPr>
            <w:tcW w:type="dxa" w:w="2520"/>
            <w:vAlign w:val="center"/>
          </w:tcPr>
          <w:p>
            <w:pPr>
              <w:spacing w:after="40"/>
            </w:pPr>
            <w:r>
              <w:rPr>
                <w:sz w:val="16"/>
              </w:rPr>
              <w:t>Population definition and sample comparability</w:t>
            </w:r>
          </w:p>
        </w:tc>
      </w:tr>
      <w:tr>
        <w:tc>
          <w:tcPr>
            <w:tcW w:type="dxa" w:w="2520"/>
            <w:vAlign w:val="center"/>
          </w:tcPr>
          <w:p>
            <w:pPr>
              <w:spacing w:after="40"/>
            </w:pPr>
            <w:r>
              <w:rPr>
                <w:sz w:val="16"/>
              </w:rPr>
              <w:t>vehicle_sales_yoy</w:t>
            </w:r>
          </w:p>
        </w:tc>
        <w:tc>
          <w:tcPr>
            <w:tcW w:type="dxa" w:w="2520"/>
            <w:vAlign w:val="center"/>
          </w:tcPr>
          <w:p>
            <w:pPr>
              <w:spacing w:after="40"/>
            </w:pPr>
            <w:r>
              <w:rPr>
                <w:sz w:val="16"/>
              </w:rPr>
              <w:t>Selected vehicle category YoY change</w:t>
            </w:r>
          </w:p>
        </w:tc>
        <w:tc>
          <w:tcPr>
            <w:tcW w:type="dxa" w:w="2520"/>
            <w:vAlign w:val="center"/>
          </w:tcPr>
          <w:p>
            <w:pPr>
              <w:spacing w:after="40"/>
            </w:pPr>
            <w:r>
              <w:rPr>
                <w:sz w:val="16"/>
              </w:rPr>
              <w:t>Monthly</w:t>
            </w:r>
          </w:p>
        </w:tc>
        <w:tc>
          <w:tcPr>
            <w:tcW w:type="dxa" w:w="2520"/>
            <w:vAlign w:val="center"/>
          </w:tcPr>
          <w:p>
            <w:pPr>
              <w:spacing w:after="40"/>
            </w:pPr>
            <w:r>
              <w:rPr>
                <w:sz w:val="16"/>
              </w:rPr>
              <w:t>Sales vs registrations; festival/calendar effects</w:t>
            </w:r>
          </w:p>
        </w:tc>
      </w:tr>
      <w:tr>
        <w:tc>
          <w:tcPr>
            <w:tcW w:type="dxa" w:w="2520"/>
            <w:vAlign w:val="center"/>
          </w:tcPr>
          <w:p>
            <w:pPr>
              <w:spacing w:after="40"/>
            </w:pPr>
            <w:r>
              <w:rPr>
                <w:sz w:val="16"/>
              </w:rPr>
              <w:t>gst_collections_yoy</w:t>
            </w:r>
          </w:p>
        </w:tc>
        <w:tc>
          <w:tcPr>
            <w:tcW w:type="dxa" w:w="2520"/>
            <w:vAlign w:val="center"/>
          </w:tcPr>
          <w:p>
            <w:pPr>
              <w:spacing w:after="40"/>
            </w:pPr>
            <w:r>
              <w:rPr>
                <w:sz w:val="16"/>
              </w:rPr>
              <w:t>GST collection YoY growth</w:t>
            </w:r>
          </w:p>
        </w:tc>
        <w:tc>
          <w:tcPr>
            <w:tcW w:type="dxa" w:w="2520"/>
            <w:vAlign w:val="center"/>
          </w:tcPr>
          <w:p>
            <w:pPr>
              <w:spacing w:after="40"/>
            </w:pPr>
            <w:r>
              <w:rPr>
                <w:sz w:val="16"/>
              </w:rPr>
              <w:t>Monthly</w:t>
            </w:r>
          </w:p>
        </w:tc>
        <w:tc>
          <w:tcPr>
            <w:tcW w:type="dxa" w:w="2520"/>
            <w:vAlign w:val="center"/>
          </w:tcPr>
          <w:p>
            <w:pPr>
              <w:spacing w:after="40"/>
            </w:pPr>
            <w:r>
              <w:rPr>
                <w:sz w:val="16"/>
              </w:rPr>
              <w:t>Nominal, tax-policy and compliance effects</w:t>
            </w:r>
          </w:p>
        </w:tc>
      </w:tr>
      <w:tr>
        <w:tc>
          <w:tcPr>
            <w:tcW w:type="dxa" w:w="2520"/>
            <w:vAlign w:val="center"/>
          </w:tcPr>
          <w:p>
            <w:pPr>
              <w:spacing w:after="40"/>
            </w:pPr>
            <w:r>
              <w:rPr>
                <w:sz w:val="16"/>
              </w:rPr>
              <w:t>merch_exports_yoy</w:t>
            </w:r>
          </w:p>
        </w:tc>
        <w:tc>
          <w:tcPr>
            <w:tcW w:type="dxa" w:w="2520"/>
            <w:vAlign w:val="center"/>
          </w:tcPr>
          <w:p>
            <w:pPr>
              <w:spacing w:after="40"/>
            </w:pPr>
            <w:r>
              <w:rPr>
                <w:sz w:val="16"/>
              </w:rPr>
              <w:t>Merchandise exports YoY change</w:t>
            </w:r>
          </w:p>
        </w:tc>
        <w:tc>
          <w:tcPr>
            <w:tcW w:type="dxa" w:w="2520"/>
            <w:vAlign w:val="center"/>
          </w:tcPr>
          <w:p>
            <w:pPr>
              <w:spacing w:after="40"/>
            </w:pPr>
            <w:r>
              <w:rPr>
                <w:sz w:val="16"/>
              </w:rPr>
              <w:t>Monthly</w:t>
            </w:r>
          </w:p>
        </w:tc>
        <w:tc>
          <w:tcPr>
            <w:tcW w:type="dxa" w:w="2520"/>
            <w:vAlign w:val="center"/>
          </w:tcPr>
          <w:p>
            <w:pPr>
              <w:spacing w:after="40"/>
            </w:pPr>
            <w:r>
              <w:rPr>
                <w:sz w:val="16"/>
              </w:rPr>
              <w:t>Prices, currency and revisions</w:t>
            </w:r>
          </w:p>
        </w:tc>
      </w:tr>
      <w:tr>
        <w:tc>
          <w:tcPr>
            <w:tcW w:type="dxa" w:w="2520"/>
            <w:vAlign w:val="center"/>
          </w:tcPr>
          <w:p>
            <w:pPr>
              <w:spacing w:after="40"/>
            </w:pPr>
            <w:r>
              <w:rPr>
                <w:sz w:val="16"/>
              </w:rPr>
              <w:t>trade_balance</w:t>
            </w:r>
          </w:p>
        </w:tc>
        <w:tc>
          <w:tcPr>
            <w:tcW w:type="dxa" w:w="2520"/>
            <w:vAlign w:val="center"/>
          </w:tcPr>
          <w:p>
            <w:pPr>
              <w:spacing w:after="40"/>
            </w:pPr>
            <w:r>
              <w:rPr>
                <w:sz w:val="16"/>
              </w:rPr>
              <w:t>Exports minus imports</w:t>
            </w:r>
          </w:p>
        </w:tc>
        <w:tc>
          <w:tcPr>
            <w:tcW w:type="dxa" w:w="2520"/>
            <w:vAlign w:val="center"/>
          </w:tcPr>
          <w:p>
            <w:pPr>
              <w:spacing w:after="40"/>
            </w:pPr>
            <w:r>
              <w:rPr>
                <w:sz w:val="16"/>
              </w:rPr>
              <w:t>Monthly</w:t>
            </w:r>
          </w:p>
        </w:tc>
        <w:tc>
          <w:tcPr>
            <w:tcW w:type="dxa" w:w="2520"/>
            <w:vAlign w:val="center"/>
          </w:tcPr>
          <w:p>
            <w:pPr>
              <w:spacing w:after="40"/>
            </w:pPr>
            <w:r>
              <w:rPr>
                <w:sz w:val="16"/>
              </w:rPr>
              <w:t>Units and reporting vintage</w:t>
            </w:r>
          </w:p>
        </w:tc>
      </w:tr>
      <w:tr>
        <w:tc>
          <w:tcPr>
            <w:tcW w:type="dxa" w:w="2520"/>
            <w:vAlign w:val="center"/>
          </w:tcPr>
          <w:p>
            <w:pPr>
              <w:spacing w:after="40"/>
            </w:pPr>
            <w:r>
              <w:rPr>
                <w:sz w:val="16"/>
              </w:rPr>
              <w:t>bank_credit_yoy</w:t>
            </w:r>
          </w:p>
        </w:tc>
        <w:tc>
          <w:tcPr>
            <w:tcW w:type="dxa" w:w="2520"/>
            <w:vAlign w:val="center"/>
          </w:tcPr>
          <w:p>
            <w:pPr>
              <w:spacing w:after="40"/>
            </w:pPr>
            <w:r>
              <w:rPr>
                <w:sz w:val="16"/>
              </w:rPr>
              <w:t>Bank credit YoY growth</w:t>
            </w:r>
          </w:p>
        </w:tc>
        <w:tc>
          <w:tcPr>
            <w:tcW w:type="dxa" w:w="2520"/>
            <w:vAlign w:val="center"/>
          </w:tcPr>
          <w:p>
            <w:pPr>
              <w:spacing w:after="40"/>
            </w:pPr>
            <w:r>
              <w:rPr>
                <w:sz w:val="16"/>
              </w:rPr>
              <w:t>Weekly/monthly series</w:t>
            </w:r>
          </w:p>
        </w:tc>
        <w:tc>
          <w:tcPr>
            <w:tcW w:type="dxa" w:w="2520"/>
            <w:vAlign w:val="center"/>
          </w:tcPr>
          <w:p>
            <w:pPr>
              <w:spacing w:after="40"/>
            </w:pPr>
            <w:r>
              <w:rPr>
                <w:sz w:val="16"/>
              </w:rPr>
              <w:t>Outstanding stock growth, not new lending flow</w:t>
            </w:r>
          </w:p>
        </w:tc>
      </w:tr>
      <w:tr>
        <w:tc>
          <w:tcPr>
            <w:tcW w:type="dxa" w:w="2520"/>
            <w:vAlign w:val="center"/>
          </w:tcPr>
          <w:p>
            <w:pPr>
              <w:spacing w:after="40"/>
            </w:pPr>
            <w:r>
              <w:rPr>
                <w:sz w:val="16"/>
              </w:rPr>
              <w:t>bank_deposit_yoy</w:t>
            </w:r>
          </w:p>
        </w:tc>
        <w:tc>
          <w:tcPr>
            <w:tcW w:type="dxa" w:w="2520"/>
            <w:vAlign w:val="center"/>
          </w:tcPr>
          <w:p>
            <w:pPr>
              <w:spacing w:after="40"/>
            </w:pPr>
            <w:r>
              <w:rPr>
                <w:sz w:val="16"/>
              </w:rPr>
              <w:t>Bank deposit YoY growth</w:t>
            </w:r>
          </w:p>
        </w:tc>
        <w:tc>
          <w:tcPr>
            <w:tcW w:type="dxa" w:w="2520"/>
            <w:vAlign w:val="center"/>
          </w:tcPr>
          <w:p>
            <w:pPr>
              <w:spacing w:after="40"/>
            </w:pPr>
            <w:r>
              <w:rPr>
                <w:sz w:val="16"/>
              </w:rPr>
              <w:t>Weekly/monthly series</w:t>
            </w:r>
          </w:p>
        </w:tc>
        <w:tc>
          <w:tcPr>
            <w:tcW w:type="dxa" w:w="2520"/>
            <w:vAlign w:val="center"/>
          </w:tcPr>
          <w:p>
            <w:pPr>
              <w:spacing w:after="40"/>
            </w:pPr>
            <w:r>
              <w:rPr>
                <w:sz w:val="16"/>
              </w:rPr>
              <w:t>Reporting dates and revisions</w:t>
            </w:r>
          </w:p>
        </w:tc>
      </w:tr>
      <w:tr>
        <w:tc>
          <w:tcPr>
            <w:tcW w:type="dxa" w:w="2520"/>
            <w:vAlign w:val="center"/>
          </w:tcPr>
          <w:p>
            <w:pPr>
              <w:spacing w:after="40"/>
            </w:pPr>
            <w:r>
              <w:rPr>
                <w:sz w:val="16"/>
              </w:rPr>
              <w:t>credit_deposit_ratio</w:t>
            </w:r>
          </w:p>
        </w:tc>
        <w:tc>
          <w:tcPr>
            <w:tcW w:type="dxa" w:w="2520"/>
            <w:vAlign w:val="center"/>
          </w:tcPr>
          <w:p>
            <w:pPr>
              <w:spacing w:after="40"/>
            </w:pPr>
            <w:r>
              <w:rPr>
                <w:sz w:val="16"/>
              </w:rPr>
              <w:t>Credit outstanding / deposits outstanding</w:t>
            </w:r>
          </w:p>
        </w:tc>
        <w:tc>
          <w:tcPr>
            <w:tcW w:type="dxa" w:w="2520"/>
            <w:vAlign w:val="center"/>
          </w:tcPr>
          <w:p>
            <w:pPr>
              <w:spacing w:after="40"/>
            </w:pPr>
            <w:r>
              <w:rPr>
                <w:sz w:val="16"/>
              </w:rPr>
              <w:t>As-of reported period</w:t>
            </w:r>
          </w:p>
        </w:tc>
        <w:tc>
          <w:tcPr>
            <w:tcW w:type="dxa" w:w="2520"/>
            <w:vAlign w:val="center"/>
          </w:tcPr>
          <w:p>
            <w:pPr>
              <w:spacing w:after="40"/>
            </w:pPr>
            <w:r>
              <w:rPr>
                <w:sz w:val="16"/>
              </w:rPr>
              <w:t>Interpret with banking-system context</w:t>
            </w:r>
          </w:p>
        </w:tc>
      </w:tr>
      <w:tr>
        <w:tc>
          <w:tcPr>
            <w:tcW w:type="dxa" w:w="2520"/>
            <w:vAlign w:val="center"/>
          </w:tcPr>
          <w:p>
            <w:pPr>
              <w:spacing w:after="40"/>
            </w:pPr>
            <w:r>
              <w:rPr>
                <w:sz w:val="16"/>
              </w:rPr>
              <w:t>activity_diffusion_score</w:t>
            </w:r>
          </w:p>
        </w:tc>
        <w:tc>
          <w:tcPr>
            <w:tcW w:type="dxa" w:w="2520"/>
            <w:vAlign w:val="center"/>
          </w:tcPr>
          <w:p>
            <w:pPr>
              <w:spacing w:after="40"/>
            </w:pPr>
            <w:r>
              <w:rPr>
                <w:sz w:val="16"/>
              </w:rPr>
              <w:t>Share of chosen indicators improving</w:t>
            </w:r>
          </w:p>
        </w:tc>
        <w:tc>
          <w:tcPr>
            <w:tcW w:type="dxa" w:w="2520"/>
            <w:vAlign w:val="center"/>
          </w:tcPr>
          <w:p>
            <w:pPr>
              <w:spacing w:after="40"/>
            </w:pPr>
            <w:r>
              <w:rPr>
                <w:sz w:val="16"/>
              </w:rPr>
              <w:t>Monthly/quarterly</w:t>
            </w:r>
          </w:p>
        </w:tc>
        <w:tc>
          <w:tcPr>
            <w:tcW w:type="dxa" w:w="2520"/>
            <w:vAlign w:val="center"/>
          </w:tcPr>
          <w:p>
            <w:pPr>
              <w:spacing w:after="40"/>
            </w:pPr>
            <w:r>
              <w:rPr>
                <w:sz w:val="16"/>
              </w:rPr>
              <w:t>Freeze components and missing-data rule</w:t>
            </w:r>
          </w:p>
        </w:tc>
      </w:tr>
      <w:tr>
        <w:tc>
          <w:tcPr>
            <w:tcW w:type="dxa" w:w="2520"/>
            <w:vAlign w:val="center"/>
          </w:tcPr>
          <w:p>
            <w:pPr>
              <w:spacing w:after="40"/>
            </w:pPr>
            <w:r>
              <w:rPr>
                <w:sz w:val="16"/>
              </w:rPr>
              <w:t>growth_regime_flag</w:t>
            </w:r>
          </w:p>
        </w:tc>
        <w:tc>
          <w:tcPr>
            <w:tcW w:type="dxa" w:w="2520"/>
            <w:vAlign w:val="center"/>
          </w:tcPr>
          <w:p>
            <w:pPr>
              <w:spacing w:after="40"/>
            </w:pPr>
            <w:r>
              <w:rPr>
                <w:sz w:val="16"/>
              </w:rPr>
              <w:t>Rule-based growth acceleration/slowdown state</w:t>
            </w:r>
          </w:p>
        </w:tc>
        <w:tc>
          <w:tcPr>
            <w:tcW w:type="dxa" w:w="2520"/>
            <w:vAlign w:val="center"/>
          </w:tcPr>
          <w:p>
            <w:pPr>
              <w:spacing w:after="40"/>
            </w:pPr>
            <w:r>
              <w:rPr>
                <w:sz w:val="16"/>
              </w:rPr>
              <w:t>As-of each prediction date</w:t>
            </w:r>
          </w:p>
        </w:tc>
        <w:tc>
          <w:tcPr>
            <w:tcW w:type="dxa" w:w="2520"/>
            <w:vAlign w:val="center"/>
          </w:tcPr>
          <w:p>
            <w:pPr>
              <w:spacing w:after="40"/>
            </w:pPr>
            <w:r>
              <w:rPr>
                <w:sz w:val="16"/>
              </w:rPr>
              <w:t>Must not use future-confirmed turning points</w:t>
            </w:r>
          </w:p>
        </w:tc>
      </w:tr>
    </w:tbl>
    <w:p/>
    <w:p>
      <w:r>
        <w:t>A compact first pass could use IIP YoY, manufacturing PMI, services PMI, a PMI change, vehicle-sales growth, GST growth and bank-credit growth, plus GDP as a low-frequency background feature. Confirm availability, release timing and comparability first.</w:t>
      </w:r>
    </w:p>
    <w:p>
      <w:pPr>
        <w:pStyle w:val="Heading1"/>
      </w:pPr>
      <w:r>
        <w:t>9. Data Sources and Access Comparison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2"/>
          </w:tcPr>
          <w:p>
            <w:r>
              <w:rPr>
                <w:b/>
                <w:sz w:val="16"/>
              </w:rPr>
              <w:t>Source</w:t>
            </w:r>
          </w:p>
        </w:tc>
        <w:tc>
          <w:tcPr>
            <w:tcW w:type="dxa" w:w="2520"/>
            <w:shd w:fill="D9EAF2"/>
          </w:tcPr>
          <w:p>
            <w:r>
              <w:rPr>
                <w:b/>
                <w:sz w:val="16"/>
              </w:rPr>
              <w:t>Best use</w:t>
            </w:r>
          </w:p>
        </w:tc>
        <w:tc>
          <w:tcPr>
            <w:tcW w:type="dxa" w:w="2520"/>
            <w:shd w:fill="D9EAF2"/>
          </w:tcPr>
          <w:p>
            <w:r>
              <w:rPr>
                <w:b/>
                <w:sz w:val="16"/>
              </w:rPr>
              <w:t>Strengths</w:t>
            </w:r>
          </w:p>
        </w:tc>
        <w:tc>
          <w:tcPr>
            <w:tcW w:type="dxa" w:w="2520"/>
            <w:shd w:fill="D9EAF2"/>
          </w:tcPr>
          <w:p>
            <w:r>
              <w:rPr>
                <w:b/>
                <w:sz w:val="16"/>
              </w:rPr>
              <w:t>Limitations / checks</w:t>
            </w:r>
          </w:p>
        </w:tc>
      </w:tr>
      <w:tr>
        <w:tc>
          <w:tcPr>
            <w:tcW w:type="dxa" w:w="2520"/>
            <w:vAlign w:val="center"/>
          </w:tcPr>
          <w:p>
            <w:pPr>
              <w:spacing w:after="40"/>
            </w:pPr>
            <w:r>
              <w:rPr>
                <w:sz w:val="16"/>
              </w:rPr>
              <w:t>MoSPI — https://www.mospi.gov.in/</w:t>
            </w:r>
          </w:p>
        </w:tc>
        <w:tc>
          <w:tcPr>
            <w:tcW w:type="dxa" w:w="2520"/>
            <w:vAlign w:val="center"/>
          </w:tcPr>
          <w:p>
            <w:pPr>
              <w:spacing w:after="40"/>
            </w:pPr>
            <w:r>
              <w:rPr>
                <w:sz w:val="16"/>
              </w:rPr>
              <w:t>GDP/GVA, IIP, PLFS and official statistical releases</w:t>
            </w:r>
          </w:p>
        </w:tc>
        <w:tc>
          <w:tcPr>
            <w:tcW w:type="dxa" w:w="2520"/>
            <w:vAlign w:val="center"/>
          </w:tcPr>
          <w:p>
            <w:pPr>
              <w:spacing w:after="40"/>
            </w:pPr>
            <w:r>
              <w:rPr>
                <w:sz w:val="16"/>
              </w:rPr>
              <w:t>Primary official source; release calendar and press notes; survey and national-accounts methodology</w:t>
            </w:r>
          </w:p>
        </w:tc>
        <w:tc>
          <w:tcPr>
            <w:tcW w:type="dxa" w:w="2520"/>
            <w:vAlign w:val="center"/>
          </w:tcPr>
          <w:p>
            <w:pPr>
              <w:spacing w:after="40"/>
            </w:pPr>
            <w:r>
              <w:rPr>
                <w:sz w:val="16"/>
              </w:rPr>
              <w:t>Historical revisions, base-year changes, formats and release-date mapping require care.</w:t>
            </w:r>
          </w:p>
        </w:tc>
      </w:tr>
      <w:tr>
        <w:tc>
          <w:tcPr>
            <w:tcW w:type="dxa" w:w="2520"/>
            <w:vAlign w:val="center"/>
          </w:tcPr>
          <w:p>
            <w:pPr>
              <w:spacing w:after="40"/>
            </w:pPr>
            <w:r>
              <w:rPr>
                <w:sz w:val="16"/>
              </w:rPr>
              <w:t>MoSPI eSankhyiki — https://esankhyiki.mospi.gov.in/</w:t>
            </w:r>
          </w:p>
        </w:tc>
        <w:tc>
          <w:tcPr>
            <w:tcW w:type="dxa" w:w="2520"/>
            <w:vAlign w:val="center"/>
          </w:tcPr>
          <w:p>
            <w:pPr>
              <w:spacing w:after="40"/>
            </w:pPr>
            <w:r>
              <w:rPr>
                <w:sz w:val="16"/>
              </w:rPr>
              <w:t>Catalogued official datasets and release/reference-period metadata</w:t>
            </w:r>
          </w:p>
        </w:tc>
        <w:tc>
          <w:tcPr>
            <w:tcW w:type="dxa" w:w="2520"/>
            <w:vAlign w:val="center"/>
          </w:tcPr>
          <w:p>
            <w:pPr>
              <w:spacing w:after="40"/>
            </w:pPr>
            <w:r>
              <w:rPr>
                <w:sz w:val="16"/>
              </w:rPr>
              <w:t>Can expose frequency, reference period and release date for individual series</w:t>
            </w:r>
          </w:p>
        </w:tc>
        <w:tc>
          <w:tcPr>
            <w:tcW w:type="dxa" w:w="2520"/>
            <w:vAlign w:val="center"/>
          </w:tcPr>
          <w:p>
            <w:pPr>
              <w:spacing w:after="40"/>
            </w:pPr>
            <w:r>
              <w:rPr>
                <w:sz w:val="16"/>
              </w:rPr>
              <w:t>Check series metadata and table definitions; availability varies by dataset.</w:t>
            </w:r>
          </w:p>
        </w:tc>
      </w:tr>
      <w:tr>
        <w:tc>
          <w:tcPr>
            <w:tcW w:type="dxa" w:w="2520"/>
            <w:vAlign w:val="center"/>
          </w:tcPr>
          <w:p>
            <w:pPr>
              <w:spacing w:after="40"/>
            </w:pPr>
            <w:r>
              <w:rPr>
                <w:sz w:val="16"/>
              </w:rPr>
              <w:t>MoSPI Release Calendar — https://www.mospi.gov.in/release-calendar and https://www.mospi.gov.in/advance-release-calendar</w:t>
            </w:r>
          </w:p>
        </w:tc>
        <w:tc>
          <w:tcPr>
            <w:tcW w:type="dxa" w:w="2520"/>
            <w:vAlign w:val="center"/>
          </w:tcPr>
          <w:p>
            <w:pPr>
              <w:spacing w:after="40"/>
            </w:pPr>
            <w:r>
              <w:rPr>
                <w:sz w:val="16"/>
              </w:rPr>
              <w:t>Scheduled official releases</w:t>
            </w:r>
          </w:p>
        </w:tc>
        <w:tc>
          <w:tcPr>
            <w:tcW w:type="dxa" w:w="2520"/>
            <w:vAlign w:val="center"/>
          </w:tcPr>
          <w:p>
            <w:pPr>
              <w:spacing w:after="40"/>
            </w:pPr>
            <w:r>
              <w:rPr>
                <w:sz w:val="16"/>
              </w:rPr>
              <w:t>Useful for constructing known-in-advance calendar features</w:t>
            </w:r>
          </w:p>
        </w:tc>
        <w:tc>
          <w:tcPr>
            <w:tcW w:type="dxa" w:w="2520"/>
            <w:vAlign w:val="center"/>
          </w:tcPr>
          <w:p>
            <w:pPr>
              <w:spacing w:after="40"/>
            </w:pPr>
            <w:r>
              <w:rPr>
                <w:sz w:val="16"/>
              </w:rPr>
              <w:t>Calendar schedules can change; store actual publication timestamps too.</w:t>
            </w:r>
          </w:p>
        </w:tc>
      </w:tr>
      <w:tr>
        <w:tc>
          <w:tcPr>
            <w:tcW w:type="dxa" w:w="2520"/>
            <w:vAlign w:val="center"/>
          </w:tcPr>
          <w:p>
            <w:pPr>
              <w:spacing w:after="40"/>
            </w:pPr>
            <w:r>
              <w:rPr>
                <w:sz w:val="16"/>
              </w:rPr>
              <w:t>PIB — https://pib.gov.in/</w:t>
            </w:r>
          </w:p>
        </w:tc>
        <w:tc>
          <w:tcPr>
            <w:tcW w:type="dxa" w:w="2520"/>
            <w:vAlign w:val="center"/>
          </w:tcPr>
          <w:p>
            <w:pPr>
              <w:spacing w:after="40"/>
            </w:pPr>
            <w:r>
              <w:rPr>
                <w:sz w:val="16"/>
              </w:rPr>
              <w:t>Official press releases for GDP, labour and related statistics</w:t>
            </w:r>
          </w:p>
        </w:tc>
        <w:tc>
          <w:tcPr>
            <w:tcW w:type="dxa" w:w="2520"/>
            <w:vAlign w:val="center"/>
          </w:tcPr>
          <w:p>
            <w:pPr>
              <w:spacing w:after="40"/>
            </w:pPr>
            <w:r>
              <w:rPr>
                <w:sz w:val="16"/>
              </w:rPr>
              <w:t>Timestamped government release announcements and summaries</w:t>
            </w:r>
          </w:p>
        </w:tc>
        <w:tc>
          <w:tcPr>
            <w:tcW w:type="dxa" w:w="2520"/>
            <w:vAlign w:val="center"/>
          </w:tcPr>
          <w:p>
            <w:pPr>
              <w:spacing w:after="40"/>
            </w:pPr>
            <w:r>
              <w:rPr>
                <w:sz w:val="16"/>
              </w:rPr>
              <w:t>For reproducible modelling, capture the full tables and the release vintage, not only a summary paragraph.</w:t>
            </w:r>
          </w:p>
        </w:tc>
      </w:tr>
      <w:tr>
        <w:tc>
          <w:tcPr>
            <w:tcW w:type="dxa" w:w="2520"/>
            <w:vAlign w:val="center"/>
          </w:tcPr>
          <w:p>
            <w:pPr>
              <w:spacing w:after="40"/>
            </w:pPr>
            <w:r>
              <w:rPr>
                <w:sz w:val="16"/>
              </w:rPr>
              <w:t>S&amp;P Global PMI release calendar — https://pmi.spglobal.com/Public/Release/ReleaseDates</w:t>
            </w:r>
          </w:p>
        </w:tc>
        <w:tc>
          <w:tcPr>
            <w:tcW w:type="dxa" w:w="2520"/>
            <w:vAlign w:val="center"/>
          </w:tcPr>
          <w:p>
            <w:pPr>
              <w:spacing w:after="40"/>
            </w:pPr>
            <w:r>
              <w:rPr>
                <w:sz w:val="16"/>
              </w:rPr>
              <w:t>PMI schedule and release timing</w:t>
            </w:r>
          </w:p>
        </w:tc>
        <w:tc>
          <w:tcPr>
            <w:tcW w:type="dxa" w:w="2520"/>
            <w:vAlign w:val="center"/>
          </w:tcPr>
          <w:p>
            <w:pPr>
              <w:spacing w:after="40"/>
            </w:pPr>
            <w:r>
              <w:rPr>
                <w:sz w:val="16"/>
              </w:rPr>
              <w:t>Shows standard release schedule and times in UTC</w:t>
            </w:r>
          </w:p>
        </w:tc>
        <w:tc>
          <w:tcPr>
            <w:tcW w:type="dxa" w:w="2520"/>
            <w:vAlign w:val="center"/>
          </w:tcPr>
          <w:p>
            <w:pPr>
              <w:spacing w:after="40"/>
            </w:pPr>
            <w:r>
              <w:rPr>
                <w:sz w:val="16"/>
              </w:rPr>
              <w:t>Some detailed series/history may require subscription; verify the specific India series and flash/final status.</w:t>
            </w:r>
          </w:p>
        </w:tc>
      </w:tr>
      <w:tr>
        <w:tc>
          <w:tcPr>
            <w:tcW w:type="dxa" w:w="2520"/>
            <w:vAlign w:val="center"/>
          </w:tcPr>
          <w:p>
            <w:pPr>
              <w:spacing w:after="40"/>
            </w:pPr>
            <w:r>
              <w:rPr>
                <w:sz w:val="16"/>
              </w:rPr>
              <w:t>RBI DBIE — https://dbie.rbi.org.in/</w:t>
            </w:r>
          </w:p>
        </w:tc>
        <w:tc>
          <w:tcPr>
            <w:tcW w:type="dxa" w:w="2520"/>
            <w:vAlign w:val="center"/>
          </w:tcPr>
          <w:p>
            <w:pPr>
              <w:spacing w:after="40"/>
            </w:pPr>
            <w:r>
              <w:rPr>
                <w:sz w:val="16"/>
              </w:rPr>
              <w:t>Credit, deposits, financial conditions and related economic data</w:t>
            </w:r>
          </w:p>
        </w:tc>
        <w:tc>
          <w:tcPr>
            <w:tcW w:type="dxa" w:w="2520"/>
            <w:vAlign w:val="center"/>
          </w:tcPr>
          <w:p>
            <w:pPr>
              <w:spacing w:after="40"/>
            </w:pPr>
            <w:r>
              <w:rPr>
                <w:sz w:val="16"/>
              </w:rPr>
              <w:t>Official central-bank database with broad time-series coverage</w:t>
            </w:r>
          </w:p>
        </w:tc>
        <w:tc>
          <w:tcPr>
            <w:tcW w:type="dxa" w:w="2520"/>
            <w:vAlign w:val="center"/>
          </w:tcPr>
          <w:p>
            <w:pPr>
              <w:spacing w:after="40"/>
            </w:pPr>
            <w:r>
              <w:rPr>
                <w:sz w:val="16"/>
              </w:rPr>
              <w:t>Series definitions and reporting frequencies vary; check metadata and data vintages.</w:t>
            </w:r>
          </w:p>
        </w:tc>
      </w:tr>
      <w:tr>
        <w:tc>
          <w:tcPr>
            <w:tcW w:type="dxa" w:w="2520"/>
            <w:vAlign w:val="center"/>
          </w:tcPr>
          <w:p>
            <w:pPr>
              <w:spacing w:after="40"/>
            </w:pPr>
            <w:r>
              <w:rPr>
                <w:sz w:val="16"/>
              </w:rPr>
              <w:t>Ministry of Commerce / TradeStat — https://tradestat.commerce.gov.in/</w:t>
            </w:r>
          </w:p>
        </w:tc>
        <w:tc>
          <w:tcPr>
            <w:tcW w:type="dxa" w:w="2520"/>
            <w:vAlign w:val="center"/>
          </w:tcPr>
          <w:p>
            <w:pPr>
              <w:spacing w:after="40"/>
            </w:pPr>
            <w:r>
              <w:rPr>
                <w:sz w:val="16"/>
              </w:rPr>
              <w:t>Merchandise trade statistics</w:t>
            </w:r>
          </w:p>
        </w:tc>
        <w:tc>
          <w:tcPr>
            <w:tcW w:type="dxa" w:w="2520"/>
            <w:vAlign w:val="center"/>
          </w:tcPr>
          <w:p>
            <w:pPr>
              <w:spacing w:after="40"/>
            </w:pPr>
            <w:r>
              <w:rPr>
                <w:sz w:val="16"/>
              </w:rPr>
              <w:t>Official trade statistics and detailed categories</w:t>
            </w:r>
          </w:p>
        </w:tc>
        <w:tc>
          <w:tcPr>
            <w:tcW w:type="dxa" w:w="2520"/>
            <w:vAlign w:val="center"/>
          </w:tcPr>
          <w:p>
            <w:pPr>
              <w:spacing w:after="40"/>
            </w:pPr>
            <w:r>
              <w:rPr>
                <w:sz w:val="16"/>
              </w:rPr>
              <w:t>Portal/data formats may vary; revisions and currency/unit conventions matter.</w:t>
            </w:r>
          </w:p>
        </w:tc>
      </w:tr>
      <w:tr>
        <w:tc>
          <w:tcPr>
            <w:tcW w:type="dxa" w:w="2520"/>
            <w:vAlign w:val="center"/>
          </w:tcPr>
          <w:p>
            <w:pPr>
              <w:spacing w:after="40"/>
            </w:pPr>
            <w:r>
              <w:rPr>
                <w:sz w:val="16"/>
              </w:rPr>
              <w:t>Vahan dashboard — https://vahan.parivahan.gov.in/</w:t>
            </w:r>
          </w:p>
        </w:tc>
        <w:tc>
          <w:tcPr>
            <w:tcW w:type="dxa" w:w="2520"/>
            <w:vAlign w:val="center"/>
          </w:tcPr>
          <w:p>
            <w:pPr>
              <w:spacing w:after="40"/>
            </w:pPr>
            <w:r>
              <w:rPr>
                <w:sz w:val="16"/>
              </w:rPr>
              <w:t>Vehicle registration proxy</w:t>
            </w:r>
          </w:p>
        </w:tc>
        <w:tc>
          <w:tcPr>
            <w:tcW w:type="dxa" w:w="2520"/>
            <w:vAlign w:val="center"/>
          </w:tcPr>
          <w:p>
            <w:pPr>
              <w:spacing w:after="40"/>
            </w:pPr>
            <w:r>
              <w:rPr>
                <w:sz w:val="16"/>
              </w:rPr>
              <w:t>High-frequency registrations and category splits may be available</w:t>
            </w:r>
          </w:p>
        </w:tc>
        <w:tc>
          <w:tcPr>
            <w:tcW w:type="dxa" w:w="2520"/>
            <w:vAlign w:val="center"/>
          </w:tcPr>
          <w:p>
            <w:pPr>
              <w:spacing w:after="40"/>
            </w:pPr>
            <w:r>
              <w:rPr>
                <w:sz w:val="16"/>
              </w:rPr>
              <w:t>Registrations are not identical to retail sales; coverage and reporting lag vary.</w:t>
            </w:r>
          </w:p>
        </w:tc>
      </w:tr>
      <w:tr>
        <w:tc>
          <w:tcPr>
            <w:tcW w:type="dxa" w:w="2520"/>
            <w:vAlign w:val="center"/>
          </w:tcPr>
          <w:p>
            <w:pPr>
              <w:spacing w:after="40"/>
            </w:pPr>
            <w:r>
              <w:rPr>
                <w:sz w:val="16"/>
              </w:rPr>
              <w:t>GST Council / official GST releases — https://www.gst.gov.in/</w:t>
            </w:r>
          </w:p>
        </w:tc>
        <w:tc>
          <w:tcPr>
            <w:tcW w:type="dxa" w:w="2520"/>
            <w:vAlign w:val="center"/>
          </w:tcPr>
          <w:p>
            <w:pPr>
              <w:spacing w:after="40"/>
            </w:pPr>
            <w:r>
              <w:rPr>
                <w:sz w:val="16"/>
              </w:rPr>
              <w:t>Monthly GST collection releases and context</w:t>
            </w:r>
          </w:p>
        </w:tc>
        <w:tc>
          <w:tcPr>
            <w:tcW w:type="dxa" w:w="2520"/>
            <w:vAlign w:val="center"/>
          </w:tcPr>
          <w:p>
            <w:pPr>
              <w:spacing w:after="40"/>
            </w:pPr>
            <w:r>
              <w:rPr>
                <w:sz w:val="16"/>
              </w:rPr>
              <w:t>Official tax collection figures</w:t>
            </w:r>
          </w:p>
        </w:tc>
        <w:tc>
          <w:tcPr>
            <w:tcW w:type="dxa" w:w="2520"/>
            <w:vAlign w:val="center"/>
          </w:tcPr>
          <w:p>
            <w:pPr>
              <w:spacing w:after="40"/>
            </w:pPr>
            <w:r>
              <w:rPr>
                <w:sz w:val="16"/>
              </w:rPr>
              <w:t>Nominal collections are affected by rates, compliance, refunds, calendar timing and economic activity.</w:t>
            </w:r>
          </w:p>
        </w:tc>
      </w:tr>
      <w:tr>
        <w:tc>
          <w:tcPr>
            <w:tcW w:type="dxa" w:w="2520"/>
            <w:vAlign w:val="center"/>
          </w:tcPr>
          <w:p>
            <w:pPr>
              <w:spacing w:after="40"/>
            </w:pPr>
            <w:r>
              <w:rPr>
                <w:sz w:val="16"/>
              </w:rPr>
              <w:t>OECD Composite Leading Indicators — https://www.oecd.org/en/data/datasets/oecd-composite-leading-indicators-clis.html</w:t>
            </w:r>
          </w:p>
        </w:tc>
        <w:tc>
          <w:tcPr>
            <w:tcW w:type="dxa" w:w="2520"/>
            <w:vAlign w:val="center"/>
          </w:tcPr>
          <w:p>
            <w:pPr>
              <w:spacing w:after="40"/>
            </w:pPr>
            <w:r>
              <w:rPr>
                <w:sz w:val="16"/>
              </w:rPr>
              <w:t>International business-cycle context and comparison</w:t>
            </w:r>
          </w:p>
        </w:tc>
        <w:tc>
          <w:tcPr>
            <w:tcW w:type="dxa" w:w="2520"/>
            <w:vAlign w:val="center"/>
          </w:tcPr>
          <w:p>
            <w:pPr>
              <w:spacing w:after="40"/>
            </w:pPr>
            <w:r>
              <w:rPr>
                <w:sz w:val="16"/>
              </w:rPr>
              <w:t>Designed to signal turning points relative to trend; metadata and update schedule available</w:t>
            </w:r>
          </w:p>
        </w:tc>
        <w:tc>
          <w:tcPr>
            <w:tcW w:type="dxa" w:w="2520"/>
            <w:vAlign w:val="center"/>
          </w:tcPr>
          <w:p>
            <w:pPr>
              <w:spacing w:after="40"/>
            </w:pPr>
            <w:r>
              <w:rPr>
                <w:sz w:val="16"/>
              </w:rPr>
              <w:t>Qualitative signal rather than a precise GDP forecast; India coverage and frequency should be verified.</w:t>
            </w:r>
          </w:p>
        </w:tc>
      </w:tr>
      <w:tr>
        <w:tc>
          <w:tcPr>
            <w:tcW w:type="dxa" w:w="2520"/>
            <w:vAlign w:val="center"/>
          </w:tcPr>
          <w:p>
            <w:pPr>
              <w:spacing w:after="40"/>
            </w:pPr>
            <w:r>
              <w:rPr>
                <w:sz w:val="16"/>
              </w:rPr>
              <w:t>World Bank Data — https://data.worldbank.org/</w:t>
            </w:r>
          </w:p>
        </w:tc>
        <w:tc>
          <w:tcPr>
            <w:tcW w:type="dxa" w:w="2520"/>
            <w:vAlign w:val="center"/>
          </w:tcPr>
          <w:p>
            <w:pPr>
              <w:spacing w:after="40"/>
            </w:pPr>
            <w:r>
              <w:rPr>
                <w:sz w:val="16"/>
              </w:rPr>
              <w:t>Long-run annual macro comparisons</w:t>
            </w:r>
          </w:p>
        </w:tc>
        <w:tc>
          <w:tcPr>
            <w:tcW w:type="dxa" w:w="2520"/>
            <w:vAlign w:val="center"/>
          </w:tcPr>
          <w:p>
            <w:pPr>
              <w:spacing w:after="40"/>
            </w:pPr>
            <w:r>
              <w:rPr>
                <w:sz w:val="16"/>
              </w:rPr>
              <w:t>Convenient international context and historical annual series</w:t>
            </w:r>
          </w:p>
        </w:tc>
        <w:tc>
          <w:tcPr>
            <w:tcW w:type="dxa" w:w="2520"/>
            <w:vAlign w:val="center"/>
          </w:tcPr>
          <w:p>
            <w:pPr>
              <w:spacing w:after="40"/>
            </w:pPr>
            <w:r>
              <w:rPr>
                <w:sz w:val="16"/>
              </w:rPr>
              <w:t>Many series are annual and published with a lag; usually not sufficient alone for next-session prediction.</w:t>
            </w:r>
          </w:p>
        </w:tc>
      </w:tr>
      <w:tr>
        <w:tc>
          <w:tcPr>
            <w:tcW w:type="dxa" w:w="2520"/>
            <w:vAlign w:val="center"/>
          </w:tcPr>
          <w:p>
            <w:pPr>
              <w:spacing w:after="40"/>
            </w:pPr>
            <w:r>
              <w:rPr>
                <w:sz w:val="16"/>
              </w:rPr>
              <w:t>Third-party API providers</w:t>
            </w:r>
          </w:p>
        </w:tc>
        <w:tc>
          <w:tcPr>
            <w:tcW w:type="dxa" w:w="2520"/>
            <w:vAlign w:val="center"/>
          </w:tcPr>
          <w:p>
            <w:pPr>
              <w:spacing w:after="40"/>
            </w:pPr>
            <w:r>
              <w:rPr>
                <w:sz w:val="16"/>
              </w:rPr>
              <w:t>Convenient programmatic delivery where coverage fits</w:t>
            </w:r>
          </w:p>
        </w:tc>
        <w:tc>
          <w:tcPr>
            <w:tcW w:type="dxa" w:w="2520"/>
            <w:vAlign w:val="center"/>
          </w:tcPr>
          <w:p>
            <w:pPr>
              <w:spacing w:after="40"/>
            </w:pPr>
            <w:r>
              <w:rPr>
                <w:sz w:val="16"/>
              </w:rPr>
              <w:t>Can reduce collection and normalisation effort</w:t>
            </w:r>
          </w:p>
        </w:tc>
        <w:tc>
          <w:tcPr>
            <w:tcW w:type="dxa" w:w="2520"/>
            <w:vAlign w:val="center"/>
          </w:tcPr>
          <w:p>
            <w:pPr>
              <w:spacing w:after="40"/>
            </w:pPr>
            <w:r>
              <w:rPr>
                <w:sz w:val="16"/>
              </w:rPr>
              <w:t>Verify price, API limits, history, revisions, timestamps, coverage, storage rights and commercial use.</w:t>
            </w:r>
          </w:p>
        </w:tc>
      </w:tr>
    </w:tbl>
    <w:p/>
    <w:p>
      <w:r>
        <w:t>A website being publicly viewable does not guarantee an unrestricted API, free bulk download, real-time availability, or permission to redistribute data. Verify the exact series, terms and current access model before building the pipeline.</w:t>
      </w:r>
    </w:p>
    <w:p>
      <w:pPr>
        <w:pStyle w:val="Heading1"/>
      </w:pPr>
      <w:r>
        <w:t>10. Release Timing, Revisions and Leakage</w:t>
      </w:r>
    </w:p>
    <w:p>
      <w:r>
        <w:t>The most important rule: an economic observation must enter the dataset only after it became publicly available. A dataset labelled 'GDP Q1' describes a quarter; it does not imply the figure was known during that quarter.</w:t>
      </w:r>
    </w:p>
    <w:p>
      <w:pPr>
        <w:pStyle w:val="ListBullet"/>
        <w:spacing w:after="40"/>
      </w:pPr>
      <w:r>
        <w:t>Store reference_period separately from published_at and available_at. Record retrieval time and the first-vintage value where possible.</w:t>
      </w:r>
    </w:p>
    <w:p>
      <w:pPr>
        <w:pStyle w:val="ListBullet"/>
        <w:spacing w:after="40"/>
      </w:pPr>
      <w:r>
        <w:t>Use MoSPI's release calendar for planned releases, but log actual publication timestamps from the release itself. Schedules can change.</w:t>
      </w:r>
    </w:p>
    <w:p>
      <w:pPr>
        <w:pStyle w:val="ListBullet"/>
        <w:spacing w:after="40"/>
      </w:pPr>
      <w:r>
        <w:t>Treat GDP and IIP estimates as revisable. If the model is intended to reproduce historical decisions, use first-release vintages where possible instead of today's revised history.</w:t>
      </w:r>
    </w:p>
    <w:p>
      <w:pPr>
        <w:pStyle w:val="ListBullet"/>
        <w:spacing w:after="40"/>
      </w:pPr>
      <w:r>
        <w:t>Keep flash PMI and final PMI as separate events/fields. The flash reading may be available earlier and may be revised by the final release.</w:t>
      </w:r>
    </w:p>
    <w:p>
      <w:pPr>
        <w:pStyle w:val="ListBullet"/>
        <w:spacing w:after="40"/>
      </w:pPr>
      <w:r>
        <w:t>Do not use consensus values retrieved after a release to compute historical surprises. The consensus snapshot must be timestamped before publication.</w:t>
      </w:r>
    </w:p>
    <w:p>
      <w:pPr>
        <w:pStyle w:val="ListBullet"/>
        <w:spacing w:after="40"/>
      </w:pPr>
      <w:r>
        <w:t>Do not use future-confirmed business-cycle turning points as labels available in real time. A turning point can only be identified retrospectively unless a real-time rule is specified.</w:t>
      </w:r>
    </w:p>
    <w:p>
      <w:pPr>
        <w:pStyle w:val="ListBullet"/>
        <w:spacing w:after="40"/>
      </w:pPr>
      <w:r>
        <w:t>Use backward-looking rolling windows. Centred moving averages, two-sided filters and full-sample standardisation can introduce future information.</w:t>
      </w:r>
    </w:p>
    <w:p>
      <w:pPr>
        <w:pStyle w:val="ListBullet"/>
        <w:spacing w:after="40"/>
      </w:pPr>
      <w:r>
        <w:t>Align monthly data by publication date, not by assigning the monthly value to every day in the month it describes.</w:t>
      </w:r>
    </w:p>
    <w:p>
      <w:pPr>
        <w:pStyle w:val="ListBullet"/>
        <w:spacing w:after="40"/>
      </w:pPr>
      <w:r>
        <w:t>Handle weekends, Indian holidays, global holidays, fiscal-year boundaries, leap years and changes in survey or index methodology.</w:t>
      </w:r>
    </w:p>
    <w:p>
      <w:pPr>
        <w:pStyle w:val="ListBullet"/>
        <w:spacing w:after="40"/>
      </w:pPr>
      <w:r>
        <w:t>Use chronological splits and walk-forward evaluation; random row shuffling can leak temporal structure.</w:t>
      </w:r>
    </w:p>
    <w:p>
      <w:pPr>
        <w:pStyle w:val="Heading2"/>
      </w:pPr>
      <w:r>
        <w:t>10.1 Example</w:t>
      </w:r>
    </w:p>
    <w:p>
      <w:r>
        <w:t>Suppose the GDP estimate for April–June is published on 31 August. A model predicting Indian stocks on 15 July cannot use that GDP estimate, even though the estimate refers to April–June. It may use the latest GDP vintage published before 15 July, along with any other economic releases already available by that prediction timestamp.</w:t>
      </w:r>
    </w:p>
    <w:p>
      <w:pPr>
        <w:pStyle w:val="Heading2"/>
      </w:pPr>
      <w:r>
        <w:t>10.2 Suggested vintage-aware schema</w:t>
      </w:r>
    </w:p>
    <w:tbl>
      <w:tblPr>
        <w:tblStyle w:val="TableGrid"/>
        <w:tblW w:type="auto" w:w="0"/>
        <w:jc w:val="center"/>
        <w:tblLook w:firstColumn="1" w:firstRow="1" w:lastColumn="0" w:lastRow="0" w:noHBand="0" w:noVBand="1" w:val="04A0"/>
      </w:tblPr>
      <w:tblGrid>
        <w:gridCol w:w="5040"/>
        <w:gridCol w:w="5040"/>
      </w:tblGrid>
      <w:tr>
        <w:tc>
          <w:tcPr>
            <w:tcW w:type="dxa" w:w="5040"/>
            <w:shd w:fill="D9EAF2"/>
          </w:tcPr>
          <w:p>
            <w:r>
              <w:rPr>
                <w:b/>
                <w:sz w:val="16"/>
              </w:rPr>
              <w:t>Field</w:t>
            </w:r>
          </w:p>
        </w:tc>
        <w:tc>
          <w:tcPr>
            <w:tcW w:type="dxa" w:w="5040"/>
            <w:shd w:fill="D9EAF2"/>
          </w:tcPr>
          <w:p>
            <w:r>
              <w:rPr>
                <w:b/>
                <w:sz w:val="16"/>
              </w:rPr>
              <w:t>Purpose</w:t>
            </w:r>
          </w:p>
        </w:tc>
      </w:tr>
      <w:tr>
        <w:tc>
          <w:tcPr>
            <w:tcW w:type="dxa" w:w="5040"/>
            <w:vAlign w:val="center"/>
          </w:tcPr>
          <w:p>
            <w:pPr>
              <w:spacing w:after="40"/>
            </w:pPr>
            <w:r>
              <w:rPr>
                <w:sz w:val="16"/>
              </w:rPr>
              <w:t>series_id</w:t>
            </w:r>
          </w:p>
        </w:tc>
        <w:tc>
          <w:tcPr>
            <w:tcW w:type="dxa" w:w="5040"/>
            <w:vAlign w:val="center"/>
          </w:tcPr>
          <w:p>
            <w:pPr>
              <w:spacing w:after="40"/>
            </w:pPr>
            <w:r>
              <w:rPr>
                <w:sz w:val="16"/>
              </w:rPr>
              <w:t>Stable identifier for the exact indicator</w:t>
            </w:r>
          </w:p>
        </w:tc>
      </w:tr>
      <w:tr>
        <w:tc>
          <w:tcPr>
            <w:tcW w:type="dxa" w:w="5040"/>
            <w:vAlign w:val="center"/>
          </w:tcPr>
          <w:p>
            <w:pPr>
              <w:spacing w:after="40"/>
            </w:pPr>
            <w:r>
              <w:rPr>
                <w:sz w:val="16"/>
              </w:rPr>
              <w:t>reference_period_start / end</w:t>
            </w:r>
          </w:p>
        </w:tc>
        <w:tc>
          <w:tcPr>
            <w:tcW w:type="dxa" w:w="5040"/>
            <w:vAlign w:val="center"/>
          </w:tcPr>
          <w:p>
            <w:pPr>
              <w:spacing w:after="40"/>
            </w:pPr>
            <w:r>
              <w:rPr>
                <w:sz w:val="16"/>
              </w:rPr>
              <w:t>Period the statistic describes</w:t>
            </w:r>
          </w:p>
        </w:tc>
      </w:tr>
      <w:tr>
        <w:tc>
          <w:tcPr>
            <w:tcW w:type="dxa" w:w="5040"/>
            <w:vAlign w:val="center"/>
          </w:tcPr>
          <w:p>
            <w:pPr>
              <w:spacing w:after="40"/>
            </w:pPr>
            <w:r>
              <w:rPr>
                <w:sz w:val="16"/>
              </w:rPr>
              <w:t>published_at_utc</w:t>
            </w:r>
          </w:p>
        </w:tc>
        <w:tc>
          <w:tcPr>
            <w:tcW w:type="dxa" w:w="5040"/>
            <w:vAlign w:val="center"/>
          </w:tcPr>
          <w:p>
            <w:pPr>
              <w:spacing w:after="40"/>
            </w:pPr>
            <w:r>
              <w:rPr>
                <w:sz w:val="16"/>
              </w:rPr>
              <w:t>Official release timestamp</w:t>
            </w:r>
          </w:p>
        </w:tc>
      </w:tr>
      <w:tr>
        <w:tc>
          <w:tcPr>
            <w:tcW w:type="dxa" w:w="5040"/>
            <w:vAlign w:val="center"/>
          </w:tcPr>
          <w:p>
            <w:pPr>
              <w:spacing w:after="40"/>
            </w:pPr>
            <w:r>
              <w:rPr>
                <w:sz w:val="16"/>
              </w:rPr>
              <w:t>available_at_utc</w:t>
            </w:r>
          </w:p>
        </w:tc>
        <w:tc>
          <w:tcPr>
            <w:tcW w:type="dxa" w:w="5040"/>
            <w:vAlign w:val="center"/>
          </w:tcPr>
          <w:p>
            <w:pPr>
              <w:spacing w:after="40"/>
            </w:pPr>
            <w:r>
              <w:rPr>
                <w:sz w:val="16"/>
              </w:rPr>
              <w:t>When the model could actually access it</w:t>
            </w:r>
          </w:p>
        </w:tc>
      </w:tr>
      <w:tr>
        <w:tc>
          <w:tcPr>
            <w:tcW w:type="dxa" w:w="5040"/>
            <w:vAlign w:val="center"/>
          </w:tcPr>
          <w:p>
            <w:pPr>
              <w:spacing w:after="40"/>
            </w:pPr>
            <w:r>
              <w:rPr>
                <w:sz w:val="16"/>
              </w:rPr>
              <w:t>retrieved_at_utc</w:t>
            </w:r>
          </w:p>
        </w:tc>
        <w:tc>
          <w:tcPr>
            <w:tcW w:type="dxa" w:w="5040"/>
            <w:vAlign w:val="center"/>
          </w:tcPr>
          <w:p>
            <w:pPr>
              <w:spacing w:after="40"/>
            </w:pPr>
            <w:r>
              <w:rPr>
                <w:sz w:val="16"/>
              </w:rPr>
              <w:t>When the research pipeline collected it</w:t>
            </w:r>
          </w:p>
        </w:tc>
      </w:tr>
      <w:tr>
        <w:tc>
          <w:tcPr>
            <w:tcW w:type="dxa" w:w="5040"/>
            <w:vAlign w:val="center"/>
          </w:tcPr>
          <w:p>
            <w:pPr>
              <w:spacing w:after="40"/>
            </w:pPr>
            <w:r>
              <w:rPr>
                <w:sz w:val="16"/>
              </w:rPr>
              <w:t>value / unit</w:t>
            </w:r>
          </w:p>
        </w:tc>
        <w:tc>
          <w:tcPr>
            <w:tcW w:type="dxa" w:w="5040"/>
            <w:vAlign w:val="center"/>
          </w:tcPr>
          <w:p>
            <w:pPr>
              <w:spacing w:after="40"/>
            </w:pPr>
            <w:r>
              <w:rPr>
                <w:sz w:val="16"/>
              </w:rPr>
              <w:t>Raw value and measurement unit</w:t>
            </w:r>
          </w:p>
        </w:tc>
      </w:tr>
      <w:tr>
        <w:tc>
          <w:tcPr>
            <w:tcW w:type="dxa" w:w="5040"/>
            <w:vAlign w:val="center"/>
          </w:tcPr>
          <w:p>
            <w:pPr>
              <w:spacing w:after="40"/>
            </w:pPr>
            <w:r>
              <w:rPr>
                <w:sz w:val="16"/>
              </w:rPr>
              <w:t>vintage_id / revision_status</w:t>
            </w:r>
          </w:p>
        </w:tc>
        <w:tc>
          <w:tcPr>
            <w:tcW w:type="dxa" w:w="5040"/>
            <w:vAlign w:val="center"/>
          </w:tcPr>
          <w:p>
            <w:pPr>
              <w:spacing w:after="40"/>
            </w:pPr>
            <w:r>
              <w:rPr>
                <w:sz w:val="16"/>
              </w:rPr>
              <w:t>First release, revised, provisional or final</w:t>
            </w:r>
          </w:p>
        </w:tc>
      </w:tr>
      <w:tr>
        <w:tc>
          <w:tcPr>
            <w:tcW w:type="dxa" w:w="5040"/>
            <w:vAlign w:val="center"/>
          </w:tcPr>
          <w:p>
            <w:pPr>
              <w:spacing w:after="40"/>
            </w:pPr>
            <w:r>
              <w:rPr>
                <w:sz w:val="16"/>
              </w:rPr>
              <w:t>seasonal_adjustment</w:t>
            </w:r>
          </w:p>
        </w:tc>
        <w:tc>
          <w:tcPr>
            <w:tcW w:type="dxa" w:w="5040"/>
            <w:vAlign w:val="center"/>
          </w:tcPr>
          <w:p>
            <w:pPr>
              <w:spacing w:after="40"/>
            </w:pPr>
            <w:r>
              <w:rPr>
                <w:sz w:val="16"/>
              </w:rPr>
              <w:t>Whether the series is seasonally adjusted</w:t>
            </w:r>
          </w:p>
        </w:tc>
      </w:tr>
      <w:tr>
        <w:tc>
          <w:tcPr>
            <w:tcW w:type="dxa" w:w="5040"/>
            <w:vAlign w:val="center"/>
          </w:tcPr>
          <w:p>
            <w:pPr>
              <w:spacing w:after="40"/>
            </w:pPr>
            <w:r>
              <w:rPr>
                <w:sz w:val="16"/>
              </w:rPr>
              <w:t>methodology_version / base_year</w:t>
            </w:r>
          </w:p>
        </w:tc>
        <w:tc>
          <w:tcPr>
            <w:tcW w:type="dxa" w:w="5040"/>
            <w:vAlign w:val="center"/>
          </w:tcPr>
          <w:p>
            <w:pPr>
              <w:spacing w:after="40"/>
            </w:pPr>
            <w:r>
              <w:rPr>
                <w:sz w:val="16"/>
              </w:rPr>
              <w:t>Documents structural series changes</w:t>
            </w:r>
          </w:p>
        </w:tc>
      </w:tr>
      <w:tr>
        <w:tc>
          <w:tcPr>
            <w:tcW w:type="dxa" w:w="5040"/>
            <w:vAlign w:val="center"/>
          </w:tcPr>
          <w:p>
            <w:pPr>
              <w:spacing w:after="40"/>
            </w:pPr>
            <w:r>
              <w:rPr>
                <w:sz w:val="16"/>
              </w:rPr>
              <w:t>source_url</w:t>
            </w:r>
          </w:p>
        </w:tc>
        <w:tc>
          <w:tcPr>
            <w:tcW w:type="dxa" w:w="5040"/>
            <w:vAlign w:val="center"/>
          </w:tcPr>
          <w:p>
            <w:pPr>
              <w:spacing w:after="40"/>
            </w:pPr>
            <w:r>
              <w:rPr>
                <w:sz w:val="16"/>
              </w:rPr>
              <w:t>Audit trail</w:t>
            </w:r>
          </w:p>
        </w:tc>
      </w:tr>
    </w:tbl>
    <w:p/>
    <w:p>
      <w:pPr>
        <w:pStyle w:val="Heading1"/>
      </w:pPr>
      <w:r>
        <w:t>11. Suggested Data Architecture</w:t>
      </w:r>
    </w:p>
    <w:p>
      <w:pPr>
        <w:pStyle w:val="ListNumber"/>
        <w:spacing w:after="60"/>
      </w:pPr>
      <w:r>
        <w:t>Raw layer: archive source files/API responses unchanged with retrieval timestamp and checksum if practical.</w:t>
      </w:r>
    </w:p>
    <w:p>
      <w:pPr>
        <w:pStyle w:val="ListNumber"/>
        <w:spacing w:after="60"/>
      </w:pPr>
      <w:r>
        <w:t>Metadata layer: maintain a series registry with definitions, unit, frequency, reference period, source, release schedule, revision policy and methodology notes.</w:t>
      </w:r>
    </w:p>
    <w:p>
      <w:pPr>
        <w:pStyle w:val="ListNumber"/>
        <w:spacing w:after="60"/>
      </w:pPr>
      <w:r>
        <w:t>Vintage layer: retain first-release and revised values separately when feasible; do not silently overwrite prior vintages.</w:t>
      </w:r>
    </w:p>
    <w:p>
      <w:pPr>
        <w:pStyle w:val="ListNumber"/>
        <w:spacing w:after="60"/>
      </w:pPr>
      <w:r>
        <w:t>Calendar layer: maintain official publication calendar and market calendar; store expected and actual release times.</w:t>
      </w:r>
    </w:p>
    <w:p>
      <w:pPr>
        <w:pStyle w:val="ListNumber"/>
        <w:spacing w:after="60"/>
      </w:pPr>
      <w:r>
        <w:t>Feature layer: compute YoY/MoM/QoQ changes, acceleration, surprise, rolling trend and regime features from as-of data only.</w:t>
      </w:r>
    </w:p>
    <w:p>
      <w:pPr>
        <w:pStyle w:val="ListNumber"/>
        <w:spacing w:after="60"/>
      </w:pPr>
      <w:r>
        <w:t>Join layer: for each stock-market prediction timestamp, select the latest eligible value published before that time.</w:t>
      </w:r>
    </w:p>
    <w:p>
      <w:pPr>
        <w:pStyle w:val="ListNumber"/>
        <w:spacing w:after="60"/>
      </w:pPr>
      <w:r>
        <w:t>Experiment layer: version the data snapshot, features, target, split dates, model, metrics and code.</w:t>
      </w:r>
    </w:p>
    <w:p>
      <w:pPr>
        <w:pStyle w:val="ListNumber"/>
        <w:spacing w:after="60"/>
      </w:pPr>
      <w:r>
        <w:t>Monitoring layer: flag missed releases, stale series, changed units, methodology breaks, sudden revisions and missing observations.</w:t>
      </w:r>
    </w:p>
    <w:p>
      <w:pPr>
        <w:pStyle w:val="Heading1"/>
      </w:pPr>
      <w:r>
        <w:t>12. How to Test Whether These Indicators Help</w:t>
      </w:r>
    </w:p>
    <w:p>
      <w:pPr>
        <w:pStyle w:val="ListNumber"/>
        <w:spacing w:after="60"/>
      </w:pPr>
      <w:r>
        <w:t>Set a clear target first: next-session NIFTY return/direction, weekly return, or next-period volatility. Low-frequency economic indicators may have little direct value for a very short horizon.</w:t>
      </w:r>
    </w:p>
    <w:p>
      <w:pPr>
        <w:pStyle w:val="ListNumber"/>
        <w:spacing w:after="60"/>
      </w:pPr>
      <w:r>
        <w:t>Build a simple baseline from lagged Indian market features before adding economic data.</w:t>
      </w:r>
    </w:p>
    <w:p>
      <w:pPr>
        <w:pStyle w:val="ListNumber"/>
        <w:spacing w:after="60"/>
      </w:pPr>
      <w:r>
        <w:t>Add one feature group at a time: PMI, then IIP, then consumption/admin proxies, then credit and trade.</w:t>
      </w:r>
    </w:p>
    <w:p>
      <w:pPr>
        <w:pStyle w:val="ListNumber"/>
        <w:spacing w:after="60"/>
      </w:pPr>
      <w:r>
        <w:t>Compare both levels and surprises where data permit. A published number may be anticipated by the market, so the level alone may add little information.</w:t>
      </w:r>
    </w:p>
    <w:p>
      <w:pPr>
        <w:pStyle w:val="ListNumber"/>
        <w:spacing w:after="60"/>
      </w:pPr>
      <w:r>
        <w:t>Use time-ordered train/validation/test splits and preferably walk-forward evaluation.</w:t>
      </w:r>
    </w:p>
    <w:p>
      <w:pPr>
        <w:pStyle w:val="ListNumber"/>
        <w:spacing w:after="60"/>
      </w:pPr>
      <w:r>
        <w:t>Compare with simple benchmarks and inspect performance by economic regime, not just one aggregate metric.</w:t>
      </w:r>
    </w:p>
    <w:p>
      <w:pPr>
        <w:pStyle w:val="ListNumber"/>
        <w:spacing w:after="60"/>
      </w:pPr>
      <w:r>
        <w:t>Test incremental value over inflation, global markets, sentiment, technical and company fundamental features.</w:t>
      </w:r>
    </w:p>
    <w:p>
      <w:pPr>
        <w:pStyle w:val="ListNumber"/>
        <w:spacing w:after="60"/>
      </w:pPr>
      <w:r>
        <w:t>Account for publication delays: a monthly feature may remain unchanged for much of the month. Avoid falsely treating it as a daily new observation.</w:t>
      </w:r>
    </w:p>
    <w:p>
      <w:pPr>
        <w:pStyle w:val="ListNumber"/>
        <w:spacing w:after="60"/>
      </w:pPr>
      <w:r>
        <w:t>Check robustness to data revisions, base-year changes, missing data, survey methodology changes and outlier periods.</w:t>
      </w:r>
    </w:p>
    <w:p>
      <w:pPr>
        <w:pStyle w:val="ListNumber"/>
        <w:spacing w:after="60"/>
      </w:pPr>
      <w:r>
        <w:t>Do not claim causality or profitability from feature importance or a correlation. Include transaction costs and execution constraints before evaluating a trading use case.</w:t>
      </w:r>
    </w:p>
    <w:p>
      <w:pPr>
        <w:pStyle w:val="Heading1"/>
      </w:pPr>
      <w:r>
        <w:t>13. Likely Blockers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2"/>
          </w:tcPr>
          <w:p>
            <w:r>
              <w:rPr>
                <w:b/>
                <w:sz w:val="16"/>
              </w:rPr>
              <w:t>Blocker</w:t>
            </w:r>
          </w:p>
        </w:tc>
        <w:tc>
          <w:tcPr>
            <w:tcW w:type="dxa" w:w="3360"/>
            <w:shd w:fill="D9EAF2"/>
          </w:tcPr>
          <w:p>
            <w:r>
              <w:rPr>
                <w:b/>
                <w:sz w:val="16"/>
              </w:rPr>
              <w:t>Why it matters</w:t>
            </w:r>
          </w:p>
        </w:tc>
        <w:tc>
          <w:tcPr>
            <w:tcW w:type="dxa" w:w="3360"/>
            <w:shd w:fill="D9EAF2"/>
          </w:tcPr>
          <w:p>
            <w:r>
              <w:rPr>
                <w:b/>
                <w:sz w:val="16"/>
              </w:rPr>
              <w:t>Mitigation</w:t>
            </w:r>
          </w:p>
        </w:tc>
      </w:tr>
      <w:tr>
        <w:tc>
          <w:tcPr>
            <w:tcW w:type="dxa" w:w="3360"/>
            <w:vAlign w:val="center"/>
          </w:tcPr>
          <w:p>
            <w:pPr>
              <w:spacing w:after="40"/>
            </w:pPr>
            <w:r>
              <w:rPr>
                <w:sz w:val="16"/>
              </w:rPr>
              <w:t>Release lags</w:t>
            </w:r>
          </w:p>
        </w:tc>
        <w:tc>
          <w:tcPr>
            <w:tcW w:type="dxa" w:w="3360"/>
            <w:vAlign w:val="center"/>
          </w:tcPr>
          <w:p>
            <w:pPr>
              <w:spacing w:after="40"/>
            </w:pPr>
            <w:r>
              <w:rPr>
                <w:sz w:val="16"/>
              </w:rPr>
              <w:t>The indicator may describe the past rather than the current market state</w:t>
            </w:r>
          </w:p>
        </w:tc>
        <w:tc>
          <w:tcPr>
            <w:tcW w:type="dxa" w:w="3360"/>
            <w:vAlign w:val="center"/>
          </w:tcPr>
          <w:p>
            <w:pPr>
              <w:spacing w:after="40"/>
            </w:pPr>
            <w:r>
              <w:rPr>
                <w:sz w:val="16"/>
              </w:rPr>
              <w:t>Join on publication timestamp; use timely surveys and proxies as separate series.</w:t>
            </w:r>
          </w:p>
        </w:tc>
      </w:tr>
      <w:tr>
        <w:tc>
          <w:tcPr>
            <w:tcW w:type="dxa" w:w="3360"/>
            <w:vAlign w:val="center"/>
          </w:tcPr>
          <w:p>
            <w:pPr>
              <w:spacing w:after="40"/>
            </w:pPr>
            <w:r>
              <w:rPr>
                <w:sz w:val="16"/>
              </w:rPr>
              <w:t>Revisions and first-release data</w:t>
            </w:r>
          </w:p>
        </w:tc>
        <w:tc>
          <w:tcPr>
            <w:tcW w:type="dxa" w:w="3360"/>
            <w:vAlign w:val="center"/>
          </w:tcPr>
          <w:p>
            <w:pPr>
              <w:spacing w:after="40"/>
            </w:pPr>
            <w:r>
              <w:rPr>
                <w:sz w:val="16"/>
              </w:rPr>
              <w:t>Today's historical series may differ from what investors originally saw</w:t>
            </w:r>
          </w:p>
        </w:tc>
        <w:tc>
          <w:tcPr>
            <w:tcW w:type="dxa" w:w="3360"/>
            <w:vAlign w:val="center"/>
          </w:tcPr>
          <w:p>
            <w:pPr>
              <w:spacing w:after="40"/>
            </w:pPr>
            <w:r>
              <w:rPr>
                <w:sz w:val="16"/>
              </w:rPr>
              <w:t>Archive first-release values or mark revision limitations explicitly.</w:t>
            </w:r>
          </w:p>
        </w:tc>
      </w:tr>
      <w:tr>
        <w:tc>
          <w:tcPr>
            <w:tcW w:type="dxa" w:w="3360"/>
            <w:vAlign w:val="center"/>
          </w:tcPr>
          <w:p>
            <w:pPr>
              <w:spacing w:after="40"/>
            </w:pPr>
            <w:r>
              <w:rPr>
                <w:sz w:val="16"/>
              </w:rPr>
              <w:t>Base-year/methodology breaks</w:t>
            </w:r>
          </w:p>
        </w:tc>
        <w:tc>
          <w:tcPr>
            <w:tcW w:type="dxa" w:w="3360"/>
            <w:vAlign w:val="center"/>
          </w:tcPr>
          <w:p>
            <w:pPr>
              <w:spacing w:after="40"/>
            </w:pPr>
            <w:r>
              <w:rPr>
                <w:sz w:val="16"/>
              </w:rPr>
              <w:t>Growth rates may not be comparable across the full history</w:t>
            </w:r>
          </w:p>
        </w:tc>
        <w:tc>
          <w:tcPr>
            <w:tcW w:type="dxa" w:w="3360"/>
            <w:vAlign w:val="center"/>
          </w:tcPr>
          <w:p>
            <w:pPr>
              <w:spacing w:after="40"/>
            </w:pPr>
            <w:r>
              <w:rPr>
                <w:sz w:val="16"/>
              </w:rPr>
              <w:t>Use official back-series where available; document breaks and test subperiods.</w:t>
            </w:r>
          </w:p>
        </w:tc>
      </w:tr>
      <w:tr>
        <w:tc>
          <w:tcPr>
            <w:tcW w:type="dxa" w:w="3360"/>
            <w:vAlign w:val="center"/>
          </w:tcPr>
          <w:p>
            <w:pPr>
              <w:spacing w:after="40"/>
            </w:pPr>
            <w:r>
              <w:rPr>
                <w:sz w:val="16"/>
              </w:rPr>
              <w:t>Survey and official data disagreement</w:t>
            </w:r>
          </w:p>
        </w:tc>
        <w:tc>
          <w:tcPr>
            <w:tcW w:type="dxa" w:w="3360"/>
            <w:vAlign w:val="center"/>
          </w:tcPr>
          <w:p>
            <w:pPr>
              <w:spacing w:after="40"/>
            </w:pPr>
            <w:r>
              <w:rPr>
                <w:sz w:val="16"/>
              </w:rPr>
              <w:t>PMI, IIP and GDP can point in different directions</w:t>
            </w:r>
          </w:p>
        </w:tc>
        <w:tc>
          <w:tcPr>
            <w:tcW w:type="dxa" w:w="3360"/>
            <w:vAlign w:val="center"/>
          </w:tcPr>
          <w:p>
            <w:pPr>
              <w:spacing w:after="40"/>
            </w:pPr>
            <w:r>
              <w:rPr>
                <w:sz w:val="16"/>
              </w:rPr>
              <w:t>Retain each series separately; do not force them into one composite prematurely.</w:t>
            </w:r>
          </w:p>
        </w:tc>
      </w:tr>
      <w:tr>
        <w:tc>
          <w:tcPr>
            <w:tcW w:type="dxa" w:w="3360"/>
            <w:vAlign w:val="center"/>
          </w:tcPr>
          <w:p>
            <w:pPr>
              <w:spacing w:after="40"/>
            </w:pPr>
            <w:r>
              <w:rPr>
                <w:sz w:val="16"/>
              </w:rPr>
              <w:t>Seasonality and festivals</w:t>
            </w:r>
          </w:p>
        </w:tc>
        <w:tc>
          <w:tcPr>
            <w:tcW w:type="dxa" w:w="3360"/>
            <w:vAlign w:val="center"/>
          </w:tcPr>
          <w:p>
            <w:pPr>
              <w:spacing w:after="40"/>
            </w:pPr>
            <w:r>
              <w:rPr>
                <w:sz w:val="16"/>
              </w:rPr>
              <w:t>Monthly growth may reflect timing rather than underlying demand</w:t>
            </w:r>
          </w:p>
        </w:tc>
        <w:tc>
          <w:tcPr>
            <w:tcW w:type="dxa" w:w="3360"/>
            <w:vAlign w:val="center"/>
          </w:tcPr>
          <w:p>
            <w:pPr>
              <w:spacing w:after="40"/>
            </w:pPr>
            <w:r>
              <w:rPr>
                <w:sz w:val="16"/>
              </w:rPr>
              <w:t>Use YoY and official seasonally adjusted series where appropriate; include calendar flags.</w:t>
            </w:r>
          </w:p>
        </w:tc>
      </w:tr>
      <w:tr>
        <w:tc>
          <w:tcPr>
            <w:tcW w:type="dxa" w:w="3360"/>
            <w:vAlign w:val="center"/>
          </w:tcPr>
          <w:p>
            <w:pPr>
              <w:spacing w:after="40"/>
            </w:pPr>
            <w:r>
              <w:rPr>
                <w:sz w:val="16"/>
              </w:rPr>
              <w:t>Nominal versus real measures</w:t>
            </w:r>
          </w:p>
        </w:tc>
        <w:tc>
          <w:tcPr>
            <w:tcW w:type="dxa" w:w="3360"/>
            <w:vAlign w:val="center"/>
          </w:tcPr>
          <w:p>
            <w:pPr>
              <w:spacing w:after="40"/>
            </w:pPr>
            <w:r>
              <w:rPr>
                <w:sz w:val="16"/>
              </w:rPr>
              <w:t>Tax collections and sales values can rise due to prices, not volumes</w:t>
            </w:r>
          </w:p>
        </w:tc>
        <w:tc>
          <w:tcPr>
            <w:tcW w:type="dxa" w:w="3360"/>
            <w:vAlign w:val="center"/>
          </w:tcPr>
          <w:p>
            <w:pPr>
              <w:spacing w:after="40"/>
            </w:pPr>
            <w:r>
              <w:rPr>
                <w:sz w:val="16"/>
              </w:rPr>
              <w:t>Label nominal data and test inflation-adjusted alternatives when justified.</w:t>
            </w:r>
          </w:p>
        </w:tc>
      </w:tr>
      <w:tr>
        <w:tc>
          <w:tcPr>
            <w:tcW w:type="dxa" w:w="3360"/>
            <w:vAlign w:val="center"/>
          </w:tcPr>
          <w:p>
            <w:pPr>
              <w:spacing w:after="40"/>
            </w:pPr>
            <w:r>
              <w:rPr>
                <w:sz w:val="16"/>
              </w:rPr>
              <w:t>Consensus data unavailable</w:t>
            </w:r>
          </w:p>
        </w:tc>
        <w:tc>
          <w:tcPr>
            <w:tcW w:type="dxa" w:w="3360"/>
            <w:vAlign w:val="center"/>
          </w:tcPr>
          <w:p>
            <w:pPr>
              <w:spacing w:after="40"/>
            </w:pPr>
            <w:r>
              <w:rPr>
                <w:sz w:val="16"/>
              </w:rPr>
              <w:t>Historical surprise features may be impossible to reconstruct reliably</w:t>
            </w:r>
          </w:p>
        </w:tc>
        <w:tc>
          <w:tcPr>
            <w:tcW w:type="dxa" w:w="3360"/>
            <w:vAlign w:val="center"/>
          </w:tcPr>
          <w:p>
            <w:pPr>
              <w:spacing w:after="40"/>
            </w:pPr>
            <w:r>
              <w:rPr>
                <w:sz w:val="16"/>
              </w:rPr>
              <w:t>Omit surprise features until a timestamped, licensed consensus source is confirmed.</w:t>
            </w:r>
          </w:p>
        </w:tc>
      </w:tr>
      <w:tr>
        <w:tc>
          <w:tcPr>
            <w:tcW w:type="dxa" w:w="3360"/>
            <w:vAlign w:val="center"/>
          </w:tcPr>
          <w:p>
            <w:pPr>
              <w:spacing w:after="40"/>
            </w:pPr>
            <w:r>
              <w:rPr>
                <w:sz w:val="16"/>
              </w:rPr>
              <w:t>Data access and licensing</w:t>
            </w:r>
          </w:p>
        </w:tc>
        <w:tc>
          <w:tcPr>
            <w:tcW w:type="dxa" w:w="3360"/>
            <w:vAlign w:val="center"/>
          </w:tcPr>
          <w:p>
            <w:pPr>
              <w:spacing w:after="40"/>
            </w:pPr>
            <w:r>
              <w:rPr>
                <w:sz w:val="16"/>
              </w:rPr>
              <w:t>Bulk history or sub-indices may be paid or restricted</w:t>
            </w:r>
          </w:p>
        </w:tc>
        <w:tc>
          <w:tcPr>
            <w:tcW w:type="dxa" w:w="3360"/>
            <w:vAlign w:val="center"/>
          </w:tcPr>
          <w:p>
            <w:pPr>
              <w:spacing w:after="40"/>
            </w:pPr>
            <w:r>
              <w:rPr>
                <w:sz w:val="16"/>
              </w:rPr>
              <w:t>Verify terms, costs, retention and redistribution rights early.</w:t>
            </w:r>
          </w:p>
        </w:tc>
      </w:tr>
      <w:tr>
        <w:tc>
          <w:tcPr>
            <w:tcW w:type="dxa" w:w="3360"/>
            <w:vAlign w:val="center"/>
          </w:tcPr>
          <w:p>
            <w:pPr>
              <w:spacing w:after="40"/>
            </w:pPr>
            <w:r>
              <w:rPr>
                <w:sz w:val="16"/>
              </w:rPr>
              <w:t>Overfitting from many indicators</w:t>
            </w:r>
          </w:p>
        </w:tc>
        <w:tc>
          <w:tcPr>
            <w:tcW w:type="dxa" w:w="3360"/>
            <w:vAlign w:val="center"/>
          </w:tcPr>
          <w:p>
            <w:pPr>
              <w:spacing w:after="40"/>
            </w:pPr>
            <w:r>
              <w:rPr>
                <w:sz w:val="16"/>
              </w:rPr>
              <w:t>Correlated proxies can make a model unstable</w:t>
            </w:r>
          </w:p>
        </w:tc>
        <w:tc>
          <w:tcPr>
            <w:tcW w:type="dxa" w:w="3360"/>
            <w:vAlign w:val="center"/>
          </w:tcPr>
          <w:p>
            <w:pPr>
              <w:spacing w:after="40"/>
            </w:pPr>
            <w:r>
              <w:rPr>
                <w:sz w:val="16"/>
              </w:rPr>
              <w:t>Begin with a small shortlist; use ablation and walk-forward validation.</w:t>
            </w:r>
          </w:p>
        </w:tc>
      </w:tr>
      <w:tr>
        <w:tc>
          <w:tcPr>
            <w:tcW w:type="dxa" w:w="3360"/>
            <w:vAlign w:val="center"/>
          </w:tcPr>
          <w:p>
            <w:pPr>
              <w:spacing w:after="40"/>
            </w:pPr>
            <w:r>
              <w:rPr>
                <w:sz w:val="16"/>
              </w:rPr>
              <w:t>Low frequency vs daily target</w:t>
            </w:r>
          </w:p>
        </w:tc>
        <w:tc>
          <w:tcPr>
            <w:tcW w:type="dxa" w:w="3360"/>
            <w:vAlign w:val="center"/>
          </w:tcPr>
          <w:p>
            <w:pPr>
              <w:spacing w:after="40"/>
            </w:pPr>
            <w:r>
              <w:rPr>
                <w:sz w:val="16"/>
              </w:rPr>
              <w:t>Monthly/quarterly data may not add much day-to-day signal</w:t>
            </w:r>
          </w:p>
        </w:tc>
        <w:tc>
          <w:tcPr>
            <w:tcW w:type="dxa" w:w="3360"/>
            <w:vAlign w:val="center"/>
          </w:tcPr>
          <w:p>
            <w:pPr>
              <w:spacing w:after="40"/>
            </w:pPr>
            <w:r>
              <w:rPr>
                <w:sz w:val="16"/>
              </w:rPr>
              <w:t>Test weekly/monthly horizons too, or treat economic features as background regime inputs.</w:t>
            </w:r>
          </w:p>
        </w:tc>
      </w:tr>
    </w:tbl>
    <w:p/>
    <w:p>
      <w:pPr>
        <w:pStyle w:val="Heading1"/>
      </w:pPr>
      <w:r>
        <w:t>14. Recommended Initial Shortlist</w:t>
      </w:r>
    </w:p>
    <w:p>
      <w:r>
        <w:t>This is a candidate shortlist for testing, not an empirically validated ranking.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2"/>
          </w:tcPr>
          <w:p>
            <w:r>
              <w:rPr>
                <w:b/>
                <w:sz w:val="16"/>
              </w:rPr>
              <w:t>Priority</w:t>
            </w:r>
          </w:p>
        </w:tc>
        <w:tc>
          <w:tcPr>
            <w:tcW w:type="dxa" w:w="2520"/>
            <w:shd w:fill="D9EAF2"/>
          </w:tcPr>
          <w:p>
            <w:r>
              <w:rPr>
                <w:b/>
                <w:sz w:val="16"/>
              </w:rPr>
              <w:t>Feature</w:t>
            </w:r>
          </w:p>
        </w:tc>
        <w:tc>
          <w:tcPr>
            <w:tcW w:type="dxa" w:w="2520"/>
            <w:shd w:fill="D9EAF2"/>
          </w:tcPr>
          <w:p>
            <w:r>
              <w:rPr>
                <w:b/>
                <w:sz w:val="16"/>
              </w:rPr>
              <w:t>Why it is a reasonable first test</w:t>
            </w:r>
          </w:p>
        </w:tc>
        <w:tc>
          <w:tcPr>
            <w:tcW w:type="dxa" w:w="2520"/>
            <w:shd w:fill="D9EAF2"/>
          </w:tcPr>
          <w:p>
            <w:r>
              <w:rPr>
                <w:b/>
                <w:sz w:val="16"/>
              </w:rPr>
              <w:t>Caution</w:t>
            </w:r>
          </w:p>
        </w:tc>
      </w:tr>
      <w:tr>
        <w:tc>
          <w:tcPr>
            <w:tcW w:type="dxa" w:w="2520"/>
            <w:vAlign w:val="center"/>
          </w:tcPr>
          <w:p>
            <w:pPr>
              <w:spacing w:after="40"/>
            </w:pPr>
            <w:r>
              <w:rPr>
                <w:sz w:val="16"/>
              </w:rPr>
              <w:t>1</w:t>
            </w:r>
          </w:p>
        </w:tc>
        <w:tc>
          <w:tcPr>
            <w:tcW w:type="dxa" w:w="2520"/>
            <w:vAlign w:val="center"/>
          </w:tcPr>
          <w:p>
            <w:pPr>
              <w:spacing w:after="40"/>
            </w:pPr>
            <w:r>
              <w:rPr>
                <w:sz w:val="16"/>
              </w:rPr>
              <w:t>Manufacturing PMI level and change</w:t>
            </w:r>
          </w:p>
        </w:tc>
        <w:tc>
          <w:tcPr>
            <w:tcW w:type="dxa" w:w="2520"/>
            <w:vAlign w:val="center"/>
          </w:tcPr>
          <w:p>
            <w:pPr>
              <w:spacing w:after="40"/>
            </w:pPr>
            <w:r>
              <w:rPr>
                <w:sz w:val="16"/>
              </w:rPr>
              <w:t>Timely business-momentum survey</w:t>
            </w:r>
          </w:p>
        </w:tc>
        <w:tc>
          <w:tcPr>
            <w:tcW w:type="dxa" w:w="2520"/>
            <w:vAlign w:val="center"/>
          </w:tcPr>
          <w:p>
            <w:pPr>
              <w:spacing w:after="40"/>
            </w:pPr>
            <w:r>
              <w:rPr>
                <w:sz w:val="16"/>
              </w:rPr>
              <w:t>Not a growth percentage; verify history/access and release time</w:t>
            </w:r>
          </w:p>
        </w:tc>
      </w:tr>
      <w:tr>
        <w:tc>
          <w:tcPr>
            <w:tcW w:type="dxa" w:w="2520"/>
            <w:vAlign w:val="center"/>
          </w:tcPr>
          <w:p>
            <w:pPr>
              <w:spacing w:after="40"/>
            </w:pPr>
            <w:r>
              <w:rPr>
                <w:sz w:val="16"/>
              </w:rPr>
              <w:t>2</w:t>
            </w:r>
          </w:p>
        </w:tc>
        <w:tc>
          <w:tcPr>
            <w:tcW w:type="dxa" w:w="2520"/>
            <w:vAlign w:val="center"/>
          </w:tcPr>
          <w:p>
            <w:pPr>
              <w:spacing w:after="40"/>
            </w:pPr>
            <w:r>
              <w:rPr>
                <w:sz w:val="16"/>
              </w:rPr>
              <w:t>Services PMI level and change</w:t>
            </w:r>
          </w:p>
        </w:tc>
        <w:tc>
          <w:tcPr>
            <w:tcW w:type="dxa" w:w="2520"/>
            <w:vAlign w:val="center"/>
          </w:tcPr>
          <w:p>
            <w:pPr>
              <w:spacing w:after="40"/>
            </w:pPr>
            <w:r>
              <w:rPr>
                <w:sz w:val="16"/>
              </w:rPr>
              <w:t>Captures a major part of India's services activity</w:t>
            </w:r>
          </w:p>
        </w:tc>
        <w:tc>
          <w:tcPr>
            <w:tcW w:type="dxa" w:w="2520"/>
            <w:vAlign w:val="center"/>
          </w:tcPr>
          <w:p>
            <w:pPr>
              <w:spacing w:after="40"/>
            </w:pPr>
            <w:r>
              <w:rPr>
                <w:sz w:val="16"/>
              </w:rPr>
              <w:t>Sector composition and survey methodology matter</w:t>
            </w:r>
          </w:p>
        </w:tc>
      </w:tr>
      <w:tr>
        <w:tc>
          <w:tcPr>
            <w:tcW w:type="dxa" w:w="2520"/>
            <w:vAlign w:val="center"/>
          </w:tcPr>
          <w:p>
            <w:pPr>
              <w:spacing w:after="40"/>
            </w:pPr>
            <w:r>
              <w:rPr>
                <w:sz w:val="16"/>
              </w:rPr>
              <w:t>3</w:t>
            </w:r>
          </w:p>
        </w:tc>
        <w:tc>
          <w:tcPr>
            <w:tcW w:type="dxa" w:w="2520"/>
            <w:vAlign w:val="center"/>
          </w:tcPr>
          <w:p>
            <w:pPr>
              <w:spacing w:after="40"/>
            </w:pPr>
            <w:r>
              <w:rPr>
                <w:sz w:val="16"/>
              </w:rPr>
              <w:t>IIP YoY growth and acceleration</w:t>
            </w:r>
          </w:p>
        </w:tc>
        <w:tc>
          <w:tcPr>
            <w:tcW w:type="dxa" w:w="2520"/>
            <w:vAlign w:val="center"/>
          </w:tcPr>
          <w:p>
            <w:pPr>
              <w:spacing w:after="40"/>
            </w:pPr>
            <w:r>
              <w:rPr>
                <w:sz w:val="16"/>
              </w:rPr>
              <w:t>Official monthly production measure</w:t>
            </w:r>
          </w:p>
        </w:tc>
        <w:tc>
          <w:tcPr>
            <w:tcW w:type="dxa" w:w="2520"/>
            <w:vAlign w:val="center"/>
          </w:tcPr>
          <w:p>
            <w:pPr>
              <w:spacing w:after="40"/>
            </w:pPr>
            <w:r>
              <w:rPr>
                <w:sz w:val="16"/>
              </w:rPr>
              <w:t>Lagged, revisable and sensitive to base-year changes</w:t>
            </w:r>
          </w:p>
        </w:tc>
      </w:tr>
      <w:tr>
        <w:tc>
          <w:tcPr>
            <w:tcW w:type="dxa" w:w="2520"/>
            <w:vAlign w:val="center"/>
          </w:tcPr>
          <w:p>
            <w:pPr>
              <w:spacing w:after="40"/>
            </w:pPr>
            <w:r>
              <w:rPr>
                <w:sz w:val="16"/>
              </w:rPr>
              <w:t>4</w:t>
            </w:r>
          </w:p>
        </w:tc>
        <w:tc>
          <w:tcPr>
            <w:tcW w:type="dxa" w:w="2520"/>
            <w:vAlign w:val="center"/>
          </w:tcPr>
          <w:p>
            <w:pPr>
              <w:spacing w:after="40"/>
            </w:pPr>
            <w:r>
              <w:rPr>
                <w:sz w:val="16"/>
              </w:rPr>
              <w:t>Vehicle registrations/sales YoY</w:t>
            </w:r>
          </w:p>
        </w:tc>
        <w:tc>
          <w:tcPr>
            <w:tcW w:type="dxa" w:w="2520"/>
            <w:vAlign w:val="center"/>
          </w:tcPr>
          <w:p>
            <w:pPr>
              <w:spacing w:after="40"/>
            </w:pPr>
            <w:r>
              <w:rPr>
                <w:sz w:val="16"/>
              </w:rPr>
              <w:t>Consumption and sector demand proxy</w:t>
            </w:r>
          </w:p>
        </w:tc>
        <w:tc>
          <w:tcPr>
            <w:tcW w:type="dxa" w:w="2520"/>
            <w:vAlign w:val="center"/>
          </w:tcPr>
          <w:p>
            <w:pPr>
              <w:spacing w:after="40"/>
            </w:pPr>
            <w:r>
              <w:rPr>
                <w:sz w:val="16"/>
              </w:rPr>
              <w:t>Registration timing is not identical to retail sales</w:t>
            </w:r>
          </w:p>
        </w:tc>
      </w:tr>
      <w:tr>
        <w:tc>
          <w:tcPr>
            <w:tcW w:type="dxa" w:w="2520"/>
            <w:vAlign w:val="center"/>
          </w:tcPr>
          <w:p>
            <w:pPr>
              <w:spacing w:after="40"/>
            </w:pPr>
            <w:r>
              <w:rPr>
                <w:sz w:val="16"/>
              </w:rPr>
              <w:t>5</w:t>
            </w:r>
          </w:p>
        </w:tc>
        <w:tc>
          <w:tcPr>
            <w:tcW w:type="dxa" w:w="2520"/>
            <w:vAlign w:val="center"/>
          </w:tcPr>
          <w:p>
            <w:pPr>
              <w:spacing w:after="40"/>
            </w:pPr>
            <w:r>
              <w:rPr>
                <w:sz w:val="16"/>
              </w:rPr>
              <w:t>GST collections YoY</w:t>
            </w:r>
          </w:p>
        </w:tc>
        <w:tc>
          <w:tcPr>
            <w:tcW w:type="dxa" w:w="2520"/>
            <w:vAlign w:val="center"/>
          </w:tcPr>
          <w:p>
            <w:pPr>
              <w:spacing w:after="40"/>
            </w:pPr>
            <w:r>
              <w:rPr>
                <w:sz w:val="16"/>
              </w:rPr>
              <w:t>Frequent nominal activity/tax proxy</w:t>
            </w:r>
          </w:p>
        </w:tc>
        <w:tc>
          <w:tcPr>
            <w:tcW w:type="dxa" w:w="2520"/>
            <w:vAlign w:val="center"/>
          </w:tcPr>
          <w:p>
            <w:pPr>
              <w:spacing w:after="40"/>
            </w:pPr>
            <w:r>
              <w:rPr>
                <w:sz w:val="16"/>
              </w:rPr>
              <w:t>Policy, compliance and inflation affect readings</w:t>
            </w:r>
          </w:p>
        </w:tc>
      </w:tr>
      <w:tr>
        <w:tc>
          <w:tcPr>
            <w:tcW w:type="dxa" w:w="2520"/>
            <w:vAlign w:val="center"/>
          </w:tcPr>
          <w:p>
            <w:pPr>
              <w:spacing w:after="40"/>
            </w:pPr>
            <w:r>
              <w:rPr>
                <w:sz w:val="16"/>
              </w:rPr>
              <w:t>6</w:t>
            </w:r>
          </w:p>
        </w:tc>
        <w:tc>
          <w:tcPr>
            <w:tcW w:type="dxa" w:w="2520"/>
            <w:vAlign w:val="center"/>
          </w:tcPr>
          <w:p>
            <w:pPr>
              <w:spacing w:after="40"/>
            </w:pPr>
            <w:r>
              <w:rPr>
                <w:sz w:val="16"/>
              </w:rPr>
              <w:t>Bank credit growth</w:t>
            </w:r>
          </w:p>
        </w:tc>
        <w:tc>
          <w:tcPr>
            <w:tcW w:type="dxa" w:w="2520"/>
            <w:vAlign w:val="center"/>
          </w:tcPr>
          <w:p>
            <w:pPr>
              <w:spacing w:after="40"/>
            </w:pPr>
            <w:r>
              <w:rPr>
                <w:sz w:val="16"/>
              </w:rPr>
              <w:t>Credit and financing conditions</w:t>
            </w:r>
          </w:p>
        </w:tc>
        <w:tc>
          <w:tcPr>
            <w:tcW w:type="dxa" w:w="2520"/>
            <w:vAlign w:val="center"/>
          </w:tcPr>
          <w:p>
            <w:pPr>
              <w:spacing w:after="40"/>
            </w:pPr>
            <w:r>
              <w:rPr>
                <w:sz w:val="16"/>
              </w:rPr>
              <w:t>Stock growth is not the same as new lending or productive investment</w:t>
            </w:r>
          </w:p>
        </w:tc>
      </w:tr>
      <w:tr>
        <w:tc>
          <w:tcPr>
            <w:tcW w:type="dxa" w:w="2520"/>
            <w:vAlign w:val="center"/>
          </w:tcPr>
          <w:p>
            <w:pPr>
              <w:spacing w:after="40"/>
            </w:pPr>
            <w:r>
              <w:rPr>
                <w:sz w:val="16"/>
              </w:rPr>
              <w:t>7</w:t>
            </w:r>
          </w:p>
        </w:tc>
        <w:tc>
          <w:tcPr>
            <w:tcW w:type="dxa" w:w="2520"/>
            <w:vAlign w:val="center"/>
          </w:tcPr>
          <w:p>
            <w:pPr>
              <w:spacing w:after="40"/>
            </w:pPr>
            <w:r>
              <w:rPr>
                <w:sz w:val="16"/>
              </w:rPr>
              <w:t>Real GDP/GVA growth</w:t>
            </w:r>
          </w:p>
        </w:tc>
        <w:tc>
          <w:tcPr>
            <w:tcW w:type="dxa" w:w="2520"/>
            <w:vAlign w:val="center"/>
          </w:tcPr>
          <w:p>
            <w:pPr>
              <w:spacing w:after="40"/>
            </w:pPr>
            <w:r>
              <w:rPr>
                <w:sz w:val="16"/>
              </w:rPr>
              <w:t>Broad macroeconomic backdrop</w:t>
            </w:r>
          </w:p>
        </w:tc>
        <w:tc>
          <w:tcPr>
            <w:tcW w:type="dxa" w:w="2520"/>
            <w:vAlign w:val="center"/>
          </w:tcPr>
          <w:p>
            <w:pPr>
              <w:spacing w:after="40"/>
            </w:pPr>
            <w:r>
              <w:rPr>
                <w:sz w:val="16"/>
              </w:rPr>
              <w:t>Quarterly and published with a lag; use as-of vintage</w:t>
            </w:r>
          </w:p>
        </w:tc>
      </w:tr>
      <w:tr>
        <w:tc>
          <w:tcPr>
            <w:tcW w:type="dxa" w:w="2520"/>
            <w:vAlign w:val="center"/>
          </w:tcPr>
          <w:p>
            <w:pPr>
              <w:spacing w:after="40"/>
            </w:pPr>
            <w:r>
              <w:rPr>
                <w:sz w:val="16"/>
              </w:rPr>
              <w:t>8</w:t>
            </w:r>
          </w:p>
        </w:tc>
        <w:tc>
          <w:tcPr>
            <w:tcW w:type="dxa" w:w="2520"/>
            <w:vAlign w:val="center"/>
          </w:tcPr>
          <w:p>
            <w:pPr>
              <w:spacing w:after="40"/>
            </w:pPr>
            <w:r>
              <w:rPr>
                <w:sz w:val="16"/>
              </w:rPr>
              <w:t>PLFS unemployment/LFPR/WPR changes</w:t>
            </w:r>
          </w:p>
        </w:tc>
        <w:tc>
          <w:tcPr>
            <w:tcW w:type="dxa" w:w="2520"/>
            <w:vAlign w:val="center"/>
          </w:tcPr>
          <w:p>
            <w:pPr>
              <w:spacing w:after="40"/>
            </w:pPr>
            <w:r>
              <w:rPr>
                <w:sz w:val="16"/>
              </w:rPr>
              <w:t>Labour-market context</w:t>
            </w:r>
          </w:p>
        </w:tc>
        <w:tc>
          <w:tcPr>
            <w:tcW w:type="dxa" w:w="2520"/>
            <w:vAlign w:val="center"/>
          </w:tcPr>
          <w:p>
            <w:pPr>
              <w:spacing w:after="40"/>
            </w:pPr>
            <w:r>
              <w:rPr>
                <w:sz w:val="16"/>
              </w:rPr>
              <w:t>Survey definitions and comparability must be checked</w:t>
            </w:r>
          </w:p>
        </w:tc>
      </w:tr>
      <w:tr>
        <w:tc>
          <w:tcPr>
            <w:tcW w:type="dxa" w:w="2520"/>
            <w:vAlign w:val="center"/>
          </w:tcPr>
          <w:p>
            <w:pPr>
              <w:spacing w:after="40"/>
            </w:pPr>
            <w:r>
              <w:rPr>
                <w:sz w:val="16"/>
              </w:rPr>
              <w:t>Later</w:t>
            </w:r>
          </w:p>
        </w:tc>
        <w:tc>
          <w:tcPr>
            <w:tcW w:type="dxa" w:w="2520"/>
            <w:vAlign w:val="center"/>
          </w:tcPr>
          <w:p>
            <w:pPr>
              <w:spacing w:after="40"/>
            </w:pPr>
            <w:r>
              <w:rPr>
                <w:sz w:val="16"/>
              </w:rPr>
              <w:t>Trade surprise, credit-sector detail, business-cycle composite</w:t>
            </w:r>
          </w:p>
        </w:tc>
        <w:tc>
          <w:tcPr>
            <w:tcW w:type="dxa" w:w="2520"/>
            <w:vAlign w:val="center"/>
          </w:tcPr>
          <w:p>
            <w:pPr>
              <w:spacing w:after="40"/>
            </w:pPr>
            <w:r>
              <w:rPr>
                <w:sz w:val="16"/>
              </w:rPr>
              <w:t>Potentially useful richer features</w:t>
            </w:r>
          </w:p>
        </w:tc>
        <w:tc>
          <w:tcPr>
            <w:tcW w:type="dxa" w:w="2520"/>
            <w:vAlign w:val="center"/>
          </w:tcPr>
          <w:p>
            <w:pPr>
              <w:spacing w:after="40"/>
            </w:pPr>
            <w:r>
              <w:rPr>
                <w:sz w:val="16"/>
              </w:rPr>
              <w:t>Requires robust vintage, timing and validation work</w:t>
            </w:r>
          </w:p>
        </w:tc>
      </w:tr>
    </w:tbl>
    <w:p/>
    <w:p>
      <w:r>
        <w:t>A compact first experiment could start with PMI manufacturing, PMI services, IIP YoY, vehicle-sales YoY, GST collection YoY and bank-credit growth, with GDP as a lower-frequency context feature. Only include columns for which release timing and history can be verified.</w:t>
      </w:r>
    </w:p>
    <w:p>
      <w:pPr>
        <w:pStyle w:val="Heading1"/>
      </w:pPr>
      <w:r>
        <w:t>15. Mentor / Team-Lead Summary</w:t>
      </w:r>
    </w:p>
    <w:p>
      <w:r>
        <w:t>Research objective: test whether Indian economic-activity and business-cycle indicators add incremental information to stock-market predictions. The candidate dimensions include national accounts, IIP, manufacturing/services PMI, labour-market measures, consumption proxies, GST collections, trade and bank credit.</w:t>
      </w:r>
    </w:p>
    <w:p>
      <w:r>
        <w:t>Candidate features include year-over-year growth, month/quarter changes, acceleration, PMI distance from 50, PMI momentum, standardised release surprises, rolling trend deviation and diffusion/regime indicators. These features have different frequencies and must be aligned by actual publication time.</w:t>
      </w:r>
    </w:p>
    <w:p>
      <w:r>
        <w:t>Key dependency: a vintage-aware data pipeline that distinguishes the period described by a statistic from when it became public, handles revisions and methodology breaks, and prevents future information from entering historical training rows.</w:t>
      </w:r>
    </w:p>
    <w:p>
      <w:r>
        <w:t>Recommended execution: validate a small set of accessible series, build a simple baseline, add one feature group at a time, and use chronological/walk-forward evaluation. Test incremental value across market regimes and against the other research categories.</w:t>
      </w:r>
    </w:p>
    <w:p>
      <w:r>
        <w:t>Main blockers: release lags, revisions, base-year changes, seasonality, nominal-vs-real confusion, inconsistent survey definitions, consensus-data access, licensing and low-frequency mismatch with a daily target. No candidate feature should be described as predictive until it demonstrates robust out-of-sample value.</w:t>
      </w:r>
    </w:p>
    <w:p>
      <w:pPr>
        <w:pStyle w:val="Heading1"/>
      </w:pPr>
      <w:r>
        <w:t>16. Research Checklist</w:t>
      </w:r>
    </w:p>
    <w:p>
      <w:pPr>
        <w:pStyle w:val="ListBullet"/>
        <w:spacing w:after="40"/>
      </w:pPr>
      <w:r>
        <w:t>☐ Prediction target and timestamp are explicitly defined.</w:t>
      </w:r>
    </w:p>
    <w:p>
      <w:pPr>
        <w:pStyle w:val="ListBullet"/>
        <w:spacing w:after="40"/>
      </w:pPr>
      <w:r>
        <w:t>☐ Every indicator has a precise definition, unit, frequency and source.</w:t>
      </w:r>
    </w:p>
    <w:p>
      <w:pPr>
        <w:pStyle w:val="ListBullet"/>
        <w:spacing w:after="40"/>
      </w:pPr>
      <w:r>
        <w:t>☐ Reference period and publication timestamp are stored separately.</w:t>
      </w:r>
    </w:p>
    <w:p>
      <w:pPr>
        <w:pStyle w:val="ListBullet"/>
        <w:spacing w:after="40"/>
      </w:pPr>
      <w:r>
        <w:t>☐ First-release and revised values are distinguished where possible.</w:t>
      </w:r>
    </w:p>
    <w:p>
      <w:pPr>
        <w:pStyle w:val="ListBullet"/>
        <w:spacing w:after="40"/>
      </w:pPr>
      <w:r>
        <w:t>☐ Survey flash/final values and methodology changes are documented.</w:t>
      </w:r>
    </w:p>
    <w:p>
      <w:pPr>
        <w:pStyle w:val="ListBullet"/>
        <w:spacing w:after="40"/>
      </w:pPr>
      <w:r>
        <w:t>☐ Nominal and real indicators are not confused.</w:t>
      </w:r>
    </w:p>
    <w:p>
      <w:pPr>
        <w:pStyle w:val="ListBullet"/>
        <w:spacing w:after="40"/>
      </w:pPr>
      <w:r>
        <w:t>☐ All rolling features are backward-looking and transformations are fitted on training data only.</w:t>
      </w:r>
    </w:p>
    <w:p>
      <w:pPr>
        <w:pStyle w:val="ListBullet"/>
        <w:spacing w:after="40"/>
      </w:pPr>
      <w:r>
        <w:t>☐ Chronological validation and simple baselines are complete.</w:t>
      </w:r>
    </w:p>
    <w:p>
      <w:pPr>
        <w:pStyle w:val="ListBullet"/>
        <w:spacing w:after="40"/>
      </w:pPr>
      <w:r>
        <w:t>☐ Incremental value over other feature categories is measured.</w:t>
      </w:r>
    </w:p>
    <w:p>
      <w:pPr>
        <w:pStyle w:val="ListBullet"/>
        <w:spacing w:after="40"/>
      </w:pPr>
      <w:r>
        <w:t>☐ Licensing, API limits, history depth and reuse rights are verified.</w:t>
      </w:r>
    </w:p>
    <w:p>
      <w:pPr>
        <w:pStyle w:val="Heading1"/>
      </w:pPr>
      <w:r>
        <w:t>17. Sources and Further Reading</w:t>
      </w:r>
    </w:p>
    <w:p>
      <w:pPr>
        <w:pStyle w:val="ListBullet"/>
        <w:spacing w:after="80"/>
      </w:pPr>
      <w:r>
        <w:rPr>
          <w:b/>
        </w:rPr>
        <w:t xml:space="preserve">MoSPI Release Calendar — </w:t>
      </w:r>
      <w:r>
        <w:t>https://www.mospi.gov.in/release-calendar</w:t>
        <w:br/>
        <w:t>Official release calendar; use for scheduled publications and verify actual timestamps.</w:t>
      </w:r>
    </w:p>
    <w:p>
      <w:pPr>
        <w:pStyle w:val="ListBullet"/>
        <w:spacing w:after="80"/>
      </w:pPr>
      <w:r>
        <w:rPr>
          <w:b/>
        </w:rPr>
        <w:t xml:space="preserve">MoSPI Advance Release Calendar — </w:t>
      </w:r>
      <w:r>
        <w:t>https://www.mospi.gov.in/advance-release-calendar</w:t>
        <w:br/>
        <w:t>Planned release schedule for major statistical publications.</w:t>
      </w:r>
    </w:p>
    <w:p>
      <w:pPr>
        <w:pStyle w:val="ListBullet"/>
        <w:spacing w:after="80"/>
      </w:pPr>
      <w:r>
        <w:rPr>
          <w:b/>
        </w:rPr>
        <w:t xml:space="preserve">MoSPI eSankhyiki catalogue — </w:t>
      </w:r>
      <w:r>
        <w:t>https://esankhyiki.mospi.gov.in/</w:t>
        <w:br/>
        <w:t>Official statistical catalogue; individual entries can show reference period, frequency and release date.</w:t>
      </w:r>
    </w:p>
    <w:p>
      <w:pPr>
        <w:pStyle w:val="ListBullet"/>
        <w:spacing w:after="80"/>
      </w:pPr>
      <w:r>
        <w:rPr>
          <w:b/>
        </w:rPr>
        <w:t xml:space="preserve">MoSPI / PIB GDP Q1 FY 2026–27 release, 31 August 2026 — </w:t>
      </w:r>
      <w:r>
        <w:t>https://www.pib.gov.in/PressReleasePage.aspx?PRID=2304949&amp;lang=1&amp;reg=48</w:t>
        <w:br/>
        <w:t>Example of a quarterly GDP release showing reference quarter and publication date as separate concepts.</w:t>
      </w:r>
    </w:p>
    <w:p>
      <w:pPr>
        <w:pStyle w:val="ListBullet"/>
        <w:spacing w:after="80"/>
      </w:pPr>
      <w:r>
        <w:rPr>
          <w:b/>
        </w:rPr>
        <w:t xml:space="preserve">MoSPI / PIB PLFS monthly bulletin, 15 April 2026 — </w:t>
      </w:r>
      <w:r>
        <w:t>https://www.pib.gov.in/PressReleasePage.aspx?PRID=2252224&amp;lang=1&amp;reg=1</w:t>
        <w:br/>
        <w:t>Explains that PLFS is a primary labour-market source and describes the monthly/quarterly release framework introduced from 2025.</w:t>
      </w:r>
    </w:p>
    <w:p>
      <w:pPr>
        <w:pStyle w:val="ListBullet"/>
        <w:spacing w:after="80"/>
      </w:pPr>
      <w:r>
        <w:rPr>
          <w:b/>
        </w:rPr>
        <w:t xml:space="preserve">S&amp;P Global PMI release calendar — </w:t>
      </w:r>
      <w:r>
        <w:t>https://pmi.spglobal.com/Public/Release/ReleaseDates</w:t>
        <w:br/>
        <w:t>Release schedule and UTC timing for PMI releases; verify the specific India series and access rights.</w:t>
      </w:r>
    </w:p>
    <w:p>
      <w:pPr>
        <w:pStyle w:val="ListBullet"/>
        <w:spacing w:after="80"/>
      </w:pPr>
      <w:r>
        <w:rPr>
          <w:b/>
        </w:rPr>
        <w:t xml:space="preserve">RBI Database on Indian Economy (DBIE) — </w:t>
      </w:r>
      <w:r>
        <w:t>https://dbie.rbi.org.in/</w:t>
        <w:br/>
        <w:t>Official RBI time-series database for credit, deposits and other economic/financial indicators.</w:t>
      </w:r>
    </w:p>
    <w:p>
      <w:pPr>
        <w:pStyle w:val="ListBullet"/>
        <w:spacing w:after="80"/>
      </w:pPr>
      <w:r>
        <w:rPr>
          <w:b/>
        </w:rPr>
        <w:t xml:space="preserve">Ministry of Commerce TradeStat — </w:t>
      </w:r>
      <w:r>
        <w:t>https://tradestat.commerce.gov.in/</w:t>
        <w:br/>
        <w:t>Official merchandise trade statistics and category-level data.</w:t>
      </w:r>
    </w:p>
    <w:p>
      <w:pPr>
        <w:pStyle w:val="ListBullet"/>
        <w:spacing w:after="80"/>
      </w:pPr>
      <w:r>
        <w:rPr>
          <w:b/>
        </w:rPr>
        <w:t xml:space="preserve">VAHAN dashboard — </w:t>
      </w:r>
      <w:r>
        <w:t>https://vahan.parivahan.gov.in/</w:t>
        <w:br/>
        <w:t>Vehicle registration data; interpret as registrations, not automatically equivalent to retail sales.</w:t>
      </w:r>
    </w:p>
    <w:p>
      <w:pPr>
        <w:pStyle w:val="ListBullet"/>
        <w:spacing w:after="80"/>
      </w:pPr>
      <w:r>
        <w:rPr>
          <w:b/>
        </w:rPr>
        <w:t xml:space="preserve">OECD Composite Leading Indicators — </w:t>
      </w:r>
      <w:r>
        <w:t>https://www.oecd.org/en/data/datasets/oecd-composite-leading-indicators-clis.html</w:t>
        <w:br/>
        <w:t>Methodology, update dates and international business-cycle context; check country coverage and frequency.</w:t>
      </w:r>
    </w:p>
    <w:p>
      <w:pPr>
        <w:pStyle w:val="ListBullet"/>
        <w:spacing w:after="80"/>
      </w:pPr>
      <w:r>
        <w:rPr>
          <w:b/>
        </w:rPr>
        <w:t xml:space="preserve">World Bank Data — </w:t>
      </w:r>
      <w:r>
        <w:t>https://data.worldbank.org/</w:t>
        <w:br/>
        <w:t>Long-run international economic indicators, useful for context but often too low-frequency/lagged for short-horizon signals.</w:t>
      </w:r>
    </w:p>
    <w:p>
      <w:pPr>
        <w:pStyle w:val="Heading1"/>
      </w:pPr>
      <w:r>
        <w:t>Final Research Caveat</w:t>
      </w:r>
    </w:p>
    <w:p>
      <w:r>
        <w:t>Economic indicators are noisy, revised and frequently anticipated by markets. A plausible economic story does not guarantee predictive value. Treat this document as a blueprint for data acquisition and empirical testing; conclusions must come from correctly timestamped, out-of-sample experiments.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Economic Growth &amp; Business Cycle Indicators | Research document | 14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6B8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36B8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