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Category 16: Currency, Foreign Exchange &amp; Capital Flows</w:t>
      </w:r>
    </w:p>
    <w:p>
      <w:pPr>
        <w:jc w:val="center"/>
      </w:pPr>
      <w:r>
        <w:t>USD/INR, FX volatility, external flows, and equity-market transmission</w:t>
      </w:r>
    </w:p>
    <w:p>
      <w:r>
        <w:t>Standalone research document | India-focused stock-market prediction project | Candidate features require empirical validation</w:t>
      </w:r>
    </w:p>
    <w:p>
      <w:pPr>
        <w:pStyle w:val="Heading1"/>
      </w:pPr>
      <w:r>
        <w:t>1. Executive Summary</w:t>
      </w:r>
    </w:p>
    <w:p>
      <w:r>
        <w:t>Currency and capital-flow features measure how exchange rates and cross-border investment conditions may affect Indian equities. USD/INR can influence imported input costs, export competitiveness, foreign-investor returns, inflation, and monetary policy. Foreign portfolio flows may interact with the rupee and equity demand, but direction is not deterministic.</w:t>
      </w:r>
    </w:p>
    <w:p>
      <w:r>
        <w:t>Separate spot exchange rates, forward/premium measures, FX volatility, trade/external-sector data, and foreign investment flows. A US-dollar strengthening episode can affect sectors differently: exporters may benefit from rupee translation, while import-dependent firms may face higher costs. The impact depends on hedging, pricing power, currency of revenue/costs, and time horizon.</w:t>
      </w:r>
    </w:p>
    <w:p>
      <w:pPr>
        <w:pStyle w:val="Heading1"/>
      </w:pPr>
      <w:r>
        <w:t>2. Research Dimensions</w:t>
      </w:r>
    </w:p>
    <w:p>
      <w:pPr>
        <w:pStyle w:val="ListBullet"/>
      </w:pPr>
      <w:r>
        <w:t>USD/INR spot level and percentage change.</w:t>
      </w:r>
    </w:p>
    <w:p>
      <w:pPr>
        <w:pStyle w:val="ListBullet"/>
      </w:pPr>
      <w:r>
        <w:t>Short- and medium-window FX volatility and large-move flags.</w:t>
      </w:r>
    </w:p>
    <w:p>
      <w:pPr>
        <w:pStyle w:val="ListBullet"/>
      </w:pPr>
      <w:r>
        <w:t>Currency trend/momentum and deviation from moving averages.</w:t>
      </w:r>
    </w:p>
    <w:p>
      <w:pPr>
        <w:pStyle w:val="ListBullet"/>
      </w:pPr>
      <w:r>
        <w:t>INR movement versus a broader dollar index or selected currencies, where data definitions align.</w:t>
      </w:r>
    </w:p>
    <w:p>
      <w:pPr>
        <w:pStyle w:val="ListBullet"/>
      </w:pPr>
      <w:r>
        <w:t>Forward premium/discount and interest-rate differential proxies, if licensed reliable data are available.</w:t>
      </w:r>
    </w:p>
    <w:p>
      <w:pPr>
        <w:pStyle w:val="ListBullet"/>
      </w:pPr>
      <w:r>
        <w:t>Foreign portfolio investment flows into Indian equity/debt markets.</w:t>
      </w:r>
    </w:p>
    <w:p>
      <w:pPr>
        <w:pStyle w:val="ListBullet"/>
      </w:pPr>
      <w:r>
        <w:t>Trade balance, exports/imports, current-account indicators, and foreign-exchange reserves.</w:t>
      </w:r>
    </w:p>
    <w:p>
      <w:pPr>
        <w:pStyle w:val="ListBullet"/>
      </w:pPr>
      <w:r>
        <w:t>Sector/company currency exposure: exporter/importer status, revenue/cost currency, and hedging disclosures.</w:t>
      </w:r>
    </w:p>
    <w:p>
      <w:pPr>
        <w:pStyle w:val="ListBullet"/>
      </w:pPr>
      <w:r>
        <w:t>Commodity-FX interaction: crude oil and other imports priced in USD.</w:t>
      </w:r>
    </w:p>
    <w:p>
      <w:pPr>
        <w:pStyle w:val="ListBullet"/>
      </w:pPr>
      <w:r>
        <w:t>Global risk-off interaction: dollar strength, volatility indices, and foreign outflow episodes.</w:t>
      </w:r>
    </w:p>
    <w:p>
      <w:pPr>
        <w:pStyle w:val="Heading1"/>
      </w:pPr>
      <w:r>
        <w:t>3. Transmission Mechanisms</w:t>
      </w:r>
    </w:p>
    <w:p>
      <w:pPr>
        <w:pStyle w:val="ListBullet"/>
      </w:pPr>
      <w:r>
        <w:t>Translation: foreign-currency revenues convert into more or fewer rupees as USD/INR changes.</w:t>
      </w:r>
    </w:p>
    <w:p>
      <w:pPr>
        <w:pStyle w:val="ListBullet"/>
      </w:pPr>
      <w:r>
        <w:t>Cost channel: imported energy, components, machinery, or debt servicing may become more expensive when the rupee weakens.</w:t>
      </w:r>
    </w:p>
    <w:p>
      <w:pPr>
        <w:pStyle w:val="ListBullet"/>
      </w:pPr>
      <w:r>
        <w:t>Competitiveness: exporters may gain price competitiveness, but imported inputs and hedges can offset the benefit.</w:t>
      </w:r>
    </w:p>
    <w:p>
      <w:pPr>
        <w:pStyle w:val="ListBullet"/>
      </w:pPr>
      <w:r>
        <w:t>Foreign-investor return: an overseas investor's INR equity return can differ from the return translated back into their home currency.</w:t>
      </w:r>
    </w:p>
    <w:p>
      <w:pPr>
        <w:pStyle w:val="ListBullet"/>
      </w:pPr>
      <w:r>
        <w:t>Inflation and rates: currency depreciation can affect import prices and monetary-policy trade-offs.</w:t>
      </w:r>
    </w:p>
    <w:p>
      <w:pPr>
        <w:pStyle w:val="ListBullet"/>
      </w:pPr>
      <w:r>
        <w:t>Capital-flow feedback: equity outflows can coincide with rupee pressure, but causality can run both ways and may be driven by global factors.</w:t>
      </w:r>
    </w:p>
    <w:p>
      <w:pPr>
        <w:pStyle w:val="Heading1"/>
      </w:pPr>
      <w:r>
        <w:t>4. Core Formulas</w:t>
      </w:r>
    </w:p>
    <w:p>
      <w:pPr>
        <w:pStyle w:val="Heading2"/>
      </w:pPr>
      <w:r>
        <w:t>4.1 FX returns</w:t>
      </w:r>
    </w:p>
    <w:p>
      <w:r>
        <w:t>USD/INR return = (FX_t / FX_(t−1)) − 1. A positive value means more rupees are needed to buy one US dollar, i.e. INR depreciation against USD under the usual quote.</w:t>
      </w:r>
    </w:p>
    <w:p>
      <w:r>
        <w:t>FX log return = ln(FX_t / FX_(t−1)). Rolling FX volatility = standard deviation of past FX returns over a chosen window, optionally annualized with √252 for daily observations.</w:t>
      </w:r>
    </w:p>
    <w:p>
      <w:pPr>
        <w:pStyle w:val="Heading2"/>
      </w:pPr>
      <w:r>
        <w:t>4.2 Moving-average deviation and momentum</w:t>
      </w:r>
    </w:p>
    <w:p>
      <w:r>
        <w:t>FX deviation from k-period average = FX_t / MA_k(FX)_t − 1. FX momentum over k periods = FX_t / FX_(t−k) − 1. These are descriptive features; quote direction must remain explicit.</w:t>
      </w:r>
    </w:p>
    <w:p>
      <w:pPr>
        <w:pStyle w:val="Heading2"/>
      </w:pPr>
      <w:r>
        <w:t>4.3 Foreign flow features</w:t>
      </w:r>
    </w:p>
    <w:p>
      <w:r>
        <w:t>Net foreign flow = purchases − sales where both are available. Normalized flow = net flow / a clearly defined denominator such as segment turnover or market capitalization proxy. Do not combine flow series from different providers until period, instrument coverage, and definitions have been reconciled.</w:t>
      </w:r>
    </w:p>
    <w:p>
      <w:pPr>
        <w:pStyle w:val="Heading2"/>
      </w:pPr>
      <w:r>
        <w:t>4.4 Currency-adjusted equity return</w:t>
      </w:r>
    </w:p>
    <w:p>
      <w:r>
        <w:t>For a foreign investor whose base currency is USD, a simplified USD return on an INR asset is (1 + INR equity return) / (1 + USD/INR return) − 1. This is a simplified unhedged conversion and excludes taxes, fees, and timing differences.</w:t>
      </w:r>
    </w:p>
    <w:p>
      <w:pPr>
        <w:pStyle w:val="Heading1"/>
      </w:pPr>
      <w:r>
        <w:t>5. Raw Data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Dataset</w:t>
            </w:r>
          </w:p>
        </w:tc>
        <w:tc>
          <w:tcPr>
            <w:tcW w:type="dxa" w:w="3312"/>
          </w:tcPr>
          <w:p>
            <w:r>
              <w:t>Columns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fx_spot_raw</w:t>
            </w:r>
          </w:p>
        </w:tc>
        <w:tc>
          <w:tcPr>
            <w:tcW w:type="dxa" w:w="3312"/>
          </w:tcPr>
          <w:p>
            <w:r>
              <w:t>date/time, pair, rate, quote_convention, source, published_at</w:t>
            </w:r>
          </w:p>
        </w:tc>
        <w:tc>
          <w:tcPr>
            <w:tcW w:type="dxa" w:w="3312"/>
          </w:tcPr>
          <w:p>
            <w:r>
              <w:t>Returns, momentum, volatility</w:t>
            </w:r>
          </w:p>
        </w:tc>
      </w:tr>
      <w:tr>
        <w:tc>
          <w:tcPr>
            <w:tcW w:type="dxa" w:w="3312"/>
          </w:tcPr>
          <w:p>
            <w:r>
              <w:t>fx_forward_raw</w:t>
            </w:r>
          </w:p>
        </w:tc>
        <w:tc>
          <w:tcPr>
            <w:tcW w:type="dxa" w:w="3312"/>
          </w:tcPr>
          <w:p>
            <w:r>
              <w:t>date, tenor, forward_rate or premium, units, source, availability_timestamp</w:t>
            </w:r>
          </w:p>
        </w:tc>
        <w:tc>
          <w:tcPr>
            <w:tcW w:type="dxa" w:w="3312"/>
          </w:tcPr>
          <w:p>
            <w:r>
              <w:t>Forward-premium context if reliable data are accessible</w:t>
            </w:r>
          </w:p>
        </w:tc>
      </w:tr>
      <w:tr>
        <w:tc>
          <w:tcPr>
            <w:tcW w:type="dxa" w:w="3312"/>
          </w:tcPr>
          <w:p>
            <w:r>
              <w:t>foreign_flows_raw</w:t>
            </w:r>
          </w:p>
        </w:tc>
        <w:tc>
          <w:tcPr>
            <w:tcW w:type="dxa" w:w="3312"/>
          </w:tcPr>
          <w:p>
            <w:r>
              <w:t>period, market, investor_category, purchases, sales, net_flow, currency, publication_timestamp</w:t>
            </w:r>
          </w:p>
        </w:tc>
        <w:tc>
          <w:tcPr>
            <w:tcW w:type="dxa" w:w="3312"/>
          </w:tcPr>
          <w:p>
            <w:r>
              <w:t>Equity/debt flow features</w:t>
            </w:r>
          </w:p>
        </w:tc>
      </w:tr>
      <w:tr>
        <w:tc>
          <w:tcPr>
            <w:tcW w:type="dxa" w:w="3312"/>
          </w:tcPr>
          <w:p>
            <w:r>
              <w:t>external_sector_raw</w:t>
            </w:r>
          </w:p>
        </w:tc>
        <w:tc>
          <w:tcPr>
            <w:tcW w:type="dxa" w:w="3312"/>
          </w:tcPr>
          <w:p>
            <w:r>
              <w:t>period, trade_balance, exports, imports, reserves, current_account, release_timestamp, vintage</w:t>
            </w:r>
          </w:p>
        </w:tc>
        <w:tc>
          <w:tcPr>
            <w:tcW w:type="dxa" w:w="3312"/>
          </w:tcPr>
          <w:p>
            <w:r>
              <w:t>Slow-moving external context</w:t>
            </w:r>
          </w:p>
        </w:tc>
      </w:tr>
      <w:tr>
        <w:tc>
          <w:tcPr>
            <w:tcW w:type="dxa" w:w="3312"/>
          </w:tcPr>
          <w:p>
            <w:r>
              <w:t>company_fx_exposure</w:t>
            </w:r>
          </w:p>
        </w:tc>
        <w:tc>
          <w:tcPr>
            <w:tcW w:type="dxa" w:w="3312"/>
          </w:tcPr>
          <w:p>
            <w:r>
              <w:t>security_id, export_share, import_share, currency_debt, hedging_notes, report_period, published_at</w:t>
            </w:r>
          </w:p>
        </w:tc>
        <w:tc>
          <w:tcPr>
            <w:tcW w:type="dxa" w:w="3312"/>
          </w:tcPr>
          <w:p>
            <w:r>
              <w:t>Company/sector sensitivity</w:t>
            </w:r>
          </w:p>
        </w:tc>
      </w:tr>
      <w:tr>
        <w:tc>
          <w:tcPr>
            <w:tcW w:type="dxa" w:w="3312"/>
          </w:tcPr>
          <w:p>
            <w:r>
              <w:t>global_fx_context</w:t>
            </w:r>
          </w:p>
        </w:tc>
        <w:tc>
          <w:tcPr>
            <w:tcW w:type="dxa" w:w="3312"/>
          </w:tcPr>
          <w:p>
            <w:r>
              <w:t>date, broad_dollar_index_or_proxy, rates, volatility_proxy, source_timestamp</w:t>
            </w:r>
          </w:p>
        </w:tc>
        <w:tc>
          <w:tcPr>
            <w:tcW w:type="dxa" w:w="3312"/>
          </w:tcPr>
          <w:p>
            <w:r>
              <w:t>Global regime interactions</w:t>
            </w:r>
          </w:p>
        </w:tc>
      </w:tr>
    </w:tbl>
    <w:p>
      <w:pPr>
        <w:pStyle w:val="Heading1"/>
      </w:pPr>
      <w:r>
        <w:t>6. Data 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Source</w:t>
            </w:r>
          </w:p>
        </w:tc>
        <w:tc>
          <w:tcPr>
            <w:tcW w:type="dxa" w:w="3312"/>
          </w:tcPr>
          <w:p>
            <w:r>
              <w:t>URL</w:t>
            </w:r>
          </w:p>
        </w:tc>
        <w:tc>
          <w:tcPr>
            <w:tcW w:type="dxa" w:w="3312"/>
          </w:tcPr>
          <w:p>
            <w:r>
              <w:t>Potential use / limitations</w:t>
            </w:r>
          </w:p>
        </w:tc>
      </w:tr>
      <w:tr>
        <w:tc>
          <w:tcPr>
            <w:tcW w:type="dxa" w:w="3312"/>
          </w:tcPr>
          <w:p>
            <w:r>
              <w:t>RBI DBIE</w:t>
            </w:r>
          </w:p>
        </w:tc>
        <w:tc>
          <w:tcPr>
            <w:tcW w:type="dxa" w:w="3312"/>
          </w:tcPr>
          <w:p>
            <w:r>
              <w:t>https://dbie.rbi.org.in/</w:t>
            </w:r>
          </w:p>
        </w:tc>
        <w:tc>
          <w:tcPr>
            <w:tcW w:type="dxa" w:w="3312"/>
          </w:tcPr>
          <w:p>
            <w:r>
              <w:t>Official Indian macro/FX and external-sector series; frequency and publication lags differ by series.</w:t>
            </w:r>
          </w:p>
        </w:tc>
      </w:tr>
      <w:tr>
        <w:tc>
          <w:tcPr>
            <w:tcW w:type="dxa" w:w="3312"/>
          </w:tcPr>
          <w:p>
            <w:r>
              <w:t>RBI</w:t>
            </w:r>
          </w:p>
        </w:tc>
        <w:tc>
          <w:tcPr>
            <w:tcW w:type="dxa" w:w="3312"/>
          </w:tcPr>
          <w:p>
            <w:r>
              <w:t>https://www.rbi.org.in/</w:t>
            </w:r>
          </w:p>
        </w:tc>
        <w:tc>
          <w:tcPr>
            <w:tcW w:type="dxa" w:w="3312"/>
          </w:tcPr>
          <w:p>
            <w:r>
              <w:t>Exchange-rate reference data, policy publications, external-sector releases; verify exact current tables and timestamps.</w:t>
            </w:r>
          </w:p>
        </w:tc>
      </w:tr>
      <w:tr>
        <w:tc>
          <w:tcPr>
            <w:tcW w:type="dxa" w:w="3312"/>
          </w:tcPr>
          <w:p>
            <w:r>
              <w:t>NSDL FPI</w:t>
            </w:r>
          </w:p>
        </w:tc>
        <w:tc>
          <w:tcPr>
            <w:tcW w:type="dxa" w:w="3312"/>
          </w:tcPr>
          <w:p>
            <w:r>
              <w:t>https://www.fpi.nsdl.co.in/</w:t>
            </w:r>
          </w:p>
        </w:tc>
        <w:tc>
          <w:tcPr>
            <w:tcW w:type="dxa" w:w="3312"/>
          </w:tcPr>
          <w:p>
            <w:r>
              <w:t>FPI statistics and investment-flow context; check asset class and reporting period.</w:t>
            </w:r>
          </w:p>
        </w:tc>
      </w:tr>
      <w:tr>
        <w:tc>
          <w:tcPr>
            <w:tcW w:type="dxa" w:w="3312"/>
          </w:tcPr>
          <w:p>
            <w:r>
              <w:t>NSE FII/FPI &amp; DII reports</w:t>
            </w:r>
          </w:p>
        </w:tc>
        <w:tc>
          <w:tcPr>
            <w:tcW w:type="dxa" w:w="3312"/>
          </w:tcPr>
          <w:p>
            <w:r>
              <w:t>https://www.nseindia.com/reports/fii-dii</w:t>
            </w:r>
          </w:p>
        </w:tc>
        <w:tc>
          <w:tcPr>
            <w:tcW w:type="dxa" w:w="3312"/>
          </w:tcPr>
          <w:p>
            <w:r>
              <w:t>Exchange-reported institutional activity; not the same as every measure of foreign capital flow.</w:t>
            </w:r>
          </w:p>
        </w:tc>
      </w:tr>
      <w:tr>
        <w:tc>
          <w:tcPr>
            <w:tcW w:type="dxa" w:w="3312"/>
          </w:tcPr>
          <w:p>
            <w:r>
              <w:t>SEBI</w:t>
            </w:r>
          </w:p>
        </w:tc>
        <w:tc>
          <w:tcPr>
            <w:tcW w:type="dxa" w:w="3312"/>
          </w:tcPr>
          <w:p>
            <w:r>
              <w:t>https://www.sebi.gov.in/</w:t>
            </w:r>
          </w:p>
        </w:tc>
        <w:tc>
          <w:tcPr>
            <w:tcW w:type="dxa" w:w="3312"/>
          </w:tcPr>
          <w:p>
            <w:r>
              <w:t>FPI rules, regulatory definitions, and market statistics.</w:t>
            </w:r>
          </w:p>
        </w:tc>
      </w:tr>
      <w:tr>
        <w:tc>
          <w:tcPr>
            <w:tcW w:type="dxa" w:w="3312"/>
          </w:tcPr>
          <w:p>
            <w:r>
              <w:t>IMF Data</w:t>
            </w:r>
          </w:p>
        </w:tc>
        <w:tc>
          <w:tcPr>
            <w:tcW w:type="dxa" w:w="3312"/>
          </w:tcPr>
          <w:p>
            <w:r>
              <w:t>https://data.imf.org/</w:t>
            </w:r>
          </w:p>
        </w:tc>
        <w:tc>
          <w:tcPr>
            <w:tcW w:type="dxa" w:w="3312"/>
          </w:tcPr>
          <w:p>
            <w:r>
              <w:t>Cross-country macro and exchange-rate series; release lag and series definitions vary.</w:t>
            </w:r>
          </w:p>
        </w:tc>
      </w:tr>
      <w:tr>
        <w:tc>
          <w:tcPr>
            <w:tcW w:type="dxa" w:w="3312"/>
          </w:tcPr>
          <w:p>
            <w:r>
              <w:t>FRED</w:t>
            </w:r>
          </w:p>
        </w:tc>
        <w:tc>
          <w:tcPr>
            <w:tcW w:type="dxa" w:w="3312"/>
          </w:tcPr>
          <w:p>
            <w:r>
              <w:t>https://fred.stlouisfed.org/</w:t>
            </w:r>
          </w:p>
        </w:tc>
        <w:tc>
          <w:tcPr>
            <w:tcW w:type="dxa" w:w="3312"/>
          </w:tcPr>
          <w:p>
            <w:r>
              <w:t>Convenient US/global series and dollar-related proxies; check source lineage, frequency, and license.</w:t>
            </w:r>
          </w:p>
        </w:tc>
      </w:tr>
      <w:tr>
        <w:tc>
          <w:tcPr>
            <w:tcW w:type="dxa" w:w="3312"/>
          </w:tcPr>
          <w:p>
            <w:r>
              <w:t>Ministry of Commerce TradeStat</w:t>
            </w:r>
          </w:p>
        </w:tc>
        <w:tc>
          <w:tcPr>
            <w:tcW w:type="dxa" w:w="3312"/>
          </w:tcPr>
          <w:p>
            <w:r>
              <w:t>https://tradestat.commerce.gov.in/</w:t>
            </w:r>
          </w:p>
        </w:tc>
        <w:tc>
          <w:tcPr>
            <w:tcW w:type="dxa" w:w="3312"/>
          </w:tcPr>
          <w:p>
            <w:r>
              <w:t>Indian trade statistics; often monthly and released with a lag.</w:t>
            </w:r>
          </w:p>
        </w:tc>
      </w:tr>
    </w:tbl>
    <w:p>
      <w:pPr>
        <w:pStyle w:val="Heading1"/>
      </w:pPr>
      <w:r>
        <w:t>7. Data Frequency and Leakage Risks</w:t>
      </w:r>
    </w:p>
    <w:p>
      <w:pPr>
        <w:pStyle w:val="ListBullet"/>
      </w:pPr>
      <w:r>
        <w:t>Spot FX may be daily, but ensure the chosen rate is timestamped and aligned to the Indian equity market cutoff.</w:t>
      </w:r>
    </w:p>
    <w:p>
      <w:pPr>
        <w:pStyle w:val="ListBullet"/>
      </w:pPr>
      <w:r>
        <w:t>Do not treat a daily reference rate published later in the day as available at the market open.</w:t>
      </w:r>
    </w:p>
    <w:p>
      <w:pPr>
        <w:pStyle w:val="ListBullet"/>
      </w:pPr>
      <w:r>
        <w:t>Monthly trade, reserve, and current-account data must enter the model only after their release timestamp.</w:t>
      </w:r>
    </w:p>
    <w:p>
      <w:pPr>
        <w:pStyle w:val="ListBullet"/>
      </w:pPr>
      <w:r>
        <w:t>Store initial and revised macro values when possible; do not retroactively use revisions.</w:t>
      </w:r>
    </w:p>
    <w:p>
      <w:pPr>
        <w:pStyle w:val="ListBullet"/>
      </w:pPr>
      <w:r>
        <w:t>Foreign-flow reports may be provisional and definitions can differ between exchange and depository sources.</w:t>
      </w:r>
    </w:p>
    <w:p>
      <w:pPr>
        <w:pStyle w:val="ListBullet"/>
      </w:pPr>
      <w:r>
        <w:t>Currency quote convention must be explicit; an increase in USD/INR means INR depreciation, not appreciation.</w:t>
      </w:r>
    </w:p>
    <w:p>
      <w:pPr>
        <w:pStyle w:val="ListBullet"/>
      </w:pPr>
      <w:r>
        <w:t>Company export/import exposures may be disclosed quarterly or annually; use the actual filing date.</w:t>
      </w:r>
    </w:p>
    <w:p>
      <w:pPr>
        <w:pStyle w:val="ListBullet"/>
      </w:pPr>
      <w:r>
        <w:t>Do not assume a weaker rupee is always positive for exporters or negative for all Indian stocks.</w:t>
      </w:r>
    </w:p>
    <w:p>
      <w:pPr>
        <w:pStyle w:val="Heading1"/>
      </w:pPr>
      <w:r>
        <w:t>8. Candidate Features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Level/frequency</w:t>
            </w:r>
          </w:p>
        </w:tc>
        <w:tc>
          <w:tcPr>
            <w:tcW w:type="dxa" w:w="3312"/>
          </w:tcPr>
          <w:p>
            <w:r>
              <w:t>Caution</w:t>
            </w:r>
          </w:p>
        </w:tc>
      </w:tr>
      <w:tr>
        <w:tc>
          <w:tcPr>
            <w:tcW w:type="dxa" w:w="3312"/>
          </w:tcPr>
          <w:p>
            <w:r>
              <w:t>USD/INR 1/5/20-session return</w:t>
            </w:r>
          </w:p>
        </w:tc>
        <w:tc>
          <w:tcPr>
            <w:tcW w:type="dxa" w:w="3312"/>
          </w:tcPr>
          <w:p>
            <w:r>
              <w:t>Daily</w:t>
            </w:r>
          </w:p>
        </w:tc>
        <w:tc>
          <w:tcPr>
            <w:tcW w:type="dxa" w:w="3312"/>
          </w:tcPr>
          <w:p>
            <w:r>
              <w:t>Interpret sign using quote convention</w:t>
            </w:r>
          </w:p>
        </w:tc>
      </w:tr>
      <w:tr>
        <w:tc>
          <w:tcPr>
            <w:tcW w:type="dxa" w:w="3312"/>
          </w:tcPr>
          <w:p>
            <w:r>
              <w:t>USD/INR 20-day volatility</w:t>
            </w:r>
          </w:p>
        </w:tc>
        <w:tc>
          <w:tcPr>
            <w:tcW w:type="dxa" w:w="3312"/>
          </w:tcPr>
          <w:p>
            <w:r>
              <w:t>Daily</w:t>
            </w:r>
          </w:p>
        </w:tc>
        <w:tc>
          <w:tcPr>
            <w:tcW w:type="dxa" w:w="3312"/>
          </w:tcPr>
          <w:p>
            <w:r>
              <w:t>May predict uncertainty rather than direction</w:t>
            </w:r>
          </w:p>
        </w:tc>
      </w:tr>
      <w:tr>
        <w:tc>
          <w:tcPr>
            <w:tcW w:type="dxa" w:w="3312"/>
          </w:tcPr>
          <w:p>
            <w:r>
              <w:t>FX deviation from 20/60-day average</w:t>
            </w:r>
          </w:p>
        </w:tc>
        <w:tc>
          <w:tcPr>
            <w:tcW w:type="dxa" w:w="3312"/>
          </w:tcPr>
          <w:p>
            <w:r>
              <w:t>Daily</w:t>
            </w:r>
          </w:p>
        </w:tc>
        <w:tc>
          <w:tcPr>
            <w:tcW w:type="dxa" w:w="3312"/>
          </w:tcPr>
          <w:p>
            <w:r>
              <w:t>Moving average must be backward-looking</w:t>
            </w:r>
          </w:p>
        </w:tc>
      </w:tr>
      <w:tr>
        <w:tc>
          <w:tcPr>
            <w:tcW w:type="dxa" w:w="3312"/>
          </w:tcPr>
          <w:p>
            <w:r>
              <w:t>USD/INR × crude-oil return interaction</w:t>
            </w:r>
          </w:p>
        </w:tc>
        <w:tc>
          <w:tcPr>
            <w:tcW w:type="dxa" w:w="3312"/>
          </w:tcPr>
          <w:p>
            <w:r>
              <w:t>Daily</w:t>
            </w:r>
          </w:p>
        </w:tc>
        <w:tc>
          <w:tcPr>
            <w:tcW w:type="dxa" w:w="3312"/>
          </w:tcPr>
          <w:p>
            <w:r>
              <w:t>Potential import-cost/inflation channel, not universal</w:t>
            </w:r>
          </w:p>
        </w:tc>
      </w:tr>
      <w:tr>
        <w:tc>
          <w:tcPr>
            <w:tcW w:type="dxa" w:w="3312"/>
          </w:tcPr>
          <w:p>
            <w:r>
              <w:t>FPI net equity flow rolling sum</w:t>
            </w:r>
          </w:p>
        </w:tc>
        <w:tc>
          <w:tcPr>
            <w:tcW w:type="dxa" w:w="3312"/>
          </w:tcPr>
          <w:p>
            <w:r>
              <w:t>Daily/periodic</w:t>
            </w:r>
          </w:p>
        </w:tc>
        <w:tc>
          <w:tcPr>
            <w:tcW w:type="dxa" w:w="3312"/>
          </w:tcPr>
          <w:p>
            <w:r>
              <w:t>Coverage may be aggregate and provisional</w:t>
            </w:r>
          </w:p>
        </w:tc>
      </w:tr>
      <w:tr>
        <w:tc>
          <w:tcPr>
            <w:tcW w:type="dxa" w:w="3312"/>
          </w:tcPr>
          <w:p>
            <w:r>
              <w:t>INR-adjusted foreign investor return proxy</w:t>
            </w:r>
          </w:p>
        </w:tc>
        <w:tc>
          <w:tcPr>
            <w:tcW w:type="dxa" w:w="3312"/>
          </w:tcPr>
          <w:p>
            <w:r>
              <w:t>Daily</w:t>
            </w:r>
          </w:p>
        </w:tc>
        <w:tc>
          <w:tcPr>
            <w:tcW w:type="dxa" w:w="3312"/>
          </w:tcPr>
          <w:p>
            <w:r>
              <w:t>Simplified and depends on timing/hedging assumptions</w:t>
            </w:r>
          </w:p>
        </w:tc>
      </w:tr>
      <w:tr>
        <w:tc>
          <w:tcPr>
            <w:tcW w:type="dxa" w:w="3312"/>
          </w:tcPr>
          <w:p>
            <w:r>
              <w:t>Trade balance change or surprise</w:t>
            </w:r>
          </w:p>
        </w:tc>
        <w:tc>
          <w:tcPr>
            <w:tcW w:type="dxa" w:w="3312"/>
          </w:tcPr>
          <w:p>
            <w:r>
              <w:t>Monthly/release-based</w:t>
            </w:r>
          </w:p>
        </w:tc>
        <w:tc>
          <w:tcPr>
            <w:tcW w:type="dxa" w:w="3312"/>
          </w:tcPr>
          <w:p>
            <w:r>
              <w:t>Use release timestamp and avoid revised data leakage</w:t>
            </w:r>
          </w:p>
        </w:tc>
      </w:tr>
      <w:tr>
        <w:tc>
          <w:tcPr>
            <w:tcW w:type="dxa" w:w="3312"/>
          </w:tcPr>
          <w:p>
            <w:r>
              <w:t>Company export/import exposure × FX move</w:t>
            </w:r>
          </w:p>
        </w:tc>
        <w:tc>
          <w:tcPr>
            <w:tcW w:type="dxa" w:w="3312"/>
          </w:tcPr>
          <w:p>
            <w:r>
              <w:t>Quarterly disclosure + daily FX</w:t>
            </w:r>
          </w:p>
        </w:tc>
        <w:tc>
          <w:tcPr>
            <w:tcW w:type="dxa" w:w="3312"/>
          </w:tcPr>
          <w:p>
            <w:r>
              <w:t>Disclosure lag and hedging make exposure noisy</w:t>
            </w:r>
          </w:p>
        </w:tc>
      </w:tr>
      <w:tr>
        <w:tc>
          <w:tcPr>
            <w:tcW w:type="dxa" w:w="3312"/>
          </w:tcPr>
          <w:p>
            <w:r>
              <w:t>Reserve/current-account trend</w:t>
            </w:r>
          </w:p>
        </w:tc>
        <w:tc>
          <w:tcPr>
            <w:tcW w:type="dxa" w:w="3312"/>
          </w:tcPr>
          <w:p>
            <w:r>
              <w:t>Monthly/quarterly</w:t>
            </w:r>
          </w:p>
        </w:tc>
        <w:tc>
          <w:tcPr>
            <w:tcW w:type="dxa" w:w="3312"/>
          </w:tcPr>
          <w:p>
            <w:r>
              <w:t>Slow frequency; may not improve short-horizon forecasts</w:t>
            </w:r>
          </w:p>
        </w:tc>
      </w:tr>
    </w:tbl>
    <w:p>
      <w:pPr>
        <w:pStyle w:val="Heading1"/>
      </w:pPr>
      <w:r>
        <w:t>9. Blockers and Mitigations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Blocker</w:t>
            </w:r>
          </w:p>
        </w:tc>
        <w:tc>
          <w:tcPr>
            <w:tcW w:type="dxa" w:w="3312"/>
          </w:tcPr>
          <w:p>
            <w:r>
              <w:t>Risk</w:t>
            </w:r>
          </w:p>
        </w:tc>
        <w:tc>
          <w:tcPr>
            <w:tcW w:type="dxa" w:w="3312"/>
          </w:tcPr>
          <w:p>
            <w:r>
              <w:t>Mitigation</w:t>
            </w:r>
          </w:p>
        </w:tc>
      </w:tr>
      <w:tr>
        <w:tc>
          <w:tcPr>
            <w:tcW w:type="dxa" w:w="3312"/>
          </w:tcPr>
          <w:p>
            <w:r>
              <w:t>Mixed FX sources and quote conventions</w:t>
            </w:r>
          </w:p>
        </w:tc>
        <w:tc>
          <w:tcPr>
            <w:tcW w:type="dxa" w:w="3312"/>
          </w:tcPr>
          <w:p>
            <w:r>
              <w:t>Sign errors or incompatible rates</w:t>
            </w:r>
          </w:p>
        </w:tc>
        <w:tc>
          <w:tcPr>
            <w:tcW w:type="dxa" w:w="3312"/>
          </w:tcPr>
          <w:p>
            <w:r>
              <w:t>Store pair, units, quote convention, timestamp</w:t>
            </w:r>
          </w:p>
        </w:tc>
      </w:tr>
      <w:tr>
        <w:tc>
          <w:tcPr>
            <w:tcW w:type="dxa" w:w="3312"/>
          </w:tcPr>
          <w:p>
            <w:r>
              <w:t>Different flow definitions</w:t>
            </w:r>
          </w:p>
        </w:tc>
        <w:tc>
          <w:tcPr>
            <w:tcW w:type="dxa" w:w="3312"/>
          </w:tcPr>
          <w:p>
            <w:r>
              <w:t>False correlations</w:t>
            </w:r>
          </w:p>
        </w:tc>
        <w:tc>
          <w:tcPr>
            <w:tcW w:type="dxa" w:w="3312"/>
          </w:tcPr>
          <w:p>
            <w:r>
              <w:t>Compare scope, asset class, and period before merging</w:t>
            </w:r>
          </w:p>
        </w:tc>
      </w:tr>
      <w:tr>
        <w:tc>
          <w:tcPr>
            <w:tcW w:type="dxa" w:w="3312"/>
          </w:tcPr>
          <w:p>
            <w:r>
              <w:t>Low-frequency external data</w:t>
            </w:r>
          </w:p>
        </w:tc>
        <w:tc>
          <w:tcPr>
            <w:tcW w:type="dxa" w:w="3312"/>
          </w:tcPr>
          <w:p>
            <w:r>
              <w:t>Stale features</w:t>
            </w:r>
          </w:p>
        </w:tc>
        <w:tc>
          <w:tcPr>
            <w:tcW w:type="dxa" w:w="3312"/>
          </w:tcPr>
          <w:p>
            <w:r>
              <w:t>Use release-based availability and missingness/staleness flags</w:t>
            </w:r>
          </w:p>
        </w:tc>
      </w:tr>
      <w:tr>
        <w:tc>
          <w:tcPr>
            <w:tcW w:type="dxa" w:w="3312"/>
          </w:tcPr>
          <w:p>
            <w:r>
              <w:t>Company hedge disclosures incomplete</w:t>
            </w:r>
          </w:p>
        </w:tc>
        <w:tc>
          <w:tcPr>
            <w:tcW w:type="dxa" w:w="3312"/>
          </w:tcPr>
          <w:p>
            <w:r>
              <w:t>Exposure mismeasurement</w:t>
            </w:r>
          </w:p>
        </w:tc>
        <w:tc>
          <w:tcPr>
            <w:tcW w:type="dxa" w:w="3312"/>
          </w:tcPr>
          <w:p>
            <w:r>
              <w:t>Treat as approximate categories; document limitations</w:t>
            </w:r>
          </w:p>
        </w:tc>
      </w:tr>
      <w:tr>
        <w:tc>
          <w:tcPr>
            <w:tcW w:type="dxa" w:w="3312"/>
          </w:tcPr>
          <w:p>
            <w:r>
              <w:t>Endogeneity between FX and equities</w:t>
            </w:r>
          </w:p>
        </w:tc>
        <w:tc>
          <w:tcPr>
            <w:tcW w:type="dxa" w:w="3312"/>
          </w:tcPr>
          <w:p>
            <w:r>
              <w:t>Causal overclaiming</w:t>
            </w:r>
          </w:p>
        </w:tc>
        <w:tc>
          <w:tcPr>
            <w:tcW w:type="dxa" w:w="3312"/>
          </w:tcPr>
          <w:p>
            <w:r>
              <w:t>Use lags, event analysis, and out-of-sample tests</w:t>
            </w:r>
          </w:p>
        </w:tc>
      </w:tr>
      <w:tr>
        <w:tc>
          <w:tcPr>
            <w:tcW w:type="dxa" w:w="3312"/>
          </w:tcPr>
          <w:p>
            <w:r>
              <w:t>Vendor access/licensing</w:t>
            </w:r>
          </w:p>
        </w:tc>
        <w:tc>
          <w:tcPr>
            <w:tcW w:type="dxa" w:w="3312"/>
          </w:tcPr>
          <w:p>
            <w:r>
              <w:t>Pipeline fragility</w:t>
            </w:r>
          </w:p>
        </w:tc>
        <w:tc>
          <w:tcPr>
            <w:tcW w:type="dxa" w:w="3312"/>
          </w:tcPr>
          <w:p>
            <w:r>
              <w:t>Verify API terms, limits, historical depth and costs</w:t>
            </w:r>
          </w:p>
        </w:tc>
      </w:tr>
    </w:tbl>
    <w:p>
      <w:pPr>
        <w:pStyle w:val="Heading1"/>
      </w:pPr>
      <w:r>
        <w:t>10. Validation Plan</w:t>
      </w:r>
    </w:p>
    <w:p>
      <w:pPr>
        <w:pStyle w:val="ListNumber"/>
      </w:pPr>
      <w:r>
        <w:t>Start with USD/INR returns, momentum, and volatility.</w:t>
      </w:r>
    </w:p>
    <w:p>
      <w:pPr>
        <w:pStyle w:val="ListNumber"/>
      </w:pPr>
      <w:r>
        <w:t>Add foreign equity-flow features only after harmonizing definitions and publication times.</w:t>
      </w:r>
    </w:p>
    <w:p>
      <w:pPr>
        <w:pStyle w:val="ListNumber"/>
      </w:pPr>
      <w:r>
        <w:t>Add crude oil and global dollar/rate context as separate features before interaction terms.</w:t>
      </w:r>
    </w:p>
    <w:p>
      <w:pPr>
        <w:pStyle w:val="ListNumber"/>
      </w:pPr>
      <w:r>
        <w:t>Test sector-specific effects for exporters, importers, banks, oil-sensitive companies, and other defined groups.</w:t>
      </w:r>
    </w:p>
    <w:p>
      <w:pPr>
        <w:pStyle w:val="ListNumber"/>
      </w:pPr>
      <w:r>
        <w:t>Use walk-forward testing and compare with a market/technical baseline.</w:t>
      </w:r>
    </w:p>
    <w:p>
      <w:pPr>
        <w:pStyle w:val="ListNumber"/>
      </w:pPr>
      <w:r>
        <w:t>Evaluate whether FX variables improve direction, risk, or sector-relative forecasts; these are distinct targets.</w:t>
      </w:r>
    </w:p>
    <w:p>
      <w:pPr>
        <w:pStyle w:val="ListNumber"/>
      </w:pPr>
      <w:r>
        <w:t>Run sensitivity checks across crisis, stable-currency, and high-volatility regimes.</w:t>
      </w:r>
    </w:p>
    <w:p>
      <w:pPr>
        <w:pStyle w:val="Heading1"/>
      </w:pPr>
      <w:r>
        <w:t>11. Candidate Shortlist (Not Validated)</w:t>
      </w:r>
    </w:p>
    <w:p>
      <w:pPr>
        <w:pStyle w:val="ListNumber"/>
      </w:pPr>
      <w:r>
        <w:t>USD/INR 5- and 20-session returns.</w:t>
      </w:r>
    </w:p>
    <w:p>
      <w:pPr>
        <w:pStyle w:val="ListNumber"/>
      </w:pPr>
      <w:r>
        <w:t>USD/INR 20-session realized volatility.</w:t>
      </w:r>
    </w:p>
    <w:p>
      <w:pPr>
        <w:pStyle w:val="ListNumber"/>
      </w:pPr>
      <w:r>
        <w:t>USD/INR deviation from 20- and 60-session averages.</w:t>
      </w:r>
    </w:p>
    <w:p>
      <w:pPr>
        <w:pStyle w:val="ListNumber"/>
      </w:pPr>
      <w:r>
        <w:t>Rolling FPI net equity-flow feature with publication-time safeguards.</w:t>
      </w:r>
    </w:p>
    <w:p>
      <w:pPr>
        <w:pStyle w:val="ListNumber"/>
      </w:pPr>
      <w:r>
        <w:t>USD/INR × crude-oil interaction.</w:t>
      </w:r>
    </w:p>
    <w:p>
      <w:pPr>
        <w:pStyle w:val="ListNumber"/>
      </w:pPr>
      <w:r>
        <w:t>One sector/company FX-exposure interaction where exposure data are credible.</w:t>
      </w:r>
    </w:p>
    <w:p>
      <w:pPr>
        <w:pStyle w:val="Heading1"/>
      </w:pPr>
      <w:r>
        <w:t>12. Mentor / Team Lead Summary</w:t>
      </w:r>
    </w:p>
    <w:p>
      <w:r>
        <w:t>Investigate currency and foreign-capital features as external drivers of Indian equities. Start with timestamped USD/INR data and a consistent FPI-flow series, then add trade/current-account context and company exposure only if historical releases are usable point in time. Main risks are quote-direction errors, inconsistent flow definitions, release delays, revisions, and overgeneralizing exporter/importer effects.</w:t>
      </w:r>
    </w:p>
    <w:p>
      <w:pPr>
        <w:pStyle w:val="Heading1"/>
      </w:pPr>
      <w:r>
        <w:t>13. Checklist</w:t>
      </w:r>
    </w:p>
    <w:p>
      <w:pPr>
        <w:pStyle w:val="ListBullet"/>
      </w:pPr>
      <w:r>
        <w:t>Select FX pair and confirm quote convention.</w:t>
      </w:r>
    </w:p>
    <w:p>
      <w:pPr>
        <w:pStyle w:val="ListBullet"/>
      </w:pPr>
      <w:r>
        <w:t>Choose one primary official FX source and document timestamp.</w:t>
      </w:r>
    </w:p>
    <w:p>
      <w:pPr>
        <w:pStyle w:val="ListBullet"/>
      </w:pPr>
      <w:r>
        <w:t>Reconcile FPI flow definitions before combining sources.</w:t>
      </w:r>
    </w:p>
    <w:p>
      <w:pPr>
        <w:pStyle w:val="ListBullet"/>
      </w:pPr>
      <w:r>
        <w:t>Build publication-time-aware monthly/quarterly features.</w:t>
      </w:r>
    </w:p>
    <w:p>
      <w:pPr>
        <w:pStyle w:val="ListBullet"/>
      </w:pPr>
      <w:r>
        <w:t>Test sector-specific interactions and regime stability.</w:t>
      </w:r>
    </w:p>
    <w:p>
      <w:pPr>
        <w:pStyle w:val="ListBullet"/>
      </w:pPr>
      <w:r>
        <w:t>Document access terms and backtest out of sample.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https://dbie.rbi.org.in/</w:t>
      </w:r>
    </w:p>
    <w:p>
      <w:pPr>
        <w:pStyle w:val="ListBullet"/>
      </w:pPr>
      <w:r>
        <w:t>https://www.rbi.org.in/</w:t>
      </w:r>
    </w:p>
    <w:p>
      <w:pPr>
        <w:pStyle w:val="ListBullet"/>
      </w:pPr>
      <w:r>
        <w:t>https://www.fpi.nsdl.co.in/</w:t>
      </w:r>
    </w:p>
    <w:p>
      <w:pPr>
        <w:pStyle w:val="ListBullet"/>
      </w:pPr>
      <w:r>
        <w:t>https://www.nseindia.com/reports/fii-dii</w:t>
      </w:r>
    </w:p>
    <w:p>
      <w:pPr>
        <w:pStyle w:val="ListBullet"/>
      </w:pPr>
      <w:r>
        <w:t>https://www.sebi.gov.in/</w:t>
      </w:r>
    </w:p>
    <w:p>
      <w:pPr>
        <w:pStyle w:val="ListBullet"/>
      </w:pPr>
      <w:r>
        <w:t>https://data.imf.org/</w:t>
      </w:r>
    </w:p>
    <w:p>
      <w:pPr>
        <w:pStyle w:val="ListBullet"/>
      </w:pPr>
      <w:r>
        <w:t>https://fred.stlouisfed.org/</w:t>
      </w:r>
    </w:p>
    <w:p>
      <w:pPr>
        <w:pStyle w:val="ListBullet"/>
      </w:pPr>
      <w:r>
        <w:t>https://tradestat.commerce.gov.in/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Category 16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