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6"/>
        </w:rPr>
        <w:t>FUNDAMENTAL / COMPANY FINANCIALS</w:t>
        <w:br/>
        <w:t>RESEARCH FOR STOCK-MARKET PREDICTION</w:t>
      </w:r>
    </w:p>
    <w:p>
      <w:pPr>
        <w:jc w:val="center"/>
      </w:pPr>
      <w:r>
        <w:rPr>
          <w:b/>
        </w:rPr>
        <w:t>Standalone Category Research Document</w:t>
      </w:r>
      <w:r>
        <w:br/>
        <w:t>India-focused | Candidate feature discovery | Data sources | Point-in-time methodology</w:t>
      </w:r>
      <w:r>
        <w:br/>
        <w:t>Status: Research framework; features are candidates, not proven predictors</w:t>
      </w:r>
    </w:p>
    <w:p>
      <w:pPr>
        <w:pStyle w:val="Heading1"/>
      </w:pPr>
      <w:r>
        <w:t>1. Purpose and position in the project</w:t>
      </w:r>
    </w:p>
    <w:p>
      <w:r>
        <w:t>This document defines Fundamental / Company Financials as a separate factor category. It studies company-specific business performance, profitability, efficiency, cash generation, financial risk and valuation. The aim is to create a broad pool of measurable candidate features; the final model should keep only features that demonstrate incremental predictive value after cleaning, redundancy analysis and time-aware testing.</w:t>
      </w:r>
    </w:p>
    <w:p>
      <w:r>
        <w:t>How it differs from earlier categories: Technical / Market measures price and volume behaviour; Macro / Inflation measures the broader economic environment; Fundamental / Company Financials measures the financial condition and operating performance of each company.</w:t>
      </w:r>
    </w:p>
    <w:p>
      <w:r>
        <w:t>Research pipeline: filings → normalized raw metrics → ratios/growth/trends → point-in-time alignment → candidate pool → feature testing → shortlist.</w:t>
      </w:r>
    </w:p>
    <w:p>
      <w:pPr>
        <w:pStyle w:val="Heading1"/>
      </w:pPr>
      <w:r>
        <w:t>2. Core questions this category should answer</w:t>
      </w:r>
    </w:p>
    <w:p>
      <w:pPr>
        <w:pStyle w:val="ListBullet"/>
      </w:pPr>
      <w:r>
        <w:t>Growth: Are revenue, earnings and cash flow growing, slowing or accelerating?</w:t>
      </w:r>
    </w:p>
    <w:p>
      <w:pPr>
        <w:pStyle w:val="ListBullet"/>
      </w:pPr>
      <w:r>
        <w:t>Profitability: How much profit is generated from sales, assets and capital?</w:t>
      </w:r>
    </w:p>
    <w:p>
      <w:pPr>
        <w:pStyle w:val="ListBullet"/>
      </w:pPr>
      <w:r>
        <w:t>Efficiency: How effectively are assets, inventory, receivables and working capital used?</w:t>
      </w:r>
    </w:p>
    <w:p>
      <w:pPr>
        <w:pStyle w:val="ListBullet"/>
      </w:pPr>
      <w:r>
        <w:t>Financial strength: Can the company meet debt and short-term obligations?</w:t>
      </w:r>
    </w:p>
    <w:p>
      <w:pPr>
        <w:pStyle w:val="ListBullet"/>
      </w:pPr>
      <w:r>
        <w:t>Cash quality: Do reported earnings convert into actual operating cash?</w:t>
      </w:r>
    </w:p>
    <w:p>
      <w:pPr>
        <w:pStyle w:val="ListBullet"/>
      </w:pPr>
      <w:r>
        <w:t>Valuation: How much is the market paying relative to earnings, sales, book value and cash flow?</w:t>
      </w:r>
    </w:p>
    <w:p>
      <w:pPr>
        <w:pStyle w:val="ListBullet"/>
      </w:pPr>
      <w:r>
        <w:t>Stability: Are results consistent or highly volatile across quarters and years?</w:t>
      </w:r>
    </w:p>
    <w:p>
      <w:pPr>
        <w:pStyle w:val="ListBullet"/>
      </w:pPr>
      <w:r>
        <w:t>Expectations: Did results beat or miss the expectations available before publication?</w:t>
      </w:r>
    </w:p>
    <w:p>
      <w:pPr>
        <w:pStyle w:val="ListBullet"/>
      </w:pPr>
      <w:r>
        <w:t>Capital allocation: How is cash used for reinvestment, dividends, buybacks or acquisitions?</w:t>
      </w:r>
    </w:p>
    <w:p>
      <w:pPr>
        <w:pStyle w:val="ListBullet"/>
      </w:pPr>
      <w:r>
        <w:t>Information timing: When did the market first have access to each financial result?</w:t>
      </w:r>
    </w:p>
    <w:p>
      <w:pPr>
        <w:pStyle w:val="Heading1"/>
      </w:pPr>
      <w:r>
        <w:t>3. Full research dimension tree</w:t>
      </w:r>
    </w:p>
    <w:p>
      <w:pPr>
        <w:pStyle w:val="ListBullet"/>
      </w:pPr>
      <w:r>
        <w:t>Revenue / sales growth</w:t>
      </w:r>
    </w:p>
    <w:p>
      <w:pPr>
        <w:pStyle w:val="ListBullet"/>
      </w:pPr>
      <w:r>
        <w:t>Earnings and profit growth</w:t>
      </w:r>
    </w:p>
    <w:p>
      <w:pPr>
        <w:pStyle w:val="ListBullet"/>
      </w:pPr>
      <w:r>
        <w:t>Profitability and margins</w:t>
      </w:r>
    </w:p>
    <w:p>
      <w:pPr>
        <w:pStyle w:val="ListBullet"/>
      </w:pPr>
      <w:r>
        <w:t>Return ratios: ROE, ROA, ROCE</w:t>
      </w:r>
    </w:p>
    <w:p>
      <w:pPr>
        <w:pStyle w:val="ListBullet"/>
      </w:pPr>
      <w:r>
        <w:t>Operating efficiency and asset utilisation</w:t>
      </w:r>
    </w:p>
    <w:p>
      <w:pPr>
        <w:pStyle w:val="ListBullet"/>
      </w:pPr>
      <w:r>
        <w:t>Working capital and cash-conversion cycle</w:t>
      </w:r>
    </w:p>
    <w:p>
      <w:pPr>
        <w:pStyle w:val="ListBullet"/>
      </w:pPr>
      <w:r>
        <w:t>Operating cash flow and free cash flow</w:t>
      </w:r>
    </w:p>
    <w:p>
      <w:pPr>
        <w:pStyle w:val="ListBullet"/>
      </w:pPr>
      <w:r>
        <w:t>Leverage and debt burden</w:t>
      </w:r>
    </w:p>
    <w:p>
      <w:pPr>
        <w:pStyle w:val="ListBullet"/>
      </w:pPr>
      <w:r>
        <w:t>Liquidity and short-term solvency</w:t>
      </w:r>
    </w:p>
    <w:p>
      <w:pPr>
        <w:pStyle w:val="ListBullet"/>
      </w:pPr>
      <w:r>
        <w:t>Interest coverage and debt-servicing capacity</w:t>
      </w:r>
    </w:p>
    <w:p>
      <w:pPr>
        <w:pStyle w:val="ListBullet"/>
      </w:pPr>
      <w:r>
        <w:t>Earnings quality and accruals</w:t>
      </w:r>
    </w:p>
    <w:p>
      <w:pPr>
        <w:pStyle w:val="ListBullet"/>
      </w:pPr>
      <w:r>
        <w:t>Per-share metrics and share dilution</w:t>
      </w:r>
    </w:p>
    <w:p>
      <w:pPr>
        <w:pStyle w:val="ListBullet"/>
      </w:pPr>
      <w:r>
        <w:t>Valuation ratios</w:t>
      </w:r>
    </w:p>
    <w:p>
      <w:pPr>
        <w:pStyle w:val="ListBullet"/>
      </w:pPr>
      <w:r>
        <w:t>Dividend and capital-allocation metrics</w:t>
      </w:r>
    </w:p>
    <w:p>
      <w:pPr>
        <w:pStyle w:val="ListBullet"/>
      </w:pPr>
      <w:r>
        <w:t>Quarterly/annual trends, stability and acceleration</w:t>
      </w:r>
    </w:p>
    <w:p>
      <w:pPr>
        <w:pStyle w:val="ListBullet"/>
      </w:pPr>
      <w:r>
        <w:t>Results surprise versus analyst expectations</w:t>
      </w:r>
    </w:p>
    <w:p>
      <w:pPr>
        <w:pStyle w:val="ListBullet"/>
      </w:pPr>
      <w:r>
        <w:t>Corporate actions, restatements and filing events</w:t>
      </w:r>
    </w:p>
    <w:p>
      <w:pPr>
        <w:pStyle w:val="ListBullet"/>
      </w:pPr>
      <w:r>
        <w:t>Sector-relative and peer-relative fundamentals</w:t>
      </w:r>
    </w:p>
    <w:p>
      <w:pPr>
        <w:pStyle w:val="Heading1"/>
      </w:pPr>
      <w:r>
        <w:t>4. Raw data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Data family</w:t>
            </w:r>
          </w:p>
        </w:tc>
        <w:tc>
          <w:tcPr>
            <w:tcW w:type="dxa" w:w="3408"/>
          </w:tcPr>
          <w:p>
            <w:r>
              <w:t>Raw fields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Income statement</w:t>
            </w:r>
          </w:p>
        </w:tc>
        <w:tc>
          <w:tcPr>
            <w:tcW w:type="dxa" w:w="3408"/>
          </w:tcPr>
          <w:p>
            <w:r>
              <w:t>Revenue, COGS, operating expenses, EBITDA/EBIT, interest, tax, net profit</w:t>
            </w:r>
          </w:p>
        </w:tc>
        <w:tc>
          <w:tcPr>
            <w:tcW w:type="dxa" w:w="3408"/>
          </w:tcPr>
          <w:p>
            <w:r>
              <w:t>Growth, margins, profitability</w:t>
            </w:r>
          </w:p>
        </w:tc>
      </w:tr>
      <w:tr>
        <w:tc>
          <w:tcPr>
            <w:tcW w:type="dxa" w:w="3408"/>
          </w:tcPr>
          <w:p>
            <w:r>
              <w:t>Balance sheet</w:t>
            </w:r>
          </w:p>
        </w:tc>
        <w:tc>
          <w:tcPr>
            <w:tcW w:type="dxa" w:w="3408"/>
          </w:tcPr>
          <w:p>
            <w:r>
              <w:t>Cash, current assets/liabilities, receivables, inventory, total assets, equity, short/long-term debt</w:t>
            </w:r>
          </w:p>
        </w:tc>
        <w:tc>
          <w:tcPr>
            <w:tcW w:type="dxa" w:w="3408"/>
          </w:tcPr>
          <w:p>
            <w:r>
              <w:t>Liquidity, leverage, efficiency</w:t>
            </w:r>
          </w:p>
        </w:tc>
      </w:tr>
      <w:tr>
        <w:tc>
          <w:tcPr>
            <w:tcW w:type="dxa" w:w="3408"/>
          </w:tcPr>
          <w:p>
            <w:r>
              <w:t>Cash-flow statement</w:t>
            </w:r>
          </w:p>
        </w:tc>
        <w:tc>
          <w:tcPr>
            <w:tcW w:type="dxa" w:w="3408"/>
          </w:tcPr>
          <w:p>
            <w:r>
              <w:t>Operating cash flow, capex, investing and financing cash flows</w:t>
            </w:r>
          </w:p>
        </w:tc>
        <w:tc>
          <w:tcPr>
            <w:tcW w:type="dxa" w:w="3408"/>
          </w:tcPr>
          <w:p>
            <w:r>
              <w:t>Cash generation and earnings quality</w:t>
            </w:r>
          </w:p>
        </w:tc>
      </w:tr>
      <w:tr>
        <w:tc>
          <w:tcPr>
            <w:tcW w:type="dxa" w:w="3408"/>
          </w:tcPr>
          <w:p>
            <w:r>
              <w:t>Share data</w:t>
            </w:r>
          </w:p>
        </w:tc>
        <w:tc>
          <w:tcPr>
            <w:tcW w:type="dxa" w:w="3408"/>
          </w:tcPr>
          <w:p>
            <w:r>
              <w:t>Basic/diluted EPS, weighted-average shares, shares outstanding, market price, market capitalisation</w:t>
            </w:r>
          </w:p>
        </w:tc>
        <w:tc>
          <w:tcPr>
            <w:tcW w:type="dxa" w:w="3408"/>
          </w:tcPr>
          <w:p>
            <w:r>
              <w:t>Per-share metrics and valuation</w:t>
            </w:r>
          </w:p>
        </w:tc>
      </w:tr>
      <w:tr>
        <w:tc>
          <w:tcPr>
            <w:tcW w:type="dxa" w:w="3408"/>
          </w:tcPr>
          <w:p>
            <w:r>
              <w:t>Enterprise-value inputs</w:t>
            </w:r>
          </w:p>
        </w:tc>
        <w:tc>
          <w:tcPr>
            <w:tcW w:type="dxa" w:w="3408"/>
          </w:tcPr>
          <w:p>
            <w:r>
              <w:t>Market cap, debt, cash, minority interest where relevant</w:t>
            </w:r>
          </w:p>
        </w:tc>
        <w:tc>
          <w:tcPr>
            <w:tcW w:type="dxa" w:w="3408"/>
          </w:tcPr>
          <w:p>
            <w:r>
              <w:t>EV-based valuation</w:t>
            </w:r>
          </w:p>
        </w:tc>
      </w:tr>
      <w:tr>
        <w:tc>
          <w:tcPr>
            <w:tcW w:type="dxa" w:w="3408"/>
          </w:tcPr>
          <w:p>
            <w:r>
              <w:t>Corporate actions</w:t>
            </w:r>
          </w:p>
        </w:tc>
        <w:tc>
          <w:tcPr>
            <w:tcW w:type="dxa" w:w="3408"/>
          </w:tcPr>
          <w:p>
            <w:r>
              <w:t>Dividends, splits, bonuses, buybacks, issuance, acquisitions/demergers</w:t>
            </w:r>
          </w:p>
        </w:tc>
        <w:tc>
          <w:tcPr>
            <w:tcW w:type="dxa" w:w="3408"/>
          </w:tcPr>
          <w:p>
            <w:r>
              <w:t>Correct per-share history and capital allocation</w:t>
            </w:r>
          </w:p>
        </w:tc>
      </w:tr>
      <w:tr>
        <w:tc>
          <w:tcPr>
            <w:tcW w:type="dxa" w:w="3408"/>
          </w:tcPr>
          <w:p>
            <w:r>
              <w:t>Filing metadata</w:t>
            </w:r>
          </w:p>
        </w:tc>
        <w:tc>
          <w:tcPr>
            <w:tcW w:type="dxa" w:w="3408"/>
          </w:tcPr>
          <w:p>
            <w:r>
              <w:t>Period end, filing/broadcast timestamp, source, standalone/consolidated, audited status, revision status</w:t>
            </w:r>
          </w:p>
        </w:tc>
        <w:tc>
          <w:tcPr>
            <w:tcW w:type="dxa" w:w="3408"/>
          </w:tcPr>
          <w:p>
            <w:r>
              <w:t>Point-in-time correctness</w:t>
            </w:r>
          </w:p>
        </w:tc>
      </w:tr>
      <w:tr>
        <w:tc>
          <w:tcPr>
            <w:tcW w:type="dxa" w:w="3408"/>
          </w:tcPr>
          <w:p>
            <w:r>
              <w:t>Expectations</w:t>
            </w:r>
          </w:p>
        </w:tc>
        <w:tc>
          <w:tcPr>
            <w:tcW w:type="dxa" w:w="3408"/>
          </w:tcPr>
          <w:p>
            <w:r>
              <w:t>Pre-release revenue/EPS/profit consensus, source and timestamp</w:t>
            </w:r>
          </w:p>
        </w:tc>
        <w:tc>
          <w:tcPr>
            <w:tcW w:type="dxa" w:w="3408"/>
          </w:tcPr>
          <w:p>
            <w:r>
              <w:t>Surprise features if available</w:t>
            </w:r>
          </w:p>
        </w:tc>
      </w:tr>
    </w:tbl>
    <w:p>
      <w:pPr>
        <w:pStyle w:val="Heading1"/>
      </w:pPr>
      <w:r>
        <w:t>5. Detailed mathematical feature research</w:t>
      </w:r>
    </w:p>
    <w:p>
      <w:pPr>
        <w:pStyle w:val="Heading2"/>
      </w:pPr>
      <w:r>
        <w:t>5.1 Revenue / Sales Growth</w:t>
      </w:r>
    </w:p>
    <w:p>
      <w:r>
        <w:t>Revenue captures sales generated by the business. Growth may reflect demand, pricing power, acquisitions or changes in product mix.</w:t>
      </w:r>
    </w:p>
    <w:p>
      <w:r>
        <w:t>Formula / representation: YoY growth = ((Revenue_t / Revenue_t-4quarters) - 1) × 100 for quarterly reports.</w:t>
      </w:r>
    </w:p>
    <w:p>
      <w:r>
        <w:t>Example: revenue rises from ₹1,000 crore to ₹1,120 crore versus the same quarter last year = +12%.</w:t>
      </w:r>
    </w:p>
    <w:p>
      <w:r>
        <w:t>Candidate columns: Candidate columns: revenue, revenue_yoy_growth, revenue_qoq_growth, revenue_growth_3y_cagr, revenue_growth_acceleration.</w:t>
      </w:r>
    </w:p>
    <w:p>
      <w:r>
        <w:t>Caveat: Quarter-on-quarter data can be seasonal; acquisitions and accounting changes distort comparisons.</w:t>
      </w:r>
    </w:p>
    <w:p>
      <w:pPr>
        <w:pStyle w:val="Heading2"/>
      </w:pPr>
      <w:r>
        <w:t>5.2 Earnings / Profit Growth</w:t>
      </w:r>
    </w:p>
    <w:p>
      <w:r>
        <w:t>Profit growth shows whether more earnings remain after operating costs, interest and tax.</w:t>
      </w:r>
    </w:p>
    <w:p>
      <w:r>
        <w:t>Formula / representation: PAT growth = ((PAT_t / PAT_comparable_period) - 1) × 100, when the denominator is meaningful.</w:t>
      </w:r>
    </w:p>
    <w:p>
      <w:r>
        <w:t>Candidate: pat_yoy_growth, ebitda_yoy_growth, eps_yoy_growth, earnings_growth_acceleration.</w:t>
      </w:r>
    </w:p>
    <w:p>
      <w:r>
        <w:t>Candidate columns: Profit growth can differ sharply from revenue growth due to costs, tax, leverage or one-off items.</w:t>
      </w:r>
    </w:p>
    <w:p>
      <w:r>
        <w:t>Caveat: Negative or near-zero prior profits make percentage growth unstable; use absolute changes or flags.</w:t>
      </w:r>
    </w:p>
    <w:p>
      <w:pPr>
        <w:pStyle w:val="Heading2"/>
      </w:pPr>
      <w:r>
        <w:t>5.3 Profitability and Margins</w:t>
      </w:r>
    </w:p>
    <w:p>
      <w:r>
        <w:t>Margins measure the share of revenue retained at different stages of the income statement.</w:t>
      </w:r>
    </w:p>
    <w:p>
      <w:r>
        <w:t>Formula / representation: Operating margin = EBIT / Revenue × 100; net margin = PAT / Revenue × 100; EBITDA margin = EBITDA / Revenue × 100.</w:t>
      </w:r>
    </w:p>
    <w:p>
      <w:r>
        <w:t>Example: EBIT ₹150 crore / revenue ₹1,000 crore = 15% operating margin.</w:t>
      </w:r>
    </w:p>
    <w:p>
      <w:r>
        <w:t>Candidate columns: Candidate: gross_margin, ebitda_margin, operating_margin, net_profit_margin, margin_change_yoy.</w:t>
      </w:r>
    </w:p>
    <w:p>
      <w:r>
        <w:t>Caveat: Definitions must be consistent; banks and insurers need sector-specific measures.</w:t>
      </w:r>
    </w:p>
    <w:p>
      <w:pPr>
        <w:pStyle w:val="Heading2"/>
      </w:pPr>
      <w:r>
        <w:t>5.4 Returns on Capital</w:t>
      </w:r>
    </w:p>
    <w:p>
      <w:r>
        <w:t>Return ratios measure how effectively the company generates profit from assets or invested capital.</w:t>
      </w:r>
    </w:p>
    <w:p>
      <w:r>
        <w:t>Formula / representation: ROE = PAT / average equity; ROA = PAT / average total assets; ROCE = EBIT / average capital employed.</w:t>
      </w:r>
    </w:p>
    <w:p>
      <w:r>
        <w:t>Candidate: roe, roa, roce, roe_change, roce_3y_mean.</w:t>
      </w:r>
    </w:p>
    <w:p>
      <w:r>
        <w:t>Candidate columns: Can distinguish productive growth from growth that consumes too much capital.</w:t>
      </w:r>
    </w:p>
    <w:p>
      <w:r>
        <w:t>Caveat: ROE may be misleading with very low/negative equity; leverage and one-off gains affect ratios.</w:t>
      </w:r>
    </w:p>
    <w:p>
      <w:pPr>
        <w:pStyle w:val="Heading2"/>
      </w:pPr>
      <w:r>
        <w:t>5.5 Operating Efficiency</w:t>
      </w:r>
    </w:p>
    <w:p>
      <w:r>
        <w:t>Efficiency ratios measure how productively assets and working resources generate sales.</w:t>
      </w:r>
    </w:p>
    <w:p>
      <w:r>
        <w:t>Formula / representation: Asset turnover = revenue / average total assets; inventory turnover = COGS / average inventory; receivables turnover = revenue / average receivables.</w:t>
      </w:r>
    </w:p>
    <w:p>
      <w:r>
        <w:t>Candidate: asset_turnover, inventory_turnover, receivables_turnover, asset_turnover_change.</w:t>
      </w:r>
    </w:p>
    <w:p>
      <w:r>
        <w:t>Candidate columns: May reveal improving or deteriorating operational productivity.</w:t>
      </w:r>
    </w:p>
    <w:p>
      <w:r>
        <w:t>Caveat: Business models vary; compare primarily within similar sectors.</w:t>
      </w:r>
    </w:p>
    <w:p>
      <w:pPr>
        <w:pStyle w:val="Heading2"/>
      </w:pPr>
      <w:r>
        <w:t>5.6 Working Capital / Cash-Conversion Cycle</w:t>
      </w:r>
    </w:p>
    <w:p>
      <w:r>
        <w:t>Working capital captures cash tied up in operations. The cash-conversion cycle approximates the time between paying suppliers and collecting from customers.</w:t>
      </w:r>
    </w:p>
    <w:p>
      <w:r>
        <w:t>Formula / representation: DSO = average receivables / revenue × days; DIO = average inventory / COGS × days; DPO = average payables / COGS × days; CCC = DSO + DIO − DPO.</w:t>
      </w:r>
    </w:p>
    <w:p>
      <w:r>
        <w:t>Candidate: net_working_capital, current_ratio, dso, dio, dpo, cash_conversion_cycle, ccc_change_yoy.</w:t>
      </w:r>
    </w:p>
    <w:p>
      <w:r>
        <w:t>Candidate columns: A longer cycle may indicate slower collections, excess inventory or changing supplier terms.</w:t>
      </w:r>
    </w:p>
    <w:p>
      <w:r>
        <w:t>Caveat: Quarter-end snapshots can be noisy; sector structures differ.</w:t>
      </w:r>
    </w:p>
    <w:p>
      <w:pPr>
        <w:pStyle w:val="Heading2"/>
      </w:pPr>
      <w:r>
        <w:t>5.7 Operating Cash Flow / Free Cash Flow</w:t>
      </w:r>
    </w:p>
    <w:p>
      <w:r>
        <w:t>Cash flow tests whether reported earnings are supported by actual cash generation.</w:t>
      </w:r>
    </w:p>
    <w:p>
      <w:r>
        <w:t>Formula / representation: Common FCF definition = operating cash flow − capital expenditure.</w:t>
      </w:r>
    </w:p>
    <w:p>
      <w:r>
        <w:t>Candidate: operating_cash_flow, free_cash_flow, ocf_to_pat, fcf_margin, fcf_yield, capex_to_revenue.</w:t>
      </w:r>
    </w:p>
    <w:p>
      <w:r>
        <w:t>Candidate columns: Persistent cash generation can fund reinvestment, debt repayment and shareholder returns.</w:t>
      </w:r>
    </w:p>
    <w:p>
      <w:r>
        <w:t>Caveat: Capex can be lumpy; document the exact FCF definition.</w:t>
      </w:r>
    </w:p>
    <w:p>
      <w:pPr>
        <w:pStyle w:val="Heading2"/>
      </w:pPr>
      <w:r>
        <w:t>5.8 Leverage / Debt Burden</w:t>
      </w:r>
    </w:p>
    <w:p>
      <w:r>
        <w:t>Leverage measures reliance on borrowing relative to equity or operating earnings.</w:t>
      </w:r>
    </w:p>
    <w:p>
      <w:r>
        <w:t>Formula / representation: Debt/equity = total debt / equity; net debt = total debt − cash; net debt/EBITDA = net debt / EBITDA.</w:t>
      </w:r>
    </w:p>
    <w:p>
      <w:r>
        <w:t>Candidate: total_debt, net_debt, debt_to_equity, net_debt_to_ebitda, debt_growth_yoy.</w:t>
      </w:r>
    </w:p>
    <w:p>
      <w:r>
        <w:t>Candidate columns: High leverage can amplify downside when earnings weaken or rates rise.</w:t>
      </w:r>
    </w:p>
    <w:p>
      <w:r>
        <w:t>Caveat: Negative equity or EBITDA breaks common ratios; banks need a different framework.</w:t>
      </w:r>
    </w:p>
    <w:p>
      <w:pPr>
        <w:pStyle w:val="Heading2"/>
      </w:pPr>
      <w:r>
        <w:t>5.9 Liquidity / Solvency</w:t>
      </w:r>
    </w:p>
    <w:p>
      <w:r>
        <w:t>Liquidity ratios estimate ability to meet near-term obligations.</w:t>
      </w:r>
    </w:p>
    <w:p>
      <w:r>
        <w:t>Formula / representation: Current ratio = current assets / current liabilities; quick ratio = (current assets − inventory) / current liabilities.</w:t>
      </w:r>
    </w:p>
    <w:p>
      <w:r>
        <w:t>Candidate: current_ratio, quick_ratio, cash_ratio, working_capital_to_assets.</w:t>
      </w:r>
    </w:p>
    <w:p>
      <w:r>
        <w:t>Candidate columns: Can help identify financial stress or balance-sheet resilience.</w:t>
      </w:r>
    </w:p>
    <w:p>
      <w:r>
        <w:t>Caveat: High liquidity is not always optimal; asset quality and sector norms matter.</w:t>
      </w:r>
    </w:p>
    <w:p>
      <w:pPr>
        <w:pStyle w:val="Heading2"/>
      </w:pPr>
      <w:r>
        <w:t>5.10 Interest Coverage</w:t>
      </w:r>
    </w:p>
    <w:p>
      <w:r>
        <w:t>Coverage ratios measure ability to pay interest from earnings or cash flow.</w:t>
      </w:r>
    </w:p>
    <w:p>
      <w:r>
        <w:t>Formula / representation: Interest coverage = EBIT / interest expense; alternative cash coverage can use operating cash flow / cash interest paid.</w:t>
      </w:r>
    </w:p>
    <w:p>
      <w:r>
        <w:t>Candidate: interest_coverage, interest_cost_growth, interest_expense_to_revenue, debt_service_coverage if consistent.</w:t>
      </w:r>
    </w:p>
    <w:p>
      <w:r>
        <w:t>Candidate columns: Can indicate vulnerability to higher rates or weaker earnings.</w:t>
      </w:r>
    </w:p>
    <w:p>
      <w:r>
        <w:t>Caveat: Zero/negative denominators require explicit handling.</w:t>
      </w:r>
    </w:p>
    <w:p>
      <w:pPr>
        <w:pStyle w:val="Heading2"/>
      </w:pPr>
      <w:r>
        <w:t>5.11 Earnings Quality / Accruals</w:t>
      </w:r>
    </w:p>
    <w:p>
      <w:r>
        <w:t>Earnings quality asks whether reported profits are supported by cash and recurring operations.</w:t>
      </w:r>
    </w:p>
    <w:p>
      <w:r>
        <w:t>Formula / representation: Simple accrual proxy = net income − operating cash flow; scaled proxy = (net income − operating cash flow) / average assets.</w:t>
      </w:r>
    </w:p>
    <w:p>
      <w:r>
        <w:t>Candidate: ocf_to_pat, accruals_to_assets, receivables_growth_minus_revenue_growth, inventory_growth_minus_sales_growth.</w:t>
      </w:r>
    </w:p>
    <w:p>
      <w:r>
        <w:t>Candidate columns: Large gaps between profit and cash may signal weak cash conversion or working-capital stress.</w:t>
      </w:r>
    </w:p>
    <w:p>
      <w:r>
        <w:t>Caveat: These are screening signals, not proof of manipulation.</w:t>
      </w:r>
    </w:p>
    <w:p>
      <w:pPr>
        <w:pStyle w:val="Heading2"/>
      </w:pPr>
      <w:r>
        <w:t>5.12 Per-Share Metrics / Dilution</w:t>
      </w:r>
    </w:p>
    <w:p>
      <w:r>
        <w:t>Per-share metrics account for the ownership claim represented by each share.</w:t>
      </w:r>
    </w:p>
    <w:p>
      <w:r>
        <w:t>Formula / representation: EPS = profit attributable to ordinary shareholders / weighted-average shares, using the reported definition.</w:t>
      </w:r>
    </w:p>
    <w:p>
      <w:r>
        <w:t>Candidate: basic_eps, diluted_eps, eps_yoy_growth, shares_outstanding_change, dilution_rate.</w:t>
      </w:r>
    </w:p>
    <w:p>
      <w:r>
        <w:t>Candidate columns: Profit can rise while EPS stagnates if share count expands.</w:t>
      </w:r>
    </w:p>
    <w:p>
      <w:r>
        <w:t>Caveat: Corporate actions and share classes require consistent adjustment.</w:t>
      </w:r>
    </w:p>
    <w:p>
      <w:pPr>
        <w:pStyle w:val="Heading2"/>
      </w:pPr>
      <w:r>
        <w:t>5.13 Valuation Ratios</w:t>
      </w:r>
    </w:p>
    <w:p>
      <w:r>
        <w:t>Valuation ratios compare market price or enterprise value with company fundamentals.</w:t>
      </w:r>
    </w:p>
    <w:p>
      <w:r>
        <w:t>Formula / representation: P/E = price per share / EPS; P/B = market cap / book equity; P/S = market cap / revenue; EV/EBITDA = enterprise value / EBITDA; FCF yield = FCF / market cap.</w:t>
      </w:r>
    </w:p>
    <w:p>
      <w:r>
        <w:t>Candidate: pe_ttm, price_to_book, price_to_sales, ev_to_ebitda, fcf_yield, earnings_yield.</w:t>
      </w:r>
    </w:p>
    <w:p>
      <w:r>
        <w:t>Candidate columns: Helps distinguish business quality from the price paid for it.</w:t>
      </w:r>
    </w:p>
    <w:p>
      <w:r>
        <w:t>Caveat: Not comparable across every sector; negative earnings make P/E unusable; align market price and filing date.</w:t>
      </w:r>
    </w:p>
    <w:p>
      <w:pPr>
        <w:pStyle w:val="Heading2"/>
      </w:pPr>
      <w:r>
        <w:t>5.14 Dividends / Capital Allocation</w:t>
      </w:r>
    </w:p>
    <w:p>
      <w:r>
        <w:t>Capital allocation describes cash returned to shareholders or reinvested in the business.</w:t>
      </w:r>
    </w:p>
    <w:p>
      <w:r>
        <w:t>Formula / representation: Dividend yield = annual dividend per share / current price × 100; payout ratio = dividends / net profit when meaningful.</w:t>
      </w:r>
    </w:p>
    <w:p>
      <w:r>
        <w:t>Candidate: dividend_yield, payout_ratio, dividend_growth, buyback_flag, capex_growth, acquisition_flag.</w:t>
      </w:r>
    </w:p>
    <w:p>
      <w:r>
        <w:t>Candidate columns: Can capture shareholder-return policy and management's reinvestment choices.</w:t>
      </w:r>
    </w:p>
    <w:p>
      <w:r>
        <w:t>Caveat: Yield rises mechanically when price falls; flag one-off distributions.</w:t>
      </w:r>
    </w:p>
    <w:p>
      <w:pPr>
        <w:pStyle w:val="Heading2"/>
      </w:pPr>
      <w:r>
        <w:t>5.15 Trends / Stability / Acceleration</w:t>
      </w:r>
    </w:p>
    <w:p>
      <w:r>
        <w:t>Multi-quarter trends help separate persistent changes from noisy single-quarter outcomes.</w:t>
      </w:r>
    </w:p>
    <w:p>
      <w:r>
        <w:t>Formula / representation: Examples: rolling 4-quarter mean, 8-quarter standard deviation, slope over 8 quarters, growth acceleration = current growth − prior comparable growth.</w:t>
      </w:r>
    </w:p>
    <w:p>
      <w:r>
        <w:t>Candidate: revenue_growth_4q_mean, margin_std_8q, roce_trend_3y, earnings_volatility, revenue_growth_acceleration.</w:t>
      </w:r>
    </w:p>
    <w:p>
      <w:r>
        <w:t>Candidate columns: Captures consistency and direction of business performance.</w:t>
      </w:r>
    </w:p>
    <w:p>
      <w:r>
        <w:t>Caveat: Only use reports published by the prediction date.</w:t>
      </w:r>
    </w:p>
    <w:p>
      <w:pPr>
        <w:pStyle w:val="Heading2"/>
      </w:pPr>
      <w:r>
        <w:t>5.16 Results Surprise</w:t>
      </w:r>
    </w:p>
    <w:p>
      <w:r>
        <w:t>A surprise compares reported results with a consensus estimate available before publication.</w:t>
      </w:r>
    </w:p>
    <w:p>
      <w:r>
        <w:t>Formula / representation: EPS surprise = actual EPS − consensus EPS; percentage surprise = (actual − consensus) / abs(consensus) × 100 when valid.</w:t>
      </w:r>
    </w:p>
    <w:p>
      <w:r>
        <w:t>Candidate: eps_surprise, revenue_surprise, pat_surprise, surprise_direction, consensus_source, consensus_timestamp.</w:t>
      </w:r>
    </w:p>
    <w:p>
      <w:r>
        <w:t>Candidate columns: Markets may respond to the gap versus expectations, not only the absolute result.</w:t>
      </w:r>
    </w:p>
    <w:p>
      <w:r>
        <w:t>Caveat: Requires genuine time-stamped pre-release estimates and may require a licensed source.</w:t>
      </w:r>
    </w:p>
    <w:p>
      <w:pPr>
        <w:pStyle w:val="Heading2"/>
      </w:pPr>
      <w:r>
        <w:t>5.17 Sector-Relative Fundamentals</w:t>
      </w:r>
    </w:p>
    <w:p>
      <w:r>
        <w:t>Peer-relative features compare a company with similar businesses rather than applying one threshold to all sectors.</w:t>
      </w:r>
    </w:p>
    <w:p>
      <w:r>
        <w:t>Formula / representation: Examples: company margin − sector median margin; company ROCE percentile within sector; company growth − sector median growth.</w:t>
      </w:r>
    </w:p>
    <w:p>
      <w:r>
        <w:t>Candidate: sector_relative_roe, sector_relative_margin, sector_growth_percentile, valuation_vs_sector_median.</w:t>
      </w:r>
    </w:p>
    <w:p>
      <w:r>
        <w:t>Candidate columns: May identify relative strength while controlling for sector norms.</w:t>
      </w:r>
    </w:p>
    <w:p>
      <w:r>
        <w:t>Caveat: Sector classifications and peer groups can change; use contemporaneous data.</w:t>
      </w:r>
    </w:p>
    <w:p>
      <w:pPr>
        <w:pStyle w:val="Heading1"/>
      </w:pPr>
      <w:r>
        <w:t>6. Critical timing rule: fiscal period end ≠ publication date</w:t>
      </w:r>
    </w:p>
    <w:p>
      <w:r>
        <w:t>A quarterly result describes a period that has already ended, but the market cannot know it until publication. If a quarter ends on 30 June and the result is filed on 10 August, June-quarter metrics must not appear in stock rows dated in July or early August. The public filing/broadcast timestamp is the earliest valid availability time.</w:t>
      </w:r>
    </w:p>
    <w:p>
      <w:r>
        <w:t>Store fiscal_period_end, filing_timestamp, exchange_broadcast_timestamp, report_type, audited_status, standalone/consolidated, revision_status and source. For each stock timestamp, use an as-of join to the latest filing already public at that time. Preserve original filings and revisions where possible to reduce restatement look-ahead bias.</w:t>
      </w:r>
    </w:p>
    <w:p>
      <w:pPr>
        <w:pStyle w:val="Heading1"/>
      </w:pPr>
      <w:r>
        <w:t>7. India-focused data-source research</w:t>
      </w:r>
    </w:p>
    <w:p>
      <w:pPr>
        <w:pStyle w:val="Heading2"/>
      </w:pPr>
      <w:r>
        <w:t>7.1 NSE corporate filings</w:t>
      </w:r>
    </w:p>
    <w:p>
      <w:r>
        <w:t>NSE publishes financial-results and integrated-filing records, including quarter end, submission type, audited/unaudited status, standalone/consolidated classification, details/XBRL where available, and broadcast timestamps. These are valuable for both the data and the point-in-time availability metadata.</w:t>
      </w:r>
    </w:p>
    <w:p>
      <w:r>
        <w:t>Strengths: official exchange disclosures; timestamp metadata; structured XBRL/details for supported records.</w:t>
      </w:r>
    </w:p>
    <w:p>
      <w:r>
        <w:t>Limitations: formats/completeness can vary; issuer-submitted data requires validation; bulk ingestion needs engineering.</w:t>
      </w:r>
    </w:p>
    <w:p>
      <w:r>
        <w:t>References: https://www.nseindia.com/companies-listing/corporate-filings-financial-results ; https://www.nseindia.com/companies-listing/corporate-integrated-filing</w:t>
      </w:r>
    </w:p>
    <w:p>
      <w:pPr>
        <w:pStyle w:val="Heading2"/>
      </w:pPr>
      <w:r>
        <w:t>7.2 BSE corporate filings</w:t>
      </w:r>
    </w:p>
    <w:p>
      <w:r>
        <w:t>BSE is another official disclosure source and can help with coverage and cross-checking. When combining NSE and BSE, deduplicate records and map issuer/security identifiers consistently.</w:t>
      </w:r>
    </w:p>
    <w:p>
      <w:r>
        <w:t>Reference: https://www.bseindia.com/corporates/Comp_Resultsnew.aspx</w:t>
      </w:r>
    </w:p>
    <w:p>
      <w:pPr>
        <w:pStyle w:val="Heading2"/>
      </w:pPr>
      <w:r>
        <w:t>7.3 Company annual reports and investor-relations pages</w:t>
      </w:r>
    </w:p>
    <w:p>
      <w:r>
        <w:t>Annual reports, quarterly result PDFs, investor presentations and earnings-call materials can supply detail and context. They are useful for verification, but layouts vary and historical extraction may be labour-intensive.</w:t>
      </w:r>
    </w:p>
    <w:p>
      <w:pPr>
        <w:pStyle w:val="Heading2"/>
      </w:pPr>
      <w:r>
        <w:t>7.4 SEBI disclosure framework</w:t>
      </w:r>
    </w:p>
    <w:p>
      <w:r>
        <w:t>SEBI's LODR framework governs listed-entity disclosure obligations and reporting. It provides regulatory context; company-level values should still be extracted from actual filings and validated.</w:t>
      </w:r>
    </w:p>
    <w:p>
      <w:r>
        <w:t>Reference: https://www.sebi.gov.in/legal/master-circulars/jan-2026/master-circular-for-compliance-with-the-provisions-of-the-securities-and-exchange-board-of-india-listing-obligations-and-disclosure-requirements-regulations-2015-by-listed-entities_99432.html</w:t>
      </w:r>
    </w:p>
    <w:p>
      <w:pPr>
        <w:pStyle w:val="Heading2"/>
      </w:pPr>
      <w:r>
        <w:t>7.5 Third-party fundamentals APIs</w:t>
      </w:r>
    </w:p>
    <w:p>
      <w:r>
        <w:t>Normalized APIs can reduce PDF/XBRL parsing work but must be assessed for Indian coverage, historical depth, update latency, definitions, standalone/consolidated consistency, restatements, rate limits, licensing and price. Do not choose a provider just because it advertises many ratios.</w:t>
      </w:r>
    </w:p>
    <w:p>
      <w:pPr>
        <w:pStyle w:val="Heading1"/>
      </w:pPr>
      <w:r>
        <w:t>8. Source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Source</w:t>
            </w:r>
          </w:p>
        </w:tc>
        <w:tc>
          <w:tcPr>
            <w:tcW w:type="dxa" w:w="2045"/>
          </w:tcPr>
          <w:p>
            <w:r>
              <w:t>Best use</w:t>
            </w:r>
          </w:p>
        </w:tc>
        <w:tc>
          <w:tcPr>
            <w:tcW w:type="dxa" w:w="2045"/>
          </w:tcPr>
          <w:p>
            <w:r>
              <w:t>Strength</w:t>
            </w:r>
          </w:p>
        </w:tc>
        <w:tc>
          <w:tcPr>
            <w:tcW w:type="dxa" w:w="2045"/>
          </w:tcPr>
          <w:p>
            <w:r>
              <w:t>Limitations/checks</w:t>
            </w:r>
          </w:p>
        </w:tc>
        <w:tc>
          <w:tcPr>
            <w:tcW w:type="dxa" w:w="2045"/>
          </w:tcPr>
          <w:p>
            <w:r>
              <w:t>Suggested role</w:t>
            </w:r>
          </w:p>
        </w:tc>
      </w:tr>
      <w:tr>
        <w:tc>
          <w:tcPr>
            <w:tcW w:type="dxa" w:w="2045"/>
          </w:tcPr>
          <w:p>
            <w:r>
              <w:t>NSE filings</w:t>
            </w:r>
          </w:p>
        </w:tc>
        <w:tc>
          <w:tcPr>
            <w:tcW w:type="dxa" w:w="2045"/>
          </w:tcPr>
          <w:p>
            <w:r>
              <w:t>Quarterly results and timestamps</w:t>
            </w:r>
          </w:p>
        </w:tc>
        <w:tc>
          <w:tcPr>
            <w:tcW w:type="dxa" w:w="2045"/>
          </w:tcPr>
          <w:p>
            <w:r>
              <w:t>Official disclosure; structured data for some filings</w:t>
            </w:r>
          </w:p>
        </w:tc>
        <w:tc>
          <w:tcPr>
            <w:tcW w:type="dxa" w:w="2045"/>
          </w:tcPr>
          <w:p>
            <w:r>
              <w:t>Parsing and completeness</w:t>
            </w:r>
          </w:p>
        </w:tc>
        <w:tc>
          <w:tcPr>
            <w:tcW w:type="dxa" w:w="2045"/>
          </w:tcPr>
          <w:p>
            <w:r>
              <w:t>Primary</w:t>
            </w:r>
          </w:p>
        </w:tc>
      </w:tr>
      <w:tr>
        <w:tc>
          <w:tcPr>
            <w:tcW w:type="dxa" w:w="2045"/>
          </w:tcPr>
          <w:p>
            <w:r>
              <w:t>BSE filings</w:t>
            </w:r>
          </w:p>
        </w:tc>
        <w:tc>
          <w:tcPr>
            <w:tcW w:type="dxa" w:w="2045"/>
          </w:tcPr>
          <w:p>
            <w:r>
              <w:t>Coverage/cross-check</w:t>
            </w:r>
          </w:p>
        </w:tc>
        <w:tc>
          <w:tcPr>
            <w:tcW w:type="dxa" w:w="2045"/>
          </w:tcPr>
          <w:p>
            <w:r>
              <w:t>Official exchange source</w:t>
            </w:r>
          </w:p>
        </w:tc>
        <w:tc>
          <w:tcPr>
            <w:tcW w:type="dxa" w:w="2045"/>
          </w:tcPr>
          <w:p>
            <w:r>
              <w:t>Deduplication and identifier mapping</w:t>
            </w:r>
          </w:p>
        </w:tc>
        <w:tc>
          <w:tcPr>
            <w:tcW w:type="dxa" w:w="2045"/>
          </w:tcPr>
          <w:p>
            <w:r>
              <w:t>Primary/secondary</w:t>
            </w:r>
          </w:p>
        </w:tc>
      </w:tr>
      <w:tr>
        <w:tc>
          <w:tcPr>
            <w:tcW w:type="dxa" w:w="2045"/>
          </w:tcPr>
          <w:p>
            <w:r>
              <w:t>Annual reports</w:t>
            </w:r>
          </w:p>
        </w:tc>
        <w:tc>
          <w:tcPr>
            <w:tcW w:type="dxa" w:w="2045"/>
          </w:tcPr>
          <w:p>
            <w:r>
              <w:t>Detailed annual figures/definitions</w:t>
            </w:r>
          </w:p>
        </w:tc>
        <w:tc>
          <w:tcPr>
            <w:tcW w:type="dxa" w:w="2045"/>
          </w:tcPr>
          <w:p>
            <w:r>
              <w:t>Rich disclosures</w:t>
            </w:r>
          </w:p>
        </w:tc>
        <w:tc>
          <w:tcPr>
            <w:tcW w:type="dxa" w:w="2045"/>
          </w:tcPr>
          <w:p>
            <w:r>
              <w:t>PDF extraction; varying layout</w:t>
            </w:r>
          </w:p>
        </w:tc>
        <w:tc>
          <w:tcPr>
            <w:tcW w:type="dxa" w:w="2045"/>
          </w:tcPr>
          <w:p>
            <w:r>
              <w:t>Verification/depth</w:t>
            </w:r>
          </w:p>
        </w:tc>
      </w:tr>
      <w:tr>
        <w:tc>
          <w:tcPr>
            <w:tcW w:type="dxa" w:w="2045"/>
          </w:tcPr>
          <w:p>
            <w:r>
              <w:t>Company IR pages</w:t>
            </w:r>
          </w:p>
        </w:tc>
        <w:tc>
          <w:tcPr>
            <w:tcW w:type="dxa" w:w="2045"/>
          </w:tcPr>
          <w:p>
            <w:r>
              <w:t>Presentations and company context</w:t>
            </w:r>
          </w:p>
        </w:tc>
        <w:tc>
          <w:tcPr>
            <w:tcW w:type="dxa" w:w="2045"/>
          </w:tcPr>
          <w:p>
            <w:r>
              <w:t>Direct company material</w:t>
            </w:r>
          </w:p>
        </w:tc>
        <w:tc>
          <w:tcPr>
            <w:tcW w:type="dxa" w:w="2045"/>
          </w:tcPr>
          <w:p>
            <w:r>
              <w:t>Not standardized</w:t>
            </w:r>
          </w:p>
        </w:tc>
        <w:tc>
          <w:tcPr>
            <w:tcW w:type="dxa" w:w="2045"/>
          </w:tcPr>
          <w:p>
            <w:r>
              <w:t>Supplementary</w:t>
            </w:r>
          </w:p>
        </w:tc>
      </w:tr>
      <w:tr>
        <w:tc>
          <w:tcPr>
            <w:tcW w:type="dxa" w:w="2045"/>
          </w:tcPr>
          <w:p>
            <w:r>
              <w:t>Third-party APIs</w:t>
            </w:r>
          </w:p>
        </w:tc>
        <w:tc>
          <w:tcPr>
            <w:tcW w:type="dxa" w:w="2045"/>
          </w:tcPr>
          <w:p>
            <w:r>
              <w:t>Normalized bulk fundamentals</w:t>
            </w:r>
          </w:p>
        </w:tc>
        <w:tc>
          <w:tcPr>
            <w:tcW w:type="dxa" w:w="2045"/>
          </w:tcPr>
          <w:p>
            <w:r>
              <w:t>Automation and common schema</w:t>
            </w:r>
          </w:p>
        </w:tc>
        <w:tc>
          <w:tcPr>
            <w:tcW w:type="dxa" w:w="2045"/>
          </w:tcPr>
          <w:p>
            <w:r>
              <w:t>Cost, coverage, licensing, revisions</w:t>
            </w:r>
          </w:p>
        </w:tc>
        <w:tc>
          <w:tcPr>
            <w:tcW w:type="dxa" w:w="2045"/>
          </w:tcPr>
          <w:p>
            <w:r>
              <w:t>Evaluate against requirements</w:t>
            </w:r>
          </w:p>
        </w:tc>
      </w:tr>
    </w:tbl>
    <w:p>
      <w:pPr>
        <w:pStyle w:val="Heading1"/>
      </w:pPr>
      <w:r>
        <w:t>9. Candidate feature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Dimension</w:t>
            </w:r>
          </w:p>
        </w:tc>
        <w:tc>
          <w:tcPr>
            <w:tcW w:type="dxa" w:w="5112"/>
          </w:tcPr>
          <w:p>
            <w:r>
              <w:t>Example columns</w:t>
            </w:r>
          </w:p>
        </w:tc>
      </w:tr>
      <w:tr>
        <w:tc>
          <w:tcPr>
            <w:tcW w:type="dxa" w:w="5112"/>
          </w:tcPr>
          <w:p>
            <w:r>
              <w:t>Growth</w:t>
            </w:r>
          </w:p>
        </w:tc>
        <w:tc>
          <w:tcPr>
            <w:tcW w:type="dxa" w:w="5112"/>
          </w:tcPr>
          <w:p>
            <w:r>
              <w:t>revenue_yoy_growth, ebitda_yoy_growth, pat_yoy_growth, eps_yoy_growth</w:t>
            </w:r>
          </w:p>
        </w:tc>
      </w:tr>
      <w:tr>
        <w:tc>
          <w:tcPr>
            <w:tcW w:type="dxa" w:w="5112"/>
          </w:tcPr>
          <w:p>
            <w:r>
              <w:t>Margins</w:t>
            </w:r>
          </w:p>
        </w:tc>
        <w:tc>
          <w:tcPr>
            <w:tcW w:type="dxa" w:w="5112"/>
          </w:tcPr>
          <w:p>
            <w:r>
              <w:t>gross_margin, ebitda_margin, operating_margin, net_profit_margin</w:t>
            </w:r>
          </w:p>
        </w:tc>
      </w:tr>
      <w:tr>
        <w:tc>
          <w:tcPr>
            <w:tcW w:type="dxa" w:w="5112"/>
          </w:tcPr>
          <w:p>
            <w:r>
              <w:t>Returns</w:t>
            </w:r>
          </w:p>
        </w:tc>
        <w:tc>
          <w:tcPr>
            <w:tcW w:type="dxa" w:w="5112"/>
          </w:tcPr>
          <w:p>
            <w:r>
              <w:t>roe, roa, roce</w:t>
            </w:r>
          </w:p>
        </w:tc>
      </w:tr>
      <w:tr>
        <w:tc>
          <w:tcPr>
            <w:tcW w:type="dxa" w:w="5112"/>
          </w:tcPr>
          <w:p>
            <w:r>
              <w:t>Efficiency</w:t>
            </w:r>
          </w:p>
        </w:tc>
        <w:tc>
          <w:tcPr>
            <w:tcW w:type="dxa" w:w="5112"/>
          </w:tcPr>
          <w:p>
            <w:r>
              <w:t>asset_turnover, inventory_turnover, receivables_turnover</w:t>
            </w:r>
          </w:p>
        </w:tc>
      </w:tr>
      <w:tr>
        <w:tc>
          <w:tcPr>
            <w:tcW w:type="dxa" w:w="5112"/>
          </w:tcPr>
          <w:p>
            <w:r>
              <w:t>Working capital</w:t>
            </w:r>
          </w:p>
        </w:tc>
        <w:tc>
          <w:tcPr>
            <w:tcW w:type="dxa" w:w="5112"/>
          </w:tcPr>
          <w:p>
            <w:r>
              <w:t>current_ratio, dso, dio, dpo, cash_conversion_cycle</w:t>
            </w:r>
          </w:p>
        </w:tc>
      </w:tr>
      <w:tr>
        <w:tc>
          <w:tcPr>
            <w:tcW w:type="dxa" w:w="5112"/>
          </w:tcPr>
          <w:p>
            <w:r>
              <w:t>Cash flow</w:t>
            </w:r>
          </w:p>
        </w:tc>
        <w:tc>
          <w:tcPr>
            <w:tcW w:type="dxa" w:w="5112"/>
          </w:tcPr>
          <w:p>
            <w:r>
              <w:t>operating_cash_flow, free_cash_flow, ocf_to_pat, fcf_margin</w:t>
            </w:r>
          </w:p>
        </w:tc>
      </w:tr>
      <w:tr>
        <w:tc>
          <w:tcPr>
            <w:tcW w:type="dxa" w:w="5112"/>
          </w:tcPr>
          <w:p>
            <w:r>
              <w:t>Leverage</w:t>
            </w:r>
          </w:p>
        </w:tc>
        <w:tc>
          <w:tcPr>
            <w:tcW w:type="dxa" w:w="5112"/>
          </w:tcPr>
          <w:p>
            <w:r>
              <w:t>debt_to_equity, net_debt_to_ebitda, debt_growth_yoy</w:t>
            </w:r>
          </w:p>
        </w:tc>
      </w:tr>
      <w:tr>
        <w:tc>
          <w:tcPr>
            <w:tcW w:type="dxa" w:w="5112"/>
          </w:tcPr>
          <w:p>
            <w:r>
              <w:t>Liquidity/coverage</w:t>
            </w:r>
          </w:p>
        </w:tc>
        <w:tc>
          <w:tcPr>
            <w:tcW w:type="dxa" w:w="5112"/>
          </w:tcPr>
          <w:p>
            <w:r>
              <w:t>quick_ratio, cash_ratio, interest_coverage</w:t>
            </w:r>
          </w:p>
        </w:tc>
      </w:tr>
      <w:tr>
        <w:tc>
          <w:tcPr>
            <w:tcW w:type="dxa" w:w="5112"/>
          </w:tcPr>
          <w:p>
            <w:r>
              <w:t>Earnings quality</w:t>
            </w:r>
          </w:p>
        </w:tc>
        <w:tc>
          <w:tcPr>
            <w:tcW w:type="dxa" w:w="5112"/>
          </w:tcPr>
          <w:p>
            <w:r>
              <w:t>accruals_to_assets, receivables_growth_minus_revenue_growth</w:t>
            </w:r>
          </w:p>
        </w:tc>
      </w:tr>
      <w:tr>
        <w:tc>
          <w:tcPr>
            <w:tcW w:type="dxa" w:w="5112"/>
          </w:tcPr>
          <w:p>
            <w:r>
              <w:t>Valuation</w:t>
            </w:r>
          </w:p>
        </w:tc>
        <w:tc>
          <w:tcPr>
            <w:tcW w:type="dxa" w:w="5112"/>
          </w:tcPr>
          <w:p>
            <w:r>
              <w:t>pe_ttm, price_to_book, price_to_sales, ev_to_ebitda, fcf_yield</w:t>
            </w:r>
          </w:p>
        </w:tc>
      </w:tr>
      <w:tr>
        <w:tc>
          <w:tcPr>
            <w:tcW w:type="dxa" w:w="5112"/>
          </w:tcPr>
          <w:p>
            <w:r>
              <w:t>Capital allocation</w:t>
            </w:r>
          </w:p>
        </w:tc>
        <w:tc>
          <w:tcPr>
            <w:tcW w:type="dxa" w:w="5112"/>
          </w:tcPr>
          <w:p>
            <w:r>
              <w:t>dividend_yield, payout_ratio, buyback_flag, dilution_rate</w:t>
            </w:r>
          </w:p>
        </w:tc>
      </w:tr>
      <w:tr>
        <w:tc>
          <w:tcPr>
            <w:tcW w:type="dxa" w:w="5112"/>
          </w:tcPr>
          <w:p>
            <w:r>
              <w:t>Surprise</w:t>
            </w:r>
          </w:p>
        </w:tc>
        <w:tc>
          <w:tcPr>
            <w:tcW w:type="dxa" w:w="5112"/>
          </w:tcPr>
          <w:p>
            <w:r>
              <w:t>eps_surprise, revenue_surprise, surprise_direction</w:t>
            </w:r>
          </w:p>
        </w:tc>
      </w:tr>
      <w:tr>
        <w:tc>
          <w:tcPr>
            <w:tcW w:type="dxa" w:w="5112"/>
          </w:tcPr>
          <w:p>
            <w:r>
              <w:t>Peer-relative</w:t>
            </w:r>
          </w:p>
        </w:tc>
        <w:tc>
          <w:tcPr>
            <w:tcW w:type="dxa" w:w="5112"/>
          </w:tcPr>
          <w:p>
            <w:r>
              <w:t>sector_relative_roe, sector_relative_margin, valuation_vs_sector_median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fiscal_period_end, filing_timestamp, revision_status, report_type</w:t>
            </w:r>
          </w:p>
        </w:tc>
      </w:tr>
    </w:tbl>
    <w:p>
      <w:pPr>
        <w:pStyle w:val="Heading1"/>
      </w:pPr>
      <w:r>
        <w:t>10. Data-cleaning and comparability rules</w:t>
      </w:r>
    </w:p>
    <w:p>
      <w:pPr>
        <w:pStyle w:val="ListBullet"/>
      </w:pPr>
      <w:r>
        <w:t>Choose and document consolidated versus standalone statements; do not mix them casually.</w:t>
      </w:r>
    </w:p>
    <w:p>
      <w:pPr>
        <w:pStyle w:val="ListBullet"/>
      </w:pPr>
      <w:r>
        <w:t>Standardize currency and units (rupees, thousands/lakhs/crores, per-share values and percentages).</w:t>
      </w:r>
    </w:p>
    <w:p>
      <w:pPr>
        <w:pStyle w:val="ListBullet"/>
      </w:pPr>
      <w:r>
        <w:t>Separate quarterly values from year-to-date cumulative values; derive standalone-quarter values carefully where necessary.</w:t>
      </w:r>
    </w:p>
    <w:p>
      <w:pPr>
        <w:pStyle w:val="ListBullet"/>
      </w:pPr>
      <w:r>
        <w:t>Use sector-specific metrics for banks, NBFCs, insurers, utilities, REITs and other distinct business models.</w:t>
      </w:r>
    </w:p>
    <w:p>
      <w:pPr>
        <w:pStyle w:val="ListBullet"/>
      </w:pPr>
      <w:r>
        <w:t>Handle zero/negative denominators explicitly instead of creating infinite or misleading ratios.</w:t>
      </w:r>
    </w:p>
    <w:p>
      <w:pPr>
        <w:pStyle w:val="ListBullet"/>
      </w:pPr>
      <w:r>
        <w:t>Track fiscal calendars and period-end dates.</w:t>
      </w:r>
    </w:p>
    <w:p>
      <w:pPr>
        <w:pStyle w:val="ListBullet"/>
      </w:pPr>
      <w:r>
        <w:t>Preserve original and revised filings where possible.</w:t>
      </w:r>
    </w:p>
    <w:p>
      <w:pPr>
        <w:pStyle w:val="ListBullet"/>
      </w:pPr>
      <w:r>
        <w:t>Flag one-off gains/losses, acquisitions, demergers and major corporate actions when reliable data exists.</w:t>
      </w:r>
    </w:p>
    <w:p>
      <w:pPr>
        <w:pStyle w:val="ListBullet"/>
      </w:pPr>
      <w:r>
        <w:t>Adjust per-share histories for splits and bonus issues.</w:t>
      </w:r>
    </w:p>
    <w:p>
      <w:pPr>
        <w:pStyle w:val="ListBullet"/>
      </w:pPr>
      <w:r>
        <w:t>Do not use future market prices when computing historical valuation features.</w:t>
      </w:r>
    </w:p>
    <w:p>
      <w:pPr>
        <w:pStyle w:val="Heading1"/>
      </w:pPr>
      <w:r>
        <w:t>11. Major blockers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Blocker</w:t>
            </w:r>
          </w:p>
        </w:tc>
        <w:tc>
          <w:tcPr>
            <w:tcW w:type="dxa" w:w="3408"/>
          </w:tcPr>
          <w:p>
            <w:r>
              <w:t>Why it matters</w:t>
            </w:r>
          </w:p>
        </w:tc>
        <w:tc>
          <w:tcPr>
            <w:tcW w:type="dxa" w:w="3408"/>
          </w:tcPr>
          <w:p>
            <w:r>
              <w:t>Mitigation</w:t>
            </w:r>
          </w:p>
        </w:tc>
      </w:tr>
      <w:tr>
        <w:tc>
          <w:tcPr>
            <w:tcW w:type="dxa" w:w="3408"/>
          </w:tcPr>
          <w:p>
            <w:r>
              <w:t>Filing time vs period end</w:t>
            </w:r>
          </w:p>
        </w:tc>
        <w:tc>
          <w:tcPr>
            <w:tcW w:type="dxa" w:w="3408"/>
          </w:tcPr>
          <w:p>
            <w:r>
              <w:t>Look-ahead leakage</w:t>
            </w:r>
          </w:p>
        </w:tc>
        <w:tc>
          <w:tcPr>
            <w:tcW w:type="dxa" w:w="3408"/>
          </w:tcPr>
          <w:p>
            <w:r>
              <w:t>Join on public filing timestamp</w:t>
            </w:r>
          </w:p>
        </w:tc>
      </w:tr>
      <w:tr>
        <w:tc>
          <w:tcPr>
            <w:tcW w:type="dxa" w:w="3408"/>
          </w:tcPr>
          <w:p>
            <w:r>
              <w:t>Format variation</w:t>
            </w:r>
          </w:p>
        </w:tc>
        <w:tc>
          <w:tcPr>
            <w:tcW w:type="dxa" w:w="3408"/>
          </w:tcPr>
          <w:p>
            <w:r>
              <w:t>Automated extraction can fail</w:t>
            </w:r>
          </w:p>
        </w:tc>
        <w:tc>
          <w:tcPr>
            <w:tcW w:type="dxa" w:w="3408"/>
          </w:tcPr>
          <w:p>
            <w:r>
              <w:t>Prefer XBRL when available; validate parsed values</w:t>
            </w:r>
          </w:p>
        </w:tc>
      </w:tr>
      <w:tr>
        <w:tc>
          <w:tcPr>
            <w:tcW w:type="dxa" w:w="3408"/>
          </w:tcPr>
          <w:p>
            <w:r>
              <w:t>Standalone/consolidated mismatch</w:t>
            </w:r>
          </w:p>
        </w:tc>
        <w:tc>
          <w:tcPr>
            <w:tcW w:type="dxa" w:w="3408"/>
          </w:tcPr>
          <w:p>
            <w:r>
              <w:t>Ratios become incomparable</w:t>
            </w:r>
          </w:p>
        </w:tc>
        <w:tc>
          <w:tcPr>
            <w:tcW w:type="dxa" w:w="3408"/>
          </w:tcPr>
          <w:p>
            <w:r>
              <w:t>Adopt a consistent policy and retain report_type</w:t>
            </w:r>
          </w:p>
        </w:tc>
      </w:tr>
      <w:tr>
        <w:tc>
          <w:tcPr>
            <w:tcW w:type="dxa" w:w="3408"/>
          </w:tcPr>
          <w:p>
            <w:r>
              <w:t>Sector differences</w:t>
            </w:r>
          </w:p>
        </w:tc>
        <w:tc>
          <w:tcPr>
            <w:tcW w:type="dxa" w:w="3408"/>
          </w:tcPr>
          <w:p>
            <w:r>
              <w:t>Ratios mean different things by industry</w:t>
            </w:r>
          </w:p>
        </w:tc>
        <w:tc>
          <w:tcPr>
            <w:tcW w:type="dxa" w:w="3408"/>
          </w:tcPr>
          <w:p>
            <w:r>
              <w:t>Use sector-relative or sector-specific features</w:t>
            </w:r>
          </w:p>
        </w:tc>
      </w:tr>
      <w:tr>
        <w:tc>
          <w:tcPr>
            <w:tcW w:type="dxa" w:w="3408"/>
          </w:tcPr>
          <w:p>
            <w:r>
              <w:t>Negative/near-zero denominators</w:t>
            </w:r>
          </w:p>
        </w:tc>
        <w:tc>
          <w:tcPr>
            <w:tcW w:type="dxa" w:w="3408"/>
          </w:tcPr>
          <w:p>
            <w:r>
              <w:t>Growth/valuation ratios can explode</w:t>
            </w:r>
          </w:p>
        </w:tc>
        <w:tc>
          <w:tcPr>
            <w:tcW w:type="dxa" w:w="3408"/>
          </w:tcPr>
          <w:p>
            <w:r>
              <w:t>Use flags, nulls or absolute changes with documented rules</w:t>
            </w:r>
          </w:p>
        </w:tc>
      </w:tr>
      <w:tr>
        <w:tc>
          <w:tcPr>
            <w:tcW w:type="dxa" w:w="3408"/>
          </w:tcPr>
          <w:p>
            <w:r>
              <w:t>Restatements</w:t>
            </w:r>
          </w:p>
        </w:tc>
        <w:tc>
          <w:tcPr>
            <w:tcW w:type="dxa" w:w="3408"/>
          </w:tcPr>
          <w:p>
            <w:r>
              <w:t>Final data may differ from historical public data</w:t>
            </w:r>
          </w:p>
        </w:tc>
        <w:tc>
          <w:tcPr>
            <w:tcW w:type="dxa" w:w="3408"/>
          </w:tcPr>
          <w:p>
            <w:r>
              <w:t>Preserve filing versions where feasible</w:t>
            </w:r>
          </w:p>
        </w:tc>
      </w:tr>
      <w:tr>
        <w:tc>
          <w:tcPr>
            <w:tcW w:type="dxa" w:w="3408"/>
          </w:tcPr>
          <w:p>
            <w:r>
              <w:t>Expectation data access</w:t>
            </w:r>
          </w:p>
        </w:tc>
        <w:tc>
          <w:tcPr>
            <w:tcW w:type="dxa" w:w="3408"/>
          </w:tcPr>
          <w:p>
            <w:r>
              <w:t>Surprise features need pre-release consensus</w:t>
            </w:r>
          </w:p>
        </w:tc>
        <w:tc>
          <w:tcPr>
            <w:tcW w:type="dxa" w:w="3408"/>
          </w:tcPr>
          <w:p>
            <w:r>
              <w:t>Keep optional until a valid source is secured</w:t>
            </w:r>
          </w:p>
        </w:tc>
      </w:tr>
      <w:tr>
        <w:tc>
          <w:tcPr>
            <w:tcW w:type="dxa" w:w="3408"/>
          </w:tcPr>
          <w:p>
            <w:r>
              <w:t>Vendor licensing/cost</w:t>
            </w:r>
          </w:p>
        </w:tc>
        <w:tc>
          <w:tcPr>
            <w:tcW w:type="dxa" w:w="3408"/>
          </w:tcPr>
          <w:p>
            <w:r>
              <w:t>Can constrain production or redistribution</w:t>
            </w:r>
          </w:p>
        </w:tc>
        <w:tc>
          <w:tcPr>
            <w:tcW w:type="dxa" w:w="3408"/>
          </w:tcPr>
          <w:p>
            <w:r>
              <w:t>Review terms before adoption</w:t>
            </w:r>
          </w:p>
        </w:tc>
      </w:tr>
    </w:tbl>
    <w:p>
      <w:pPr>
        <w:pStyle w:val="Heading1"/>
      </w:pPr>
      <w:r>
        <w:t>12. Candidate shortlist — not empirically validated</w:t>
      </w:r>
    </w:p>
    <w:p>
      <w:r>
        <w:t>This is only an initial shortlist for testing, not a conclusion about the strongest predictors.</w:t>
      </w:r>
    </w:p>
    <w:p>
      <w:pPr>
        <w:pStyle w:val="ListBullet"/>
      </w:pPr>
      <w:r>
        <w:t>Revenue growth (YoY)</w:t>
      </w:r>
    </w:p>
    <w:p>
      <w:pPr>
        <w:pStyle w:val="ListBullet"/>
      </w:pPr>
      <w:r>
        <w:t>EBITDA/operating margin and its change</w:t>
      </w:r>
    </w:p>
    <w:p>
      <w:pPr>
        <w:pStyle w:val="ListBullet"/>
      </w:pPr>
      <w:r>
        <w:t>ROCE or a sector-appropriate return ratio</w:t>
      </w:r>
    </w:p>
    <w:p>
      <w:pPr>
        <w:pStyle w:val="ListBullet"/>
      </w:pPr>
      <w:r>
        <w:t>Operating cash flow / profit</w:t>
      </w:r>
    </w:p>
    <w:p>
      <w:pPr>
        <w:pStyle w:val="ListBullet"/>
      </w:pPr>
      <w:r>
        <w:t>Free cash flow or free-cash-flow margin</w:t>
      </w:r>
    </w:p>
    <w:p>
      <w:pPr>
        <w:pStyle w:val="ListBullet"/>
      </w:pPr>
      <w:r>
        <w:t>Net debt / EBITDA or a sector-appropriate leverage measure</w:t>
      </w:r>
    </w:p>
    <w:p>
      <w:pPr>
        <w:pStyle w:val="ListBullet"/>
      </w:pPr>
      <w:r>
        <w:t>Interest coverage</w:t>
      </w:r>
    </w:p>
    <w:p>
      <w:pPr>
        <w:pStyle w:val="ListBullet"/>
      </w:pPr>
      <w:r>
        <w:t>One valuation feature such as earnings yield or EV/EBITDA where meaningful</w:t>
      </w:r>
    </w:p>
    <w:p>
      <w:pPr>
        <w:pStyle w:val="ListBullet"/>
      </w:pPr>
      <w:r>
        <w:t>EPS or revenue surprise only if genuine time-stamped consensus is available</w:t>
      </w:r>
    </w:p>
    <w:p>
      <w:pPr>
        <w:pStyle w:val="ListBullet"/>
      </w:pPr>
      <w:r>
        <w:t>One or two sector-relative fundamental features</w:t>
      </w:r>
    </w:p>
    <w:p>
      <w:pPr>
        <w:pStyle w:val="Heading1"/>
      </w:pPr>
      <w:r>
        <w:t>13. Feature selection and validation workflow</w:t>
      </w:r>
    </w:p>
    <w:p>
      <w:pPr>
        <w:pStyle w:val="ListNumber"/>
      </w:pPr>
      <w:r>
        <w:t>Create a broad candidate pool from each research dimension.</w:t>
      </w:r>
    </w:p>
    <w:p>
      <w:pPr>
        <w:pStyle w:val="ListNumber"/>
      </w:pPr>
      <w:r>
        <w:t>Align statements using their public filing timestamps.</w:t>
      </w:r>
    </w:p>
    <w:p>
      <w:pPr>
        <w:pStyle w:val="ListNumber"/>
      </w:pPr>
      <w:r>
        <w:t>Validate accounting definitions, units and data lineage.</w:t>
      </w:r>
    </w:p>
    <w:p>
      <w:pPr>
        <w:pStyle w:val="ListNumber"/>
      </w:pPr>
      <w:r>
        <w:t>Inspect missingness, outliers, revisions and structural breaks.</w:t>
      </w:r>
    </w:p>
    <w:p>
      <w:pPr>
        <w:pStyle w:val="ListNumber"/>
      </w:pPr>
      <w:r>
        <w:t>Remove duplicated or highly redundant ratios.</w:t>
      </w:r>
    </w:p>
    <w:p>
      <w:pPr>
        <w:pStyle w:val="ListNumber"/>
      </w:pPr>
      <w:r>
        <w:t>Check whether features are sector-dependent and whether peer comparisons are valid.</w:t>
      </w:r>
    </w:p>
    <w:p>
      <w:pPr>
        <w:pStyle w:val="ListNumber"/>
      </w:pPr>
      <w:r>
        <w:t>Measure relationships with the target while respecting time order.</w:t>
      </w:r>
    </w:p>
    <w:p>
      <w:pPr>
        <w:pStyle w:val="ListNumber"/>
      </w:pPr>
      <w:r>
        <w:t>Use rolling or walk-forward validation rather than random shuffling.</w:t>
      </w:r>
    </w:p>
    <w:p>
      <w:pPr>
        <w:pStyle w:val="ListNumber"/>
      </w:pPr>
      <w:r>
        <w:t>Evaluate incremental value over price-only and macro-only baselines.</w:t>
      </w:r>
    </w:p>
    <w:p>
      <w:pPr>
        <w:pStyle w:val="ListNumber"/>
      </w:pPr>
      <w:r>
        <w:t>Test stability across periods and market regimes before retaining features.</w:t>
      </w:r>
    </w:p>
    <w:p>
      <w:pPr>
        <w:pStyle w:val="Heading1"/>
      </w:pPr>
      <w:r>
        <w:t>14. Recommended data architecture</w:t>
      </w:r>
    </w:p>
    <w:p>
      <w:r>
        <w:t>Maintain separate raw-filing, normalized-statement, derived-feature and point-in-time feature tables. The last table is joined to stock-market rows.</w:t>
      </w:r>
    </w:p>
    <w:p>
      <w:r>
        <w:t>Suggested schema: company_id | ticker | exchange | fiscal_period_end | filing_timestamp | source_id | report_type | audited_status | revision_status | currency | unit_scale | revenue | ebitda | ebit | pat | total_assets | equity | debt | cash | operating_cash_flow | capex | shares_outstanding</w:t>
      </w:r>
    </w:p>
    <w:p>
      <w:r>
        <w:t>Store formula definitions and version identifiers so ratios can be reproduced consistently from raw line items.</w:t>
      </w:r>
    </w:p>
    <w:p>
      <w:pPr>
        <w:pStyle w:val="Heading1"/>
      </w:pPr>
      <w:r>
        <w:t>15. Mentor / TL-ready summary</w:t>
      </w:r>
    </w:p>
    <w:p>
      <w:r>
        <w:t>Fundamental / Company Financials is the recommended third category after Technical / Market and Macro / Inflation. It decomposes company performance into growth, margins, returns, efficiency, working capital, cash flow, leverage, liquidity, earnings quality, valuation, capital allocation, results surprises and peer-relative measures. NSE/BSE disclosures and company reports are core raw-data sources; normalized APIs can be evaluated if they meet coverage, timestamp and licensing requirements. The key modelling constraint is point-in-time availability: a financial result can only be used after publication. Build a broad candidate pool and shortlist only after cleaning, redundancy analysis and time-aware out-of-sample testing.</w:t>
      </w:r>
    </w:p>
    <w:p>
      <w:pPr>
        <w:pStyle w:val="Heading1"/>
      </w:pPr>
      <w:r>
        <w:t>16. Official references</w:t>
      </w:r>
    </w:p>
    <w:p>
      <w:pPr>
        <w:pStyle w:val="ListBullet"/>
      </w:pPr>
      <w:r>
        <w:t>NSE Financial Results: https://www.nseindia.com/companies-listing/corporate-filings-financial-results</w:t>
      </w:r>
    </w:p>
    <w:p>
      <w:pPr>
        <w:pStyle w:val="ListBullet"/>
      </w:pPr>
      <w:r>
        <w:t>NSE Integrated Financial Filings: https://www.nseindia.com/companies-listing/corporate-integrated-filing</w:t>
      </w:r>
    </w:p>
    <w:p>
      <w:pPr>
        <w:pStyle w:val="ListBullet"/>
      </w:pPr>
      <w:r>
        <w:t>NSE Corporate Announcements: https://www.nseindia.com/companies-listing/corporate-filings-announcements</w:t>
      </w:r>
    </w:p>
    <w:p>
      <w:pPr>
        <w:pStyle w:val="ListBullet"/>
      </w:pPr>
      <w:r>
        <w:t>BSE Corporate Financial Results: https://www.bseindia.com/corporates/Comp_Resultsnew.aspx</w:t>
      </w:r>
    </w:p>
    <w:p>
      <w:pPr>
        <w:pStyle w:val="ListBullet"/>
      </w:pPr>
      <w:r>
        <w:t>SEBI LODR Master Circular, January 2026: https://www.sebi.gov.in/legal/master-circulars/jan-2026/master-circular-for-compliance-with-the-provisions-of-the-securities-and-exchange-board-of-india-listing-obligations-and-disclosure-requirements-regulations-2015-by-listed-entities_99432.html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