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6B7" w:rsidRDefault="0033239F">
      <w:pPr>
        <w:jc w:val="center"/>
        <w:rPr>
          <w:rFonts w:hint="eastAsia"/>
        </w:rPr>
      </w:pPr>
      <w:r>
        <w:br/>
      </w:r>
      <w:r>
        <w:rPr>
          <w:rFonts w:ascii="Aptos Display" w:hAnsi="Aptos Display"/>
          <w:b/>
          <w:color w:val="163A5F"/>
          <w:sz w:val="50"/>
        </w:rPr>
        <w:t>GLOBAL MARKETS &amp;</w:t>
      </w:r>
      <w:r>
        <w:rPr>
          <w:rFonts w:ascii="Aptos Display" w:hAnsi="Aptos Display"/>
          <w:b/>
          <w:color w:val="163A5F"/>
          <w:sz w:val="50"/>
        </w:rPr>
        <w:br/>
        <w:t>CROSS-ASSET FACTORS</w:t>
      </w:r>
    </w:p>
    <w:p w:rsidR="00D236B7" w:rsidRDefault="0033239F">
      <w:pPr>
        <w:jc w:val="center"/>
        <w:rPr>
          <w:rFonts w:hint="eastAsia"/>
        </w:rPr>
      </w:pPr>
      <w:r>
        <w:rPr>
          <w:i/>
          <w:sz w:val="26"/>
        </w:rPr>
        <w:t>Research Dimensions for an Indian Stock-Market Prediction Project</w:t>
      </w:r>
    </w:p>
    <w:p w:rsidR="00D236B7" w:rsidRDefault="0033239F">
      <w:pPr>
        <w:pStyle w:val="Heading1"/>
      </w:pPr>
      <w:bookmarkStart w:id="0" w:name="_GoBack"/>
      <w:bookmarkEnd w:id="0"/>
      <w:r>
        <w:t>1. Executive Summary</w:t>
      </w:r>
    </w:p>
    <w:p w:rsidR="00D236B7" w:rsidRDefault="0033239F">
      <w:pPr>
        <w:rPr>
          <w:rFonts w:hint="eastAsia"/>
        </w:rPr>
      </w:pPr>
      <w:r>
        <w:t>Indian equities are connec</w:t>
      </w:r>
      <w:r>
        <w:t>ted to global markets through foreign portfolio flows, global risk appetite, interest-rate expectations, energy imports, currency movements, commodity costs, and multinational-company earnings. Global variables can be especially useful for predicting the n</w:t>
      </w:r>
      <w:r>
        <w:t>ext Indian session because several major overseas markets trade while Indian exchanges are closed.</w:t>
      </w:r>
    </w:p>
    <w:p w:rsidR="00D236B7" w:rsidRDefault="0033239F">
      <w:pPr>
        <w:rPr>
          <w:rFonts w:hint="eastAsia"/>
        </w:rPr>
      </w:pPr>
      <w:r>
        <w:t>The strongest starting hypothesis is not that every global asset predicts Indian stocks, but that a small, timestamp-aligned set of global returns, overnight</w:t>
      </w:r>
      <w:r>
        <w:t xml:space="preserve"> moves, currency changes, oil moves, and yield changes may explain some of the next-session gap or volatility. The value must be measured out of sample and after controlling for the technical, macro, sentiment, and company-specific features already planned</w:t>
      </w:r>
      <w:r>
        <w:t xml:space="preserve"> in other category documents.</w:t>
      </w:r>
    </w:p>
    <w:tbl>
      <w:tblPr>
        <w:tblStyle w:val="TableGrid"/>
        <w:tblW w:w="0" w:type="auto"/>
        <w:jc w:val="center"/>
        <w:tblLook w:val="04A0" w:firstRow="1" w:lastRow="0" w:firstColumn="1" w:lastColumn="0" w:noHBand="0" w:noVBand="1"/>
      </w:tblPr>
      <w:tblGrid>
        <w:gridCol w:w="2520"/>
        <w:gridCol w:w="2520"/>
        <w:gridCol w:w="2520"/>
        <w:gridCol w:w="2520"/>
      </w:tblGrid>
      <w:tr w:rsidR="00D236B7">
        <w:trPr>
          <w:jc w:val="center"/>
        </w:trPr>
        <w:tc>
          <w:tcPr>
            <w:tcW w:w="2520" w:type="dxa"/>
            <w:shd w:val="clear" w:color="auto" w:fill="D9EAF2"/>
            <w:vAlign w:val="center"/>
          </w:tcPr>
          <w:p w:rsidR="00D236B7" w:rsidRDefault="0033239F">
            <w:pPr>
              <w:spacing w:after="40"/>
              <w:rPr>
                <w:rFonts w:hint="eastAsia"/>
              </w:rPr>
            </w:pPr>
            <w:r>
              <w:rPr>
                <w:b/>
                <w:sz w:val="17"/>
              </w:rPr>
              <w:t>Research area</w:t>
            </w:r>
          </w:p>
        </w:tc>
        <w:tc>
          <w:tcPr>
            <w:tcW w:w="2520" w:type="dxa"/>
            <w:shd w:val="clear" w:color="auto" w:fill="D9EAF2"/>
            <w:vAlign w:val="center"/>
          </w:tcPr>
          <w:p w:rsidR="00D236B7" w:rsidRDefault="0033239F">
            <w:pPr>
              <w:spacing w:after="40"/>
              <w:rPr>
                <w:rFonts w:hint="eastAsia"/>
              </w:rPr>
            </w:pPr>
            <w:r>
              <w:rPr>
                <w:b/>
                <w:sz w:val="17"/>
              </w:rPr>
              <w:t>Candidate variables</w:t>
            </w:r>
          </w:p>
        </w:tc>
        <w:tc>
          <w:tcPr>
            <w:tcW w:w="2520" w:type="dxa"/>
            <w:shd w:val="clear" w:color="auto" w:fill="D9EAF2"/>
            <w:vAlign w:val="center"/>
          </w:tcPr>
          <w:p w:rsidR="00D236B7" w:rsidRDefault="0033239F">
            <w:pPr>
              <w:spacing w:after="40"/>
              <w:rPr>
                <w:rFonts w:hint="eastAsia"/>
              </w:rPr>
            </w:pPr>
            <w:r>
              <w:rPr>
                <w:b/>
                <w:sz w:val="17"/>
              </w:rPr>
              <w:t>Why it may matter</w:t>
            </w:r>
          </w:p>
        </w:tc>
        <w:tc>
          <w:tcPr>
            <w:tcW w:w="2520" w:type="dxa"/>
            <w:shd w:val="clear" w:color="auto" w:fill="D9EAF2"/>
            <w:vAlign w:val="center"/>
          </w:tcPr>
          <w:p w:rsidR="00D236B7" w:rsidRDefault="0033239F">
            <w:pPr>
              <w:spacing w:after="40"/>
              <w:rPr>
                <w:rFonts w:hint="eastAsia"/>
              </w:rPr>
            </w:pPr>
            <w:r>
              <w:rPr>
                <w:b/>
                <w:sz w:val="17"/>
              </w:rPr>
              <w:t>Initial priority</w:t>
            </w:r>
          </w:p>
        </w:tc>
      </w:tr>
      <w:tr w:rsidR="00D236B7">
        <w:trPr>
          <w:jc w:val="center"/>
        </w:trPr>
        <w:tc>
          <w:tcPr>
            <w:tcW w:w="2520" w:type="dxa"/>
            <w:vAlign w:val="center"/>
          </w:tcPr>
          <w:p w:rsidR="00D236B7" w:rsidRDefault="0033239F">
            <w:pPr>
              <w:spacing w:after="40"/>
              <w:rPr>
                <w:rFonts w:hint="eastAsia"/>
              </w:rPr>
            </w:pPr>
            <w:r>
              <w:rPr>
                <w:sz w:val="17"/>
              </w:rPr>
              <w:t>Overseas equity indices</w:t>
            </w:r>
          </w:p>
        </w:tc>
        <w:tc>
          <w:tcPr>
            <w:tcW w:w="2520" w:type="dxa"/>
            <w:vAlign w:val="center"/>
          </w:tcPr>
          <w:p w:rsidR="00D236B7" w:rsidRDefault="0033239F">
            <w:pPr>
              <w:spacing w:after="40"/>
              <w:rPr>
                <w:rFonts w:hint="eastAsia"/>
              </w:rPr>
            </w:pPr>
            <w:r>
              <w:rPr>
                <w:sz w:val="17"/>
              </w:rPr>
              <w:t>S&amp;P 500, Nasdaq-100, Dow, Euro Stoxx 50, Nikkei 225, Hang Seng, Shanghai Composite; returns and overnight gaps</w:t>
            </w:r>
          </w:p>
        </w:tc>
        <w:tc>
          <w:tcPr>
            <w:tcW w:w="2520" w:type="dxa"/>
            <w:vAlign w:val="center"/>
          </w:tcPr>
          <w:p w:rsidR="00D236B7" w:rsidRDefault="0033239F">
            <w:pPr>
              <w:spacing w:after="40"/>
              <w:rPr>
                <w:rFonts w:hint="eastAsia"/>
              </w:rPr>
            </w:pPr>
            <w:r>
              <w:rPr>
                <w:sz w:val="17"/>
              </w:rPr>
              <w:t>Global risk appetite,</w:t>
            </w:r>
            <w:r>
              <w:rPr>
                <w:sz w:val="17"/>
              </w:rPr>
              <w:t xml:space="preserve"> technology/sector spillovers, Asian market direction</w:t>
            </w:r>
          </w:p>
        </w:tc>
        <w:tc>
          <w:tcPr>
            <w:tcW w:w="2520" w:type="dxa"/>
            <w:vAlign w:val="center"/>
          </w:tcPr>
          <w:p w:rsidR="00D236B7" w:rsidRDefault="0033239F">
            <w:pPr>
              <w:spacing w:after="40"/>
              <w:rPr>
                <w:rFonts w:hint="eastAsia"/>
              </w:rPr>
            </w:pPr>
            <w:r>
              <w:rPr>
                <w:sz w:val="17"/>
              </w:rPr>
              <w:t>High</w:t>
            </w:r>
          </w:p>
        </w:tc>
      </w:tr>
      <w:tr w:rsidR="00D236B7">
        <w:trPr>
          <w:jc w:val="center"/>
        </w:trPr>
        <w:tc>
          <w:tcPr>
            <w:tcW w:w="2520" w:type="dxa"/>
            <w:vAlign w:val="center"/>
          </w:tcPr>
          <w:p w:rsidR="00D236B7" w:rsidRDefault="0033239F">
            <w:pPr>
              <w:spacing w:after="40"/>
              <w:rPr>
                <w:rFonts w:hint="eastAsia"/>
              </w:rPr>
            </w:pPr>
            <w:r>
              <w:rPr>
                <w:sz w:val="17"/>
              </w:rPr>
              <w:t>Currency / US dollar</w:t>
            </w:r>
          </w:p>
        </w:tc>
        <w:tc>
          <w:tcPr>
            <w:tcW w:w="2520" w:type="dxa"/>
            <w:vAlign w:val="center"/>
          </w:tcPr>
          <w:p w:rsidR="00D236B7" w:rsidRDefault="0033239F">
            <w:pPr>
              <w:spacing w:after="40"/>
              <w:rPr>
                <w:rFonts w:hint="eastAsia"/>
              </w:rPr>
            </w:pPr>
            <w:r>
              <w:rPr>
                <w:sz w:val="17"/>
              </w:rPr>
              <w:t>USD/INR, DXY, USD/JPY; daily change, rolling volatility</w:t>
            </w:r>
          </w:p>
        </w:tc>
        <w:tc>
          <w:tcPr>
            <w:tcW w:w="2520" w:type="dxa"/>
            <w:vAlign w:val="center"/>
          </w:tcPr>
          <w:p w:rsidR="00D236B7" w:rsidRDefault="0033239F">
            <w:pPr>
              <w:spacing w:after="40"/>
              <w:rPr>
                <w:rFonts w:hint="eastAsia"/>
              </w:rPr>
            </w:pPr>
            <w:r>
              <w:rPr>
                <w:sz w:val="17"/>
              </w:rPr>
              <w:t>Foreign returns, import costs, risk-off behaviour, inflation pressure</w:t>
            </w:r>
          </w:p>
        </w:tc>
        <w:tc>
          <w:tcPr>
            <w:tcW w:w="2520" w:type="dxa"/>
            <w:vAlign w:val="center"/>
          </w:tcPr>
          <w:p w:rsidR="00D236B7" w:rsidRDefault="0033239F">
            <w:pPr>
              <w:spacing w:after="40"/>
              <w:rPr>
                <w:rFonts w:hint="eastAsia"/>
              </w:rPr>
            </w:pPr>
            <w:r>
              <w:rPr>
                <w:sz w:val="17"/>
              </w:rPr>
              <w:t>High</w:t>
            </w:r>
          </w:p>
        </w:tc>
      </w:tr>
      <w:tr w:rsidR="00D236B7">
        <w:trPr>
          <w:jc w:val="center"/>
        </w:trPr>
        <w:tc>
          <w:tcPr>
            <w:tcW w:w="2520" w:type="dxa"/>
            <w:vAlign w:val="center"/>
          </w:tcPr>
          <w:p w:rsidR="00D236B7" w:rsidRDefault="0033239F">
            <w:pPr>
              <w:spacing w:after="40"/>
              <w:rPr>
                <w:rFonts w:hint="eastAsia"/>
              </w:rPr>
            </w:pPr>
            <w:r>
              <w:rPr>
                <w:sz w:val="17"/>
              </w:rPr>
              <w:t>Crude oil and energy</w:t>
            </w:r>
          </w:p>
        </w:tc>
        <w:tc>
          <w:tcPr>
            <w:tcW w:w="2520" w:type="dxa"/>
            <w:vAlign w:val="center"/>
          </w:tcPr>
          <w:p w:rsidR="00D236B7" w:rsidRDefault="0033239F">
            <w:pPr>
              <w:spacing w:after="40"/>
              <w:rPr>
                <w:rFonts w:hint="eastAsia"/>
              </w:rPr>
            </w:pPr>
            <w:r>
              <w:rPr>
                <w:sz w:val="17"/>
              </w:rPr>
              <w:t xml:space="preserve">Brent, WTI; returns, </w:t>
            </w:r>
            <w:r>
              <w:rPr>
                <w:sz w:val="17"/>
              </w:rPr>
              <w:t>gaps, volatility, rolling trend</w:t>
            </w:r>
          </w:p>
        </w:tc>
        <w:tc>
          <w:tcPr>
            <w:tcW w:w="2520" w:type="dxa"/>
            <w:vAlign w:val="center"/>
          </w:tcPr>
          <w:p w:rsidR="00D236B7" w:rsidRDefault="0033239F">
            <w:pPr>
              <w:spacing w:after="40"/>
              <w:rPr>
                <w:rFonts w:hint="eastAsia"/>
              </w:rPr>
            </w:pPr>
            <w:r>
              <w:rPr>
                <w:sz w:val="17"/>
              </w:rPr>
              <w:t>India's energy-import exposure; inflation, margins and currency pressure</w:t>
            </w:r>
          </w:p>
        </w:tc>
        <w:tc>
          <w:tcPr>
            <w:tcW w:w="2520" w:type="dxa"/>
            <w:vAlign w:val="center"/>
          </w:tcPr>
          <w:p w:rsidR="00D236B7" w:rsidRDefault="0033239F">
            <w:pPr>
              <w:spacing w:after="40"/>
              <w:rPr>
                <w:rFonts w:hint="eastAsia"/>
              </w:rPr>
            </w:pPr>
            <w:r>
              <w:rPr>
                <w:sz w:val="17"/>
              </w:rPr>
              <w:t>High</w:t>
            </w:r>
          </w:p>
        </w:tc>
      </w:tr>
      <w:tr w:rsidR="00D236B7">
        <w:trPr>
          <w:jc w:val="center"/>
        </w:trPr>
        <w:tc>
          <w:tcPr>
            <w:tcW w:w="2520" w:type="dxa"/>
            <w:vAlign w:val="center"/>
          </w:tcPr>
          <w:p w:rsidR="00D236B7" w:rsidRDefault="0033239F">
            <w:pPr>
              <w:spacing w:after="40"/>
              <w:rPr>
                <w:rFonts w:hint="eastAsia"/>
              </w:rPr>
            </w:pPr>
            <w:r>
              <w:rPr>
                <w:sz w:val="17"/>
              </w:rPr>
              <w:t>Global yields and rates</w:t>
            </w:r>
          </w:p>
        </w:tc>
        <w:tc>
          <w:tcPr>
            <w:tcW w:w="2520" w:type="dxa"/>
            <w:vAlign w:val="center"/>
          </w:tcPr>
          <w:p w:rsidR="00D236B7" w:rsidRDefault="0033239F">
            <w:pPr>
              <w:spacing w:after="40"/>
              <w:rPr>
                <w:rFonts w:hint="eastAsia"/>
              </w:rPr>
            </w:pPr>
            <w:r>
              <w:rPr>
                <w:sz w:val="17"/>
              </w:rPr>
              <w:t>US 2-year/10-year Treasury yields, yield-curve slope, change in yields</w:t>
            </w:r>
          </w:p>
        </w:tc>
        <w:tc>
          <w:tcPr>
            <w:tcW w:w="2520" w:type="dxa"/>
            <w:vAlign w:val="center"/>
          </w:tcPr>
          <w:p w:rsidR="00D236B7" w:rsidRDefault="0033239F">
            <w:pPr>
              <w:spacing w:after="40"/>
              <w:rPr>
                <w:rFonts w:hint="eastAsia"/>
              </w:rPr>
            </w:pPr>
            <w:r>
              <w:rPr>
                <w:sz w:val="17"/>
              </w:rPr>
              <w:t>Discount rates, capital flows, valuation pressure,</w:t>
            </w:r>
            <w:r>
              <w:rPr>
                <w:sz w:val="17"/>
              </w:rPr>
              <w:t xml:space="preserve"> monetary-policy expectations</w:t>
            </w:r>
          </w:p>
        </w:tc>
        <w:tc>
          <w:tcPr>
            <w:tcW w:w="2520" w:type="dxa"/>
            <w:vAlign w:val="center"/>
          </w:tcPr>
          <w:p w:rsidR="00D236B7" w:rsidRDefault="0033239F">
            <w:pPr>
              <w:spacing w:after="40"/>
              <w:rPr>
                <w:rFonts w:hint="eastAsia"/>
              </w:rPr>
            </w:pPr>
            <w:r>
              <w:rPr>
                <w:sz w:val="17"/>
              </w:rPr>
              <w:t>High</w:t>
            </w:r>
          </w:p>
        </w:tc>
      </w:tr>
      <w:tr w:rsidR="00D236B7">
        <w:trPr>
          <w:jc w:val="center"/>
        </w:trPr>
        <w:tc>
          <w:tcPr>
            <w:tcW w:w="2520" w:type="dxa"/>
            <w:vAlign w:val="center"/>
          </w:tcPr>
          <w:p w:rsidR="00D236B7" w:rsidRDefault="0033239F">
            <w:pPr>
              <w:spacing w:after="40"/>
              <w:rPr>
                <w:rFonts w:hint="eastAsia"/>
              </w:rPr>
            </w:pPr>
            <w:r>
              <w:rPr>
                <w:sz w:val="17"/>
              </w:rPr>
              <w:t>Gold and safe havens</w:t>
            </w:r>
          </w:p>
        </w:tc>
        <w:tc>
          <w:tcPr>
            <w:tcW w:w="2520" w:type="dxa"/>
            <w:vAlign w:val="center"/>
          </w:tcPr>
          <w:p w:rsidR="00D236B7" w:rsidRDefault="0033239F">
            <w:pPr>
              <w:spacing w:after="40"/>
              <w:rPr>
                <w:rFonts w:hint="eastAsia"/>
              </w:rPr>
            </w:pPr>
            <w:r>
              <w:rPr>
                <w:sz w:val="17"/>
              </w:rPr>
              <w:t>Gold returns, gold/US-dollar relationship, gold volatility</w:t>
            </w:r>
          </w:p>
        </w:tc>
        <w:tc>
          <w:tcPr>
            <w:tcW w:w="2520" w:type="dxa"/>
            <w:vAlign w:val="center"/>
          </w:tcPr>
          <w:p w:rsidR="00D236B7" w:rsidRDefault="0033239F">
            <w:pPr>
              <w:spacing w:after="40"/>
              <w:rPr>
                <w:rFonts w:hint="eastAsia"/>
              </w:rPr>
            </w:pPr>
            <w:r>
              <w:rPr>
                <w:sz w:val="17"/>
              </w:rPr>
              <w:t>Potential risk aversion and uncertainty; not a one-way equity signal</w:t>
            </w:r>
          </w:p>
        </w:tc>
        <w:tc>
          <w:tcPr>
            <w:tcW w:w="2520" w:type="dxa"/>
            <w:vAlign w:val="center"/>
          </w:tcPr>
          <w:p w:rsidR="00D236B7" w:rsidRDefault="0033239F">
            <w:pPr>
              <w:spacing w:after="40"/>
              <w:rPr>
                <w:rFonts w:hint="eastAsia"/>
              </w:rPr>
            </w:pPr>
            <w:r>
              <w:rPr>
                <w:sz w:val="17"/>
              </w:rPr>
              <w:t>Medium</w:t>
            </w:r>
          </w:p>
        </w:tc>
      </w:tr>
      <w:tr w:rsidR="00D236B7">
        <w:trPr>
          <w:jc w:val="center"/>
        </w:trPr>
        <w:tc>
          <w:tcPr>
            <w:tcW w:w="2520" w:type="dxa"/>
            <w:vAlign w:val="center"/>
          </w:tcPr>
          <w:p w:rsidR="00D236B7" w:rsidRDefault="0033239F">
            <w:pPr>
              <w:spacing w:after="40"/>
              <w:rPr>
                <w:rFonts w:hint="eastAsia"/>
              </w:rPr>
            </w:pPr>
            <w:r>
              <w:rPr>
                <w:sz w:val="17"/>
              </w:rPr>
              <w:t>Industrial metals / commodities</w:t>
            </w:r>
          </w:p>
        </w:tc>
        <w:tc>
          <w:tcPr>
            <w:tcW w:w="2520" w:type="dxa"/>
            <w:vAlign w:val="center"/>
          </w:tcPr>
          <w:p w:rsidR="00D236B7" w:rsidRDefault="0033239F">
            <w:pPr>
              <w:spacing w:after="40"/>
              <w:rPr>
                <w:rFonts w:hint="eastAsia"/>
              </w:rPr>
            </w:pPr>
            <w:r>
              <w:rPr>
                <w:sz w:val="17"/>
              </w:rPr>
              <w:t>Copper, aluminium, broad commod</w:t>
            </w:r>
            <w:r>
              <w:rPr>
                <w:sz w:val="17"/>
              </w:rPr>
              <w:t>ity indices</w:t>
            </w:r>
          </w:p>
        </w:tc>
        <w:tc>
          <w:tcPr>
            <w:tcW w:w="2520" w:type="dxa"/>
            <w:vAlign w:val="center"/>
          </w:tcPr>
          <w:p w:rsidR="00D236B7" w:rsidRDefault="0033239F">
            <w:pPr>
              <w:spacing w:after="40"/>
              <w:rPr>
                <w:rFonts w:hint="eastAsia"/>
              </w:rPr>
            </w:pPr>
            <w:r>
              <w:rPr>
                <w:sz w:val="17"/>
              </w:rPr>
              <w:t>Global growth expectations and sector input costs</w:t>
            </w:r>
          </w:p>
        </w:tc>
        <w:tc>
          <w:tcPr>
            <w:tcW w:w="2520" w:type="dxa"/>
            <w:vAlign w:val="center"/>
          </w:tcPr>
          <w:p w:rsidR="00D236B7" w:rsidRDefault="0033239F">
            <w:pPr>
              <w:spacing w:after="40"/>
              <w:rPr>
                <w:rFonts w:hint="eastAsia"/>
              </w:rPr>
            </w:pPr>
            <w:r>
              <w:rPr>
                <w:sz w:val="17"/>
              </w:rPr>
              <w:t>Medium</w:t>
            </w:r>
          </w:p>
        </w:tc>
      </w:tr>
      <w:tr w:rsidR="00D236B7">
        <w:trPr>
          <w:jc w:val="center"/>
        </w:trPr>
        <w:tc>
          <w:tcPr>
            <w:tcW w:w="2520" w:type="dxa"/>
            <w:vAlign w:val="center"/>
          </w:tcPr>
          <w:p w:rsidR="00D236B7" w:rsidRDefault="0033239F">
            <w:pPr>
              <w:spacing w:after="40"/>
              <w:rPr>
                <w:rFonts w:hint="eastAsia"/>
              </w:rPr>
            </w:pPr>
            <w:r>
              <w:rPr>
                <w:sz w:val="17"/>
              </w:rPr>
              <w:t>Global volatility / risk proxies</w:t>
            </w:r>
          </w:p>
        </w:tc>
        <w:tc>
          <w:tcPr>
            <w:tcW w:w="2520" w:type="dxa"/>
            <w:vAlign w:val="center"/>
          </w:tcPr>
          <w:p w:rsidR="00D236B7" w:rsidRDefault="0033239F">
            <w:pPr>
              <w:spacing w:after="40"/>
              <w:rPr>
                <w:rFonts w:hint="eastAsia"/>
              </w:rPr>
            </w:pPr>
            <w:r>
              <w:rPr>
                <w:sz w:val="17"/>
              </w:rPr>
              <w:t>VIX level/change, global equity dispersion, risk-on/off composites</w:t>
            </w:r>
          </w:p>
        </w:tc>
        <w:tc>
          <w:tcPr>
            <w:tcW w:w="2520" w:type="dxa"/>
            <w:vAlign w:val="center"/>
          </w:tcPr>
          <w:p w:rsidR="00D236B7" w:rsidRDefault="0033239F">
            <w:pPr>
              <w:spacing w:after="40"/>
              <w:rPr>
                <w:rFonts w:hint="eastAsia"/>
              </w:rPr>
            </w:pPr>
            <w:r>
              <w:rPr>
                <w:sz w:val="17"/>
              </w:rPr>
              <w:t>Market stress and correlations can rise during shocks</w:t>
            </w:r>
          </w:p>
        </w:tc>
        <w:tc>
          <w:tcPr>
            <w:tcW w:w="2520" w:type="dxa"/>
            <w:vAlign w:val="center"/>
          </w:tcPr>
          <w:p w:rsidR="00D236B7" w:rsidRDefault="0033239F">
            <w:pPr>
              <w:spacing w:after="40"/>
              <w:rPr>
                <w:rFonts w:hint="eastAsia"/>
              </w:rPr>
            </w:pPr>
            <w:r>
              <w:rPr>
                <w:sz w:val="17"/>
              </w:rPr>
              <w:t>Medium</w:t>
            </w:r>
          </w:p>
        </w:tc>
      </w:tr>
      <w:tr w:rsidR="00D236B7">
        <w:trPr>
          <w:jc w:val="center"/>
        </w:trPr>
        <w:tc>
          <w:tcPr>
            <w:tcW w:w="2520" w:type="dxa"/>
            <w:vAlign w:val="center"/>
          </w:tcPr>
          <w:p w:rsidR="00D236B7" w:rsidRDefault="0033239F">
            <w:pPr>
              <w:spacing w:after="40"/>
              <w:rPr>
                <w:rFonts w:hint="eastAsia"/>
              </w:rPr>
            </w:pPr>
            <w:r>
              <w:rPr>
                <w:sz w:val="17"/>
              </w:rPr>
              <w:t>Global event context</w:t>
            </w:r>
          </w:p>
        </w:tc>
        <w:tc>
          <w:tcPr>
            <w:tcW w:w="2520" w:type="dxa"/>
            <w:vAlign w:val="center"/>
          </w:tcPr>
          <w:p w:rsidR="00D236B7" w:rsidRDefault="0033239F">
            <w:pPr>
              <w:spacing w:after="40"/>
              <w:rPr>
                <w:rFonts w:hint="eastAsia"/>
              </w:rPr>
            </w:pPr>
            <w:r>
              <w:rPr>
                <w:sz w:val="17"/>
              </w:rPr>
              <w:t>Central-bank decisions, inflation/jobs releases, geopolitical event flags</w:t>
            </w:r>
          </w:p>
        </w:tc>
        <w:tc>
          <w:tcPr>
            <w:tcW w:w="2520" w:type="dxa"/>
            <w:vAlign w:val="center"/>
          </w:tcPr>
          <w:p w:rsidR="00D236B7" w:rsidRDefault="0033239F">
            <w:pPr>
              <w:spacing w:after="40"/>
              <w:rPr>
                <w:rFonts w:hint="eastAsia"/>
              </w:rPr>
            </w:pPr>
            <w:r>
              <w:rPr>
                <w:sz w:val="17"/>
              </w:rPr>
              <w:t>Large market reactions around scheduled and unscheduled events</w:t>
            </w:r>
          </w:p>
        </w:tc>
        <w:tc>
          <w:tcPr>
            <w:tcW w:w="2520" w:type="dxa"/>
            <w:vAlign w:val="center"/>
          </w:tcPr>
          <w:p w:rsidR="00D236B7" w:rsidRDefault="0033239F">
            <w:pPr>
              <w:spacing w:after="40"/>
              <w:rPr>
                <w:rFonts w:hint="eastAsia"/>
              </w:rPr>
            </w:pPr>
            <w:r>
              <w:rPr>
                <w:sz w:val="17"/>
              </w:rPr>
              <w:t>Medium; timestamp-intensive</w:t>
            </w:r>
          </w:p>
        </w:tc>
      </w:tr>
    </w:tbl>
    <w:p w:rsidR="00D236B7" w:rsidRDefault="00D236B7">
      <w:pPr>
        <w:rPr>
          <w:rFonts w:hint="eastAsia"/>
        </w:rPr>
      </w:pPr>
    </w:p>
    <w:p w:rsidR="00D236B7" w:rsidRDefault="0033239F">
      <w:pPr>
        <w:pStyle w:val="Heading1"/>
      </w:pPr>
      <w:r>
        <w:t>2. Scope and Target Definition</w:t>
      </w:r>
    </w:p>
    <w:p w:rsidR="00D236B7" w:rsidRDefault="0033239F">
      <w:pPr>
        <w:rPr>
          <w:rFonts w:hint="eastAsia"/>
        </w:rPr>
      </w:pPr>
      <w:r>
        <w:t xml:space="preserve">Before collecting data, define what the model predicts. </w:t>
      </w:r>
      <w:r>
        <w:t>The correct global feature depends on the prediction horizon and the exact time the prediction is made.</w:t>
      </w:r>
    </w:p>
    <w:tbl>
      <w:tblPr>
        <w:tblStyle w:val="TableGrid"/>
        <w:tblW w:w="0" w:type="auto"/>
        <w:jc w:val="center"/>
        <w:tblLook w:val="04A0" w:firstRow="1" w:lastRow="0" w:firstColumn="1" w:lastColumn="0" w:noHBand="0" w:noVBand="1"/>
      </w:tblPr>
      <w:tblGrid>
        <w:gridCol w:w="2520"/>
        <w:gridCol w:w="2520"/>
        <w:gridCol w:w="2520"/>
        <w:gridCol w:w="2520"/>
      </w:tblGrid>
      <w:tr w:rsidR="00D236B7">
        <w:trPr>
          <w:jc w:val="center"/>
        </w:trPr>
        <w:tc>
          <w:tcPr>
            <w:tcW w:w="2520" w:type="dxa"/>
            <w:shd w:val="clear" w:color="auto" w:fill="D9EAF2"/>
            <w:vAlign w:val="center"/>
          </w:tcPr>
          <w:p w:rsidR="00D236B7" w:rsidRDefault="0033239F">
            <w:pPr>
              <w:spacing w:after="40"/>
              <w:rPr>
                <w:rFonts w:hint="eastAsia"/>
              </w:rPr>
            </w:pPr>
            <w:r>
              <w:rPr>
                <w:b/>
                <w:sz w:val="17"/>
              </w:rPr>
              <w:t>Target design</w:t>
            </w:r>
          </w:p>
        </w:tc>
        <w:tc>
          <w:tcPr>
            <w:tcW w:w="2520" w:type="dxa"/>
            <w:shd w:val="clear" w:color="auto" w:fill="D9EAF2"/>
            <w:vAlign w:val="center"/>
          </w:tcPr>
          <w:p w:rsidR="00D236B7" w:rsidRDefault="0033239F">
            <w:pPr>
              <w:spacing w:after="40"/>
              <w:rPr>
                <w:rFonts w:hint="eastAsia"/>
              </w:rPr>
            </w:pPr>
            <w:r>
              <w:rPr>
                <w:b/>
                <w:sz w:val="17"/>
              </w:rPr>
              <w:t>Example target</w:t>
            </w:r>
          </w:p>
        </w:tc>
        <w:tc>
          <w:tcPr>
            <w:tcW w:w="2520" w:type="dxa"/>
            <w:shd w:val="clear" w:color="auto" w:fill="D9EAF2"/>
            <w:vAlign w:val="center"/>
          </w:tcPr>
          <w:p w:rsidR="00D236B7" w:rsidRDefault="0033239F">
            <w:pPr>
              <w:spacing w:after="40"/>
              <w:rPr>
                <w:rFonts w:hint="eastAsia"/>
              </w:rPr>
            </w:pPr>
            <w:r>
              <w:rPr>
                <w:b/>
                <w:sz w:val="17"/>
              </w:rPr>
              <w:t>Global features that fit</w:t>
            </w:r>
          </w:p>
        </w:tc>
        <w:tc>
          <w:tcPr>
            <w:tcW w:w="2520" w:type="dxa"/>
            <w:shd w:val="clear" w:color="auto" w:fill="D9EAF2"/>
            <w:vAlign w:val="center"/>
          </w:tcPr>
          <w:p w:rsidR="00D236B7" w:rsidRDefault="0033239F">
            <w:pPr>
              <w:spacing w:after="40"/>
              <w:rPr>
                <w:rFonts w:hint="eastAsia"/>
              </w:rPr>
            </w:pPr>
            <w:r>
              <w:rPr>
                <w:b/>
                <w:sz w:val="17"/>
              </w:rPr>
              <w:t>Important alignment rule</w:t>
            </w:r>
          </w:p>
        </w:tc>
      </w:tr>
      <w:tr w:rsidR="00D236B7">
        <w:trPr>
          <w:jc w:val="center"/>
        </w:trPr>
        <w:tc>
          <w:tcPr>
            <w:tcW w:w="2520" w:type="dxa"/>
            <w:vAlign w:val="center"/>
          </w:tcPr>
          <w:p w:rsidR="00D236B7" w:rsidRDefault="0033239F">
            <w:pPr>
              <w:spacing w:after="40"/>
              <w:rPr>
                <w:rFonts w:hint="eastAsia"/>
              </w:rPr>
            </w:pPr>
            <w:r>
              <w:rPr>
                <w:sz w:val="17"/>
              </w:rPr>
              <w:t>Next-session direction</w:t>
            </w:r>
          </w:p>
        </w:tc>
        <w:tc>
          <w:tcPr>
            <w:tcW w:w="2520" w:type="dxa"/>
            <w:vAlign w:val="center"/>
          </w:tcPr>
          <w:p w:rsidR="00D236B7" w:rsidRDefault="0033239F">
            <w:pPr>
              <w:spacing w:after="40"/>
              <w:rPr>
                <w:rFonts w:hint="eastAsia"/>
              </w:rPr>
            </w:pPr>
            <w:r>
              <w:rPr>
                <w:sz w:val="17"/>
              </w:rPr>
              <w:t xml:space="preserve">Will NIFTY 50 close-to-close return be positive </w:t>
            </w:r>
            <w:r>
              <w:rPr>
                <w:sz w:val="17"/>
              </w:rPr>
              <w:t>tomorrow?</w:t>
            </w:r>
          </w:p>
        </w:tc>
        <w:tc>
          <w:tcPr>
            <w:tcW w:w="2520" w:type="dxa"/>
            <w:vAlign w:val="center"/>
          </w:tcPr>
          <w:p w:rsidR="00D236B7" w:rsidRDefault="0033239F">
            <w:pPr>
              <w:spacing w:after="40"/>
              <w:rPr>
                <w:rFonts w:hint="eastAsia"/>
              </w:rPr>
            </w:pPr>
            <w:r>
              <w:rPr>
                <w:sz w:val="17"/>
              </w:rPr>
              <w:t>Previous US close return, Asian-market moves available before Indian open, overnight oil and FX changes</w:t>
            </w:r>
          </w:p>
        </w:tc>
        <w:tc>
          <w:tcPr>
            <w:tcW w:w="2520" w:type="dxa"/>
            <w:vAlign w:val="center"/>
          </w:tcPr>
          <w:p w:rsidR="00D236B7" w:rsidRDefault="0033239F">
            <w:pPr>
              <w:spacing w:after="40"/>
              <w:rPr>
                <w:rFonts w:hint="eastAsia"/>
              </w:rPr>
            </w:pPr>
            <w:r>
              <w:rPr>
                <w:sz w:val="17"/>
              </w:rPr>
              <w:t>Only use values known before the prediction timestamp.</w:t>
            </w:r>
          </w:p>
        </w:tc>
      </w:tr>
      <w:tr w:rsidR="00D236B7">
        <w:trPr>
          <w:jc w:val="center"/>
        </w:trPr>
        <w:tc>
          <w:tcPr>
            <w:tcW w:w="2520" w:type="dxa"/>
            <w:vAlign w:val="center"/>
          </w:tcPr>
          <w:p w:rsidR="00D236B7" w:rsidRDefault="0033239F">
            <w:pPr>
              <w:spacing w:after="40"/>
              <w:rPr>
                <w:rFonts w:hint="eastAsia"/>
              </w:rPr>
            </w:pPr>
            <w:r>
              <w:rPr>
                <w:sz w:val="17"/>
              </w:rPr>
              <w:t>Next-session return</w:t>
            </w:r>
          </w:p>
        </w:tc>
        <w:tc>
          <w:tcPr>
            <w:tcW w:w="2520" w:type="dxa"/>
            <w:vAlign w:val="center"/>
          </w:tcPr>
          <w:p w:rsidR="00D236B7" w:rsidRDefault="0033239F">
            <w:pPr>
              <w:spacing w:after="40"/>
              <w:rPr>
                <w:rFonts w:hint="eastAsia"/>
              </w:rPr>
            </w:pPr>
            <w:r>
              <w:rPr>
                <w:sz w:val="17"/>
              </w:rPr>
              <w:t>Predict tomorrow's NIFTY return as a number</w:t>
            </w:r>
          </w:p>
        </w:tc>
        <w:tc>
          <w:tcPr>
            <w:tcW w:w="2520" w:type="dxa"/>
            <w:vAlign w:val="center"/>
          </w:tcPr>
          <w:p w:rsidR="00D236B7" w:rsidRDefault="0033239F">
            <w:pPr>
              <w:spacing w:after="40"/>
              <w:rPr>
                <w:rFonts w:hint="eastAsia"/>
              </w:rPr>
            </w:pPr>
            <w:r>
              <w:rPr>
                <w:sz w:val="17"/>
              </w:rPr>
              <w:t>Lagged returns and yie</w:t>
            </w:r>
            <w:r>
              <w:rPr>
                <w:sz w:val="17"/>
              </w:rPr>
              <w:t>ld/FX/commodity changes</w:t>
            </w:r>
          </w:p>
        </w:tc>
        <w:tc>
          <w:tcPr>
            <w:tcW w:w="2520" w:type="dxa"/>
            <w:vAlign w:val="center"/>
          </w:tcPr>
          <w:p w:rsidR="00D236B7" w:rsidRDefault="0033239F">
            <w:pPr>
              <w:spacing w:after="40"/>
              <w:rPr>
                <w:rFonts w:hint="eastAsia"/>
              </w:rPr>
            </w:pPr>
            <w:r>
              <w:rPr>
                <w:sz w:val="17"/>
              </w:rPr>
              <w:t>Use adjusted/consistent price series and define the return convention.</w:t>
            </w:r>
          </w:p>
        </w:tc>
      </w:tr>
      <w:tr w:rsidR="00D236B7">
        <w:trPr>
          <w:jc w:val="center"/>
        </w:trPr>
        <w:tc>
          <w:tcPr>
            <w:tcW w:w="2520" w:type="dxa"/>
            <w:vAlign w:val="center"/>
          </w:tcPr>
          <w:p w:rsidR="00D236B7" w:rsidRDefault="0033239F">
            <w:pPr>
              <w:spacing w:after="40"/>
              <w:rPr>
                <w:rFonts w:hint="eastAsia"/>
              </w:rPr>
            </w:pPr>
            <w:r>
              <w:rPr>
                <w:sz w:val="17"/>
              </w:rPr>
              <w:lastRenderedPageBreak/>
              <w:t>Opening gap</w:t>
            </w:r>
          </w:p>
        </w:tc>
        <w:tc>
          <w:tcPr>
            <w:tcW w:w="2520" w:type="dxa"/>
            <w:vAlign w:val="center"/>
          </w:tcPr>
          <w:p w:rsidR="00D236B7" w:rsidRDefault="0033239F">
            <w:pPr>
              <w:spacing w:after="40"/>
              <w:rPr>
                <w:rFonts w:hint="eastAsia"/>
              </w:rPr>
            </w:pPr>
            <w:r>
              <w:rPr>
                <w:sz w:val="17"/>
              </w:rPr>
              <w:t>Predict Indian open relative to previous close</w:t>
            </w:r>
          </w:p>
        </w:tc>
        <w:tc>
          <w:tcPr>
            <w:tcW w:w="2520" w:type="dxa"/>
            <w:vAlign w:val="center"/>
          </w:tcPr>
          <w:p w:rsidR="00D236B7" w:rsidRDefault="0033239F">
            <w:pPr>
              <w:spacing w:after="40"/>
              <w:rPr>
                <w:rFonts w:hint="eastAsia"/>
              </w:rPr>
            </w:pPr>
            <w:r>
              <w:rPr>
                <w:sz w:val="17"/>
              </w:rPr>
              <w:t>Overnight US close, futures where licensed, Asian pre-open indices, USD/INR and Brent overnight moves</w:t>
            </w:r>
          </w:p>
        </w:tc>
        <w:tc>
          <w:tcPr>
            <w:tcW w:w="2520" w:type="dxa"/>
            <w:vAlign w:val="center"/>
          </w:tcPr>
          <w:p w:rsidR="00D236B7" w:rsidRDefault="0033239F">
            <w:pPr>
              <w:spacing w:after="40"/>
              <w:rPr>
                <w:rFonts w:hint="eastAsia"/>
              </w:rPr>
            </w:pPr>
            <w:r>
              <w:rPr>
                <w:sz w:val="17"/>
              </w:rPr>
              <w:t>Do not use any global close that occurs after the Indian opening timestamp.</w:t>
            </w:r>
          </w:p>
        </w:tc>
      </w:tr>
      <w:tr w:rsidR="00D236B7">
        <w:trPr>
          <w:jc w:val="center"/>
        </w:trPr>
        <w:tc>
          <w:tcPr>
            <w:tcW w:w="2520" w:type="dxa"/>
            <w:vAlign w:val="center"/>
          </w:tcPr>
          <w:p w:rsidR="00D236B7" w:rsidRDefault="0033239F">
            <w:pPr>
              <w:spacing w:after="40"/>
              <w:rPr>
                <w:rFonts w:hint="eastAsia"/>
              </w:rPr>
            </w:pPr>
            <w:r>
              <w:rPr>
                <w:sz w:val="17"/>
              </w:rPr>
              <w:t>Volatility / risk</w:t>
            </w:r>
          </w:p>
        </w:tc>
        <w:tc>
          <w:tcPr>
            <w:tcW w:w="2520" w:type="dxa"/>
            <w:vAlign w:val="center"/>
          </w:tcPr>
          <w:p w:rsidR="00D236B7" w:rsidRDefault="0033239F">
            <w:pPr>
              <w:spacing w:after="40"/>
              <w:rPr>
                <w:rFonts w:hint="eastAsia"/>
              </w:rPr>
            </w:pPr>
            <w:r>
              <w:rPr>
                <w:sz w:val="17"/>
              </w:rPr>
              <w:t>Predict next-day absolute return or realised volatility</w:t>
            </w:r>
          </w:p>
        </w:tc>
        <w:tc>
          <w:tcPr>
            <w:tcW w:w="2520" w:type="dxa"/>
            <w:vAlign w:val="center"/>
          </w:tcPr>
          <w:p w:rsidR="00D236B7" w:rsidRDefault="0033239F">
            <w:pPr>
              <w:spacing w:after="40"/>
              <w:rPr>
                <w:rFonts w:hint="eastAsia"/>
              </w:rPr>
            </w:pPr>
            <w:r>
              <w:rPr>
                <w:sz w:val="17"/>
              </w:rPr>
              <w:t>Global VIX, global yield/commodity volatility, cross-asset stress measures</w:t>
            </w:r>
          </w:p>
        </w:tc>
        <w:tc>
          <w:tcPr>
            <w:tcW w:w="2520" w:type="dxa"/>
            <w:vAlign w:val="center"/>
          </w:tcPr>
          <w:p w:rsidR="00D236B7" w:rsidRDefault="0033239F">
            <w:pPr>
              <w:spacing w:after="40"/>
              <w:rPr>
                <w:rFonts w:hint="eastAsia"/>
              </w:rPr>
            </w:pPr>
            <w:r>
              <w:rPr>
                <w:sz w:val="17"/>
              </w:rPr>
              <w:t xml:space="preserve">Volatility targets require a </w:t>
            </w:r>
            <w:r>
              <w:rPr>
                <w:sz w:val="17"/>
              </w:rPr>
              <w:t>clear interval and annualisation convention.</w:t>
            </w:r>
          </w:p>
        </w:tc>
      </w:tr>
      <w:tr w:rsidR="00D236B7">
        <w:trPr>
          <w:jc w:val="center"/>
        </w:trPr>
        <w:tc>
          <w:tcPr>
            <w:tcW w:w="2520" w:type="dxa"/>
            <w:vAlign w:val="center"/>
          </w:tcPr>
          <w:p w:rsidR="00D236B7" w:rsidRDefault="0033239F">
            <w:pPr>
              <w:spacing w:after="40"/>
              <w:rPr>
                <w:rFonts w:hint="eastAsia"/>
              </w:rPr>
            </w:pPr>
            <w:r>
              <w:rPr>
                <w:sz w:val="17"/>
              </w:rPr>
              <w:t>Individual stock return</w:t>
            </w:r>
          </w:p>
        </w:tc>
        <w:tc>
          <w:tcPr>
            <w:tcW w:w="2520" w:type="dxa"/>
            <w:vAlign w:val="center"/>
          </w:tcPr>
          <w:p w:rsidR="00D236B7" w:rsidRDefault="0033239F">
            <w:pPr>
              <w:spacing w:after="40"/>
              <w:rPr>
                <w:rFonts w:hint="eastAsia"/>
              </w:rPr>
            </w:pPr>
            <w:r>
              <w:rPr>
                <w:sz w:val="17"/>
              </w:rPr>
              <w:t>Predict next-day return of a particular Indian stock</w:t>
            </w:r>
          </w:p>
        </w:tc>
        <w:tc>
          <w:tcPr>
            <w:tcW w:w="2520" w:type="dxa"/>
            <w:vAlign w:val="center"/>
          </w:tcPr>
          <w:p w:rsidR="00D236B7" w:rsidRDefault="0033239F">
            <w:pPr>
              <w:spacing w:after="40"/>
              <w:rPr>
                <w:rFonts w:hint="eastAsia"/>
              </w:rPr>
            </w:pPr>
            <w:r>
              <w:rPr>
                <w:sz w:val="17"/>
              </w:rPr>
              <w:t>Global index returns plus sector-linked assets and company exposure variables</w:t>
            </w:r>
          </w:p>
        </w:tc>
        <w:tc>
          <w:tcPr>
            <w:tcW w:w="2520" w:type="dxa"/>
            <w:vAlign w:val="center"/>
          </w:tcPr>
          <w:p w:rsidR="00D236B7" w:rsidRDefault="0033239F">
            <w:pPr>
              <w:spacing w:after="40"/>
              <w:rPr>
                <w:rFonts w:hint="eastAsia"/>
              </w:rPr>
            </w:pPr>
            <w:r>
              <w:rPr>
                <w:sz w:val="17"/>
              </w:rPr>
              <w:t>Prefer sector-appropriate factors; oil can help one sec</w:t>
            </w:r>
            <w:r>
              <w:rPr>
                <w:sz w:val="17"/>
              </w:rPr>
              <w:t>tor and hurt another.</w:t>
            </w:r>
          </w:p>
        </w:tc>
      </w:tr>
    </w:tbl>
    <w:p w:rsidR="00D236B7" w:rsidRDefault="00D236B7">
      <w:pPr>
        <w:rPr>
          <w:rFonts w:hint="eastAsia"/>
        </w:rPr>
      </w:pPr>
    </w:p>
    <w:p w:rsidR="00D236B7" w:rsidRDefault="0033239F">
      <w:pPr>
        <w:rPr>
          <w:rFonts w:hint="eastAsia"/>
        </w:rPr>
      </w:pPr>
      <w:r>
        <w:t>Recommended baseline: start with next-session NIFTY 50 direction or return, then test individual-stock/sector models only after the feature pipeline and evaluation process work. Keep target definition fixed during the first comparis</w:t>
      </w:r>
      <w:r>
        <w:t>on.</w:t>
      </w:r>
    </w:p>
    <w:p w:rsidR="00D236B7" w:rsidRDefault="0033239F">
      <w:pPr>
        <w:pStyle w:val="Heading1"/>
      </w:pPr>
      <w:r>
        <w:t>3. Research Dimension Tree</w:t>
      </w:r>
    </w:p>
    <w:p w:rsidR="00D236B7" w:rsidRDefault="0033239F">
      <w:pPr>
        <w:pStyle w:val="ListBullet"/>
        <w:spacing w:after="40"/>
        <w:rPr>
          <w:rFonts w:hint="eastAsia"/>
        </w:rPr>
      </w:pPr>
      <w:r>
        <w:t>3.1 Global equity markets: US broad market, US technology, Europe, Japan, Hong Kong, China, emerging markets.</w:t>
      </w:r>
    </w:p>
    <w:p w:rsidR="00D236B7" w:rsidRDefault="0033239F">
      <w:pPr>
        <w:pStyle w:val="ListBullet"/>
        <w:spacing w:after="40"/>
        <w:rPr>
          <w:rFonts w:hint="eastAsia"/>
        </w:rPr>
      </w:pPr>
      <w:r>
        <w:t>3.2 Currency and dollar strength: USD/INR, DXY, USD/JPY, selected Asian currencies; returns and volatility.</w:t>
      </w:r>
    </w:p>
    <w:p w:rsidR="00D236B7" w:rsidRDefault="0033239F">
      <w:pPr>
        <w:pStyle w:val="ListBullet"/>
        <w:spacing w:after="40"/>
        <w:rPr>
          <w:rFonts w:hint="eastAsia"/>
        </w:rPr>
      </w:pPr>
      <w:r>
        <w:t>3.3 Ene</w:t>
      </w:r>
      <w:r>
        <w:t>rgy: Brent, WTI, natural gas where relevant; price changes, gaps, trend and volatility.</w:t>
      </w:r>
    </w:p>
    <w:p w:rsidR="00D236B7" w:rsidRDefault="0033239F">
      <w:pPr>
        <w:pStyle w:val="ListBullet"/>
        <w:spacing w:after="40"/>
        <w:rPr>
          <w:rFonts w:hint="eastAsia"/>
        </w:rPr>
      </w:pPr>
      <w:r>
        <w:t>3.4 Global sovereign yields: US 2-year and 10-year yields, yield-curve slope, yield changes and curve steepening/flattening.</w:t>
      </w:r>
    </w:p>
    <w:p w:rsidR="00D236B7" w:rsidRDefault="0033239F">
      <w:pPr>
        <w:pStyle w:val="ListBullet"/>
        <w:spacing w:after="40"/>
        <w:rPr>
          <w:rFonts w:hint="eastAsia"/>
        </w:rPr>
      </w:pPr>
      <w:r>
        <w:t>3.5 Safe havens and metals: gold, silver, c</w:t>
      </w:r>
      <w:r>
        <w:t>opper, aluminium and broad commodity indices.</w:t>
      </w:r>
    </w:p>
    <w:p w:rsidR="00D236B7" w:rsidRDefault="0033239F">
      <w:pPr>
        <w:pStyle w:val="ListBullet"/>
        <w:spacing w:after="40"/>
        <w:rPr>
          <w:rFonts w:hint="eastAsia"/>
        </w:rPr>
      </w:pPr>
      <w:r>
        <w:t>3.6 Global risk and volatility: VIX level/change, realised volatility, correlation spikes, risk-on/risk-off composite.</w:t>
      </w:r>
    </w:p>
    <w:p w:rsidR="00D236B7" w:rsidRDefault="0033239F">
      <w:pPr>
        <w:pStyle w:val="ListBullet"/>
        <w:spacing w:after="40"/>
        <w:rPr>
          <w:rFonts w:hint="eastAsia"/>
        </w:rPr>
      </w:pPr>
      <w:r>
        <w:t>3.7 Cross-asset relationships: equity–oil, equity–yield, dollar–gold, rupee–oil and equity–</w:t>
      </w:r>
      <w:r>
        <w:t>VIX interactions.</w:t>
      </w:r>
    </w:p>
    <w:p w:rsidR="00D236B7" w:rsidRDefault="0033239F">
      <w:pPr>
        <w:pStyle w:val="ListBullet"/>
        <w:spacing w:after="40"/>
        <w:rPr>
          <w:rFonts w:hint="eastAsia"/>
        </w:rPr>
      </w:pPr>
      <w:r>
        <w:t>3.8 Event-driven variables: Federal Reserve, ECB, Bank of Japan, US CPI/jobs/GDP, major geopolitical events; surprise and post-release move.</w:t>
      </w:r>
    </w:p>
    <w:p w:rsidR="00D236B7" w:rsidRDefault="0033239F">
      <w:pPr>
        <w:pStyle w:val="ListBullet"/>
        <w:spacing w:after="40"/>
        <w:rPr>
          <w:rFonts w:hint="eastAsia"/>
        </w:rPr>
      </w:pPr>
      <w:r>
        <w:t>3.9 Time and session alignment: previous close, overnight return, pre-open snapshot, stale-data f</w:t>
      </w:r>
      <w:r>
        <w:t>lags, holidays and daylight-saving changes.</w:t>
      </w:r>
    </w:p>
    <w:p w:rsidR="00D236B7" w:rsidRDefault="0033239F">
      <w:pPr>
        <w:pStyle w:val="ListBullet"/>
        <w:spacing w:after="40"/>
        <w:rPr>
          <w:rFonts w:hint="eastAsia"/>
        </w:rPr>
      </w:pPr>
      <w:r>
        <w:t>3.10 Regimes and robustness: calm/stress regime, high/low volatility, rising/falling yields, oil shock, pandemic/crisis-era stability.</w:t>
      </w:r>
    </w:p>
    <w:p w:rsidR="00D236B7" w:rsidRDefault="0033239F">
      <w:pPr>
        <w:pStyle w:val="Heading1"/>
      </w:pPr>
      <w:r>
        <w:t>4. How Each Dimension Could Affect Indian Equities</w:t>
      </w:r>
    </w:p>
    <w:p w:rsidR="00D236B7" w:rsidRDefault="0033239F">
      <w:pPr>
        <w:pStyle w:val="Heading2"/>
      </w:pPr>
      <w:r>
        <w:t>4.1 Global equity indices</w:t>
      </w:r>
    </w:p>
    <w:p w:rsidR="00D236B7" w:rsidRDefault="0033239F">
      <w:pPr>
        <w:rPr>
          <w:rFonts w:hint="eastAsia"/>
        </w:rPr>
      </w:pPr>
      <w:r>
        <w:t>A strong US close may reflect optimism about global growth, corporate earnings, or risk appetite and can influence the tone of the following Indian session. Nasdaq-related moves may be particularly relevant for Indian IT and technology-linked stocks; Asian</w:t>
      </w:r>
      <w:r>
        <w:t xml:space="preserve"> indices can be more temporally relevant to the Indian open. However, global and Indian markets may diverge because of local policy, earnings, valuations, flows, and sector composition.</w:t>
      </w:r>
    </w:p>
    <w:p w:rsidR="00D236B7" w:rsidRDefault="0033239F">
      <w:pPr>
        <w:pStyle w:val="Heading2"/>
      </w:pPr>
      <w:r>
        <w:t>4.2 US dollar and USD/INR</w:t>
      </w:r>
    </w:p>
    <w:p w:rsidR="00D236B7" w:rsidRDefault="0033239F">
      <w:pPr>
        <w:rPr>
          <w:rFonts w:hint="eastAsia"/>
        </w:rPr>
      </w:pPr>
      <w:r>
        <w:t>A stronger US dollar can coincide with tight</w:t>
      </w:r>
      <w:r>
        <w:t>er global financial conditions or a flight to safety. A weaker rupee can improve translated overseas revenue for some exporters but raise costs for importers and firms with unhedged foreign-currency liabilities. The effect is therefore heterogeneous; do no</w:t>
      </w:r>
      <w:r>
        <w:t>t label every rupee depreciation as bearish for every stock.</w:t>
      </w:r>
    </w:p>
    <w:p w:rsidR="00D236B7" w:rsidRDefault="0033239F">
      <w:pPr>
        <w:pStyle w:val="Heading2"/>
      </w:pPr>
      <w:r>
        <w:t>4.3 Crude oil</w:t>
      </w:r>
    </w:p>
    <w:p w:rsidR="00D236B7" w:rsidRDefault="0033239F">
      <w:pPr>
        <w:rPr>
          <w:rFonts w:hint="eastAsia"/>
        </w:rPr>
      </w:pPr>
      <w:r>
        <w:t>India's oil-import dependence makes crude a plausible macro-sensitive variable. Rising oil can pressure the trade balance, inflation expectations, the rupee, and fuel-sensitive comp</w:t>
      </w:r>
      <w:r>
        <w:t>any margins. Yet upstream energy firms may benefit, and administered prices, hedging, taxes, and policy decisions can alter pass-through. Test oil effects at index, sector, and company level.</w:t>
      </w:r>
    </w:p>
    <w:p w:rsidR="00D236B7" w:rsidRDefault="0033239F">
      <w:pPr>
        <w:pStyle w:val="Heading2"/>
      </w:pPr>
      <w:r>
        <w:t>4.4 Global bond yields</w:t>
      </w:r>
    </w:p>
    <w:p w:rsidR="00D236B7" w:rsidRDefault="0033239F">
      <w:pPr>
        <w:rPr>
          <w:rFonts w:hint="eastAsia"/>
        </w:rPr>
      </w:pPr>
      <w:r>
        <w:t xml:space="preserve">Rising US yields can raise the discount </w:t>
      </w:r>
      <w:r>
        <w:t>rate applied to future cash flows and change the relative attractiveness of bonds versus equities. Yield moves may also reflect stronger growth rather than only tighter policy, so direction alone is ambiguous. The size of the change, whether the move was a</w:t>
      </w:r>
      <w:r>
        <w:t xml:space="preserve"> surprise, and the yield-curve segment matter.</w:t>
      </w:r>
    </w:p>
    <w:p w:rsidR="00D236B7" w:rsidRDefault="0033239F">
      <w:pPr>
        <w:pStyle w:val="Heading2"/>
      </w:pPr>
      <w:r>
        <w:lastRenderedPageBreak/>
        <w:t>4.5 Gold and industrial metals</w:t>
      </w:r>
    </w:p>
    <w:p w:rsidR="00D236B7" w:rsidRDefault="0033239F">
      <w:pPr>
        <w:rPr>
          <w:rFonts w:hint="eastAsia"/>
        </w:rPr>
      </w:pPr>
      <w:r>
        <w:t>Gold may rise during some risk-off periods, dollar weakness, or falling real yields, but it is not a pure fear index. Copper and industrial metals may reflect global industrial d</w:t>
      </w:r>
      <w:r>
        <w:t>emand while also affecting costs for metal-using sectors. Treat these as conditional, potentially sector-dependent features.</w:t>
      </w:r>
    </w:p>
    <w:p w:rsidR="00D236B7" w:rsidRDefault="0033239F">
      <w:pPr>
        <w:pStyle w:val="Heading2"/>
      </w:pPr>
      <w:r>
        <w:t>4.6 Volatility and stress</w:t>
      </w:r>
    </w:p>
    <w:p w:rsidR="00D236B7" w:rsidRDefault="0033239F">
      <w:pPr>
        <w:rPr>
          <w:rFonts w:hint="eastAsia"/>
        </w:rPr>
      </w:pPr>
      <w:r>
        <w:t>A jump in the VIX or cross-asset volatility can signal uncertainty and can coincide with wider risk premi</w:t>
      </w:r>
      <w:r>
        <w:t>a. In stressed markets, correlations often change, so a relationship estimated in calm periods may not persist. Include level, change, percentile, and regime flags rather than relying on a single threshold.</w:t>
      </w:r>
    </w:p>
    <w:p w:rsidR="00D236B7" w:rsidRDefault="0033239F">
      <w:pPr>
        <w:pStyle w:val="Heading1"/>
      </w:pPr>
      <w:r>
        <w:t>5. Raw Data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D236B7">
        <w:trPr>
          <w:jc w:val="center"/>
        </w:trPr>
        <w:tc>
          <w:tcPr>
            <w:tcW w:w="2520" w:type="dxa"/>
            <w:shd w:val="clear" w:color="auto" w:fill="D9EAF2"/>
            <w:vAlign w:val="center"/>
          </w:tcPr>
          <w:p w:rsidR="00D236B7" w:rsidRDefault="0033239F">
            <w:pPr>
              <w:spacing w:after="40"/>
              <w:rPr>
                <w:rFonts w:hint="eastAsia"/>
              </w:rPr>
            </w:pPr>
            <w:r>
              <w:rPr>
                <w:b/>
                <w:sz w:val="17"/>
              </w:rPr>
              <w:t>Dataset family</w:t>
            </w:r>
          </w:p>
        </w:tc>
        <w:tc>
          <w:tcPr>
            <w:tcW w:w="2520" w:type="dxa"/>
            <w:shd w:val="clear" w:color="auto" w:fill="D9EAF2"/>
            <w:vAlign w:val="center"/>
          </w:tcPr>
          <w:p w:rsidR="00D236B7" w:rsidRDefault="0033239F">
            <w:pPr>
              <w:spacing w:after="40"/>
              <w:rPr>
                <w:rFonts w:hint="eastAsia"/>
              </w:rPr>
            </w:pPr>
            <w:r>
              <w:rPr>
                <w:b/>
                <w:sz w:val="17"/>
              </w:rPr>
              <w:t>Minimum r</w:t>
            </w:r>
            <w:r>
              <w:rPr>
                <w:b/>
                <w:sz w:val="17"/>
              </w:rPr>
              <w:t>aw fields</w:t>
            </w:r>
          </w:p>
        </w:tc>
        <w:tc>
          <w:tcPr>
            <w:tcW w:w="2520" w:type="dxa"/>
            <w:shd w:val="clear" w:color="auto" w:fill="D9EAF2"/>
            <w:vAlign w:val="center"/>
          </w:tcPr>
          <w:p w:rsidR="00D236B7" w:rsidRDefault="0033239F">
            <w:pPr>
              <w:spacing w:after="40"/>
              <w:rPr>
                <w:rFonts w:hint="eastAsia"/>
              </w:rPr>
            </w:pPr>
            <w:r>
              <w:rPr>
                <w:b/>
                <w:sz w:val="17"/>
              </w:rPr>
              <w:t>Frequency / history</w:t>
            </w:r>
          </w:p>
        </w:tc>
        <w:tc>
          <w:tcPr>
            <w:tcW w:w="2520" w:type="dxa"/>
            <w:shd w:val="clear" w:color="auto" w:fill="D9EAF2"/>
            <w:vAlign w:val="center"/>
          </w:tcPr>
          <w:p w:rsidR="00D236B7" w:rsidRDefault="0033239F">
            <w:pPr>
              <w:spacing w:after="40"/>
              <w:rPr>
                <w:rFonts w:hint="eastAsia"/>
              </w:rPr>
            </w:pPr>
            <w:r>
              <w:rPr>
                <w:b/>
                <w:sz w:val="17"/>
              </w:rPr>
              <w:t>Quality controls</w:t>
            </w:r>
          </w:p>
        </w:tc>
      </w:tr>
      <w:tr w:rsidR="00D236B7">
        <w:trPr>
          <w:jc w:val="center"/>
        </w:trPr>
        <w:tc>
          <w:tcPr>
            <w:tcW w:w="2520" w:type="dxa"/>
            <w:vAlign w:val="center"/>
          </w:tcPr>
          <w:p w:rsidR="00D236B7" w:rsidRDefault="0033239F">
            <w:pPr>
              <w:spacing w:after="40"/>
              <w:rPr>
                <w:rFonts w:hint="eastAsia"/>
              </w:rPr>
            </w:pPr>
            <w:r>
              <w:rPr>
                <w:sz w:val="17"/>
              </w:rPr>
              <w:t>Global equity indices</w:t>
            </w:r>
          </w:p>
        </w:tc>
        <w:tc>
          <w:tcPr>
            <w:tcW w:w="2520" w:type="dxa"/>
            <w:vAlign w:val="center"/>
          </w:tcPr>
          <w:p w:rsidR="00D236B7" w:rsidRDefault="0033239F">
            <w:pPr>
              <w:spacing w:after="40"/>
              <w:rPr>
                <w:rFonts w:hint="eastAsia"/>
              </w:rPr>
            </w:pPr>
            <w:r>
              <w:rPr>
                <w:sz w:val="17"/>
              </w:rPr>
              <w:t>Date-time, index identifier, open, high, low, close, adjusted close if available, currency, exchange timezone, source timestamp</w:t>
            </w:r>
          </w:p>
        </w:tc>
        <w:tc>
          <w:tcPr>
            <w:tcW w:w="2520" w:type="dxa"/>
            <w:vAlign w:val="center"/>
          </w:tcPr>
          <w:p w:rsidR="00D236B7" w:rsidRDefault="0033239F">
            <w:pPr>
              <w:spacing w:after="40"/>
              <w:rPr>
                <w:rFonts w:hint="eastAsia"/>
              </w:rPr>
            </w:pPr>
            <w:r>
              <w:rPr>
                <w:sz w:val="17"/>
              </w:rPr>
              <w:t xml:space="preserve">Daily for baseline; intraday only if target needs it; aim </w:t>
            </w:r>
            <w:r>
              <w:rPr>
                <w:sz w:val="17"/>
              </w:rPr>
              <w:t>for 5–10+ years where comparable</w:t>
            </w:r>
          </w:p>
        </w:tc>
        <w:tc>
          <w:tcPr>
            <w:tcW w:w="2520" w:type="dxa"/>
            <w:vAlign w:val="center"/>
          </w:tcPr>
          <w:p w:rsidR="00D236B7" w:rsidRDefault="0033239F">
            <w:pPr>
              <w:spacing w:after="40"/>
              <w:rPr>
                <w:rFonts w:hint="eastAsia"/>
              </w:rPr>
            </w:pPr>
            <w:r>
              <w:rPr>
                <w:sz w:val="17"/>
              </w:rPr>
              <w:t>Index methodology changes, holidays, local close times, price vs total-return series</w:t>
            </w:r>
          </w:p>
        </w:tc>
      </w:tr>
      <w:tr w:rsidR="00D236B7">
        <w:trPr>
          <w:jc w:val="center"/>
        </w:trPr>
        <w:tc>
          <w:tcPr>
            <w:tcW w:w="2520" w:type="dxa"/>
            <w:vAlign w:val="center"/>
          </w:tcPr>
          <w:p w:rsidR="00D236B7" w:rsidRDefault="0033239F">
            <w:pPr>
              <w:spacing w:after="40"/>
              <w:rPr>
                <w:rFonts w:hint="eastAsia"/>
              </w:rPr>
            </w:pPr>
            <w:r>
              <w:rPr>
                <w:sz w:val="17"/>
              </w:rPr>
              <w:t>FX</w:t>
            </w:r>
          </w:p>
        </w:tc>
        <w:tc>
          <w:tcPr>
            <w:tcW w:w="2520" w:type="dxa"/>
            <w:vAlign w:val="center"/>
          </w:tcPr>
          <w:p w:rsidR="00D236B7" w:rsidRDefault="0033239F">
            <w:pPr>
              <w:spacing w:after="40"/>
              <w:rPr>
                <w:rFonts w:hint="eastAsia"/>
              </w:rPr>
            </w:pPr>
            <w:r>
              <w:rPr>
                <w:sz w:val="17"/>
              </w:rPr>
              <w:t>Pair, timestamp, bid/ask or reference rate, close/mid, source and timezone</w:t>
            </w:r>
          </w:p>
        </w:tc>
        <w:tc>
          <w:tcPr>
            <w:tcW w:w="2520" w:type="dxa"/>
            <w:vAlign w:val="center"/>
          </w:tcPr>
          <w:p w:rsidR="00D236B7" w:rsidRDefault="0033239F">
            <w:pPr>
              <w:spacing w:after="40"/>
              <w:rPr>
                <w:rFonts w:hint="eastAsia"/>
              </w:rPr>
            </w:pPr>
            <w:r>
              <w:rPr>
                <w:sz w:val="17"/>
              </w:rPr>
              <w:t>Daily baseline; intraday for opening-gap model</w:t>
            </w:r>
          </w:p>
        </w:tc>
        <w:tc>
          <w:tcPr>
            <w:tcW w:w="2520" w:type="dxa"/>
            <w:vAlign w:val="center"/>
          </w:tcPr>
          <w:p w:rsidR="00D236B7" w:rsidRDefault="0033239F">
            <w:pPr>
              <w:spacing w:after="40"/>
              <w:rPr>
                <w:rFonts w:hint="eastAsia"/>
              </w:rPr>
            </w:pPr>
            <w:r>
              <w:rPr>
                <w:sz w:val="17"/>
              </w:rPr>
              <w:t>Quote conven</w:t>
            </w:r>
            <w:r>
              <w:rPr>
                <w:sz w:val="17"/>
              </w:rPr>
              <w:t>tion (INR per USD vs USD per INR), fixing time, stale weekends</w:t>
            </w:r>
          </w:p>
        </w:tc>
      </w:tr>
      <w:tr w:rsidR="00D236B7">
        <w:trPr>
          <w:jc w:val="center"/>
        </w:trPr>
        <w:tc>
          <w:tcPr>
            <w:tcW w:w="2520" w:type="dxa"/>
            <w:vAlign w:val="center"/>
          </w:tcPr>
          <w:p w:rsidR="00D236B7" w:rsidRDefault="0033239F">
            <w:pPr>
              <w:spacing w:after="40"/>
              <w:rPr>
                <w:rFonts w:hint="eastAsia"/>
              </w:rPr>
            </w:pPr>
            <w:r>
              <w:rPr>
                <w:sz w:val="17"/>
              </w:rPr>
              <w:t>Crude / commodities</w:t>
            </w:r>
          </w:p>
        </w:tc>
        <w:tc>
          <w:tcPr>
            <w:tcW w:w="2520" w:type="dxa"/>
            <w:vAlign w:val="center"/>
          </w:tcPr>
          <w:p w:rsidR="00D236B7" w:rsidRDefault="0033239F">
            <w:pPr>
              <w:spacing w:after="40"/>
              <w:rPr>
                <w:rFonts w:hint="eastAsia"/>
              </w:rPr>
            </w:pPr>
            <w:r>
              <w:rPr>
                <w:sz w:val="17"/>
              </w:rPr>
              <w:t>Instrument, contract month or spot benchmark, settlement, timestamp, currency, unit</w:t>
            </w:r>
          </w:p>
        </w:tc>
        <w:tc>
          <w:tcPr>
            <w:tcW w:w="2520" w:type="dxa"/>
            <w:vAlign w:val="center"/>
          </w:tcPr>
          <w:p w:rsidR="00D236B7" w:rsidRDefault="0033239F">
            <w:pPr>
              <w:spacing w:after="40"/>
              <w:rPr>
                <w:rFonts w:hint="eastAsia"/>
              </w:rPr>
            </w:pPr>
            <w:r>
              <w:rPr>
                <w:sz w:val="17"/>
              </w:rPr>
              <w:t>Daily; intraday only for overnight gap</w:t>
            </w:r>
          </w:p>
        </w:tc>
        <w:tc>
          <w:tcPr>
            <w:tcW w:w="2520" w:type="dxa"/>
            <w:vAlign w:val="center"/>
          </w:tcPr>
          <w:p w:rsidR="00D236B7" w:rsidRDefault="0033239F">
            <w:pPr>
              <w:spacing w:after="40"/>
              <w:rPr>
                <w:rFonts w:hint="eastAsia"/>
              </w:rPr>
            </w:pPr>
            <w:r>
              <w:rPr>
                <w:sz w:val="17"/>
              </w:rPr>
              <w:t>Futures roll, contango/backwardation, contract ex</w:t>
            </w:r>
            <w:r>
              <w:rPr>
                <w:sz w:val="17"/>
              </w:rPr>
              <w:t>piry, unit conversion, spot vs futures</w:t>
            </w:r>
          </w:p>
        </w:tc>
      </w:tr>
      <w:tr w:rsidR="00D236B7">
        <w:trPr>
          <w:jc w:val="center"/>
        </w:trPr>
        <w:tc>
          <w:tcPr>
            <w:tcW w:w="2520" w:type="dxa"/>
            <w:vAlign w:val="center"/>
          </w:tcPr>
          <w:p w:rsidR="00D236B7" w:rsidRDefault="0033239F">
            <w:pPr>
              <w:spacing w:after="40"/>
              <w:rPr>
                <w:rFonts w:hint="eastAsia"/>
              </w:rPr>
            </w:pPr>
            <w:r>
              <w:rPr>
                <w:sz w:val="17"/>
              </w:rPr>
              <w:t>Treasury yields</w:t>
            </w:r>
          </w:p>
        </w:tc>
        <w:tc>
          <w:tcPr>
            <w:tcW w:w="2520" w:type="dxa"/>
            <w:vAlign w:val="center"/>
          </w:tcPr>
          <w:p w:rsidR="00D236B7" w:rsidRDefault="0033239F">
            <w:pPr>
              <w:spacing w:after="40"/>
              <w:rPr>
                <w:rFonts w:hint="eastAsia"/>
              </w:rPr>
            </w:pPr>
            <w:r>
              <w:rPr>
                <w:sz w:val="17"/>
              </w:rPr>
              <w:t>Maturity, observation date/time, yield percent, source, publication timestamp</w:t>
            </w:r>
          </w:p>
        </w:tc>
        <w:tc>
          <w:tcPr>
            <w:tcW w:w="2520" w:type="dxa"/>
            <w:vAlign w:val="center"/>
          </w:tcPr>
          <w:p w:rsidR="00D236B7" w:rsidRDefault="0033239F">
            <w:pPr>
              <w:spacing w:after="40"/>
              <w:rPr>
                <w:rFonts w:hint="eastAsia"/>
              </w:rPr>
            </w:pPr>
            <w:r>
              <w:rPr>
                <w:sz w:val="17"/>
              </w:rPr>
              <w:t>Daily</w:t>
            </w:r>
          </w:p>
        </w:tc>
        <w:tc>
          <w:tcPr>
            <w:tcW w:w="2520" w:type="dxa"/>
            <w:vAlign w:val="center"/>
          </w:tcPr>
          <w:p w:rsidR="00D236B7" w:rsidRDefault="0033239F">
            <w:pPr>
              <w:spacing w:after="40"/>
              <w:rPr>
                <w:rFonts w:hint="eastAsia"/>
              </w:rPr>
            </w:pPr>
            <w:r>
              <w:rPr>
                <w:sz w:val="17"/>
              </w:rPr>
              <w:t>Percent vs basis points, market close timing, revisions, missing holidays</w:t>
            </w:r>
          </w:p>
        </w:tc>
      </w:tr>
      <w:tr w:rsidR="00D236B7">
        <w:trPr>
          <w:jc w:val="center"/>
        </w:trPr>
        <w:tc>
          <w:tcPr>
            <w:tcW w:w="2520" w:type="dxa"/>
            <w:vAlign w:val="center"/>
          </w:tcPr>
          <w:p w:rsidR="00D236B7" w:rsidRDefault="0033239F">
            <w:pPr>
              <w:spacing w:after="40"/>
              <w:rPr>
                <w:rFonts w:hint="eastAsia"/>
              </w:rPr>
            </w:pPr>
            <w:r>
              <w:rPr>
                <w:sz w:val="17"/>
              </w:rPr>
              <w:t>Volatility indices</w:t>
            </w:r>
          </w:p>
        </w:tc>
        <w:tc>
          <w:tcPr>
            <w:tcW w:w="2520" w:type="dxa"/>
            <w:vAlign w:val="center"/>
          </w:tcPr>
          <w:p w:rsidR="00D236B7" w:rsidRDefault="0033239F">
            <w:pPr>
              <w:spacing w:after="40"/>
              <w:rPr>
                <w:rFonts w:hint="eastAsia"/>
              </w:rPr>
            </w:pPr>
            <w:r>
              <w:rPr>
                <w:sz w:val="17"/>
              </w:rPr>
              <w:t>Index value, timestamp</w:t>
            </w:r>
            <w:r>
              <w:rPr>
                <w:sz w:val="17"/>
              </w:rPr>
              <w:t>, close, source methodology</w:t>
            </w:r>
          </w:p>
        </w:tc>
        <w:tc>
          <w:tcPr>
            <w:tcW w:w="2520" w:type="dxa"/>
            <w:vAlign w:val="center"/>
          </w:tcPr>
          <w:p w:rsidR="00D236B7" w:rsidRDefault="0033239F">
            <w:pPr>
              <w:spacing w:after="40"/>
              <w:rPr>
                <w:rFonts w:hint="eastAsia"/>
              </w:rPr>
            </w:pPr>
            <w:r>
              <w:rPr>
                <w:sz w:val="17"/>
              </w:rPr>
              <w:t>Daily</w:t>
            </w:r>
          </w:p>
        </w:tc>
        <w:tc>
          <w:tcPr>
            <w:tcW w:w="2520" w:type="dxa"/>
            <w:vAlign w:val="center"/>
          </w:tcPr>
          <w:p w:rsidR="00D236B7" w:rsidRDefault="0033239F">
            <w:pPr>
              <w:spacing w:after="40"/>
              <w:rPr>
                <w:rFonts w:hint="eastAsia"/>
              </w:rPr>
            </w:pPr>
            <w:r>
              <w:rPr>
                <w:sz w:val="17"/>
              </w:rPr>
              <w:t>Implied vs realised volatility; index definitions; no mixing of units</w:t>
            </w:r>
          </w:p>
        </w:tc>
      </w:tr>
      <w:tr w:rsidR="00D236B7">
        <w:trPr>
          <w:jc w:val="center"/>
        </w:trPr>
        <w:tc>
          <w:tcPr>
            <w:tcW w:w="2520" w:type="dxa"/>
            <w:vAlign w:val="center"/>
          </w:tcPr>
          <w:p w:rsidR="00D236B7" w:rsidRDefault="0033239F">
            <w:pPr>
              <w:spacing w:after="40"/>
              <w:rPr>
                <w:rFonts w:hint="eastAsia"/>
              </w:rPr>
            </w:pPr>
            <w:r>
              <w:rPr>
                <w:sz w:val="17"/>
              </w:rPr>
              <w:t>Event calendar</w:t>
            </w:r>
          </w:p>
        </w:tc>
        <w:tc>
          <w:tcPr>
            <w:tcW w:w="2520" w:type="dxa"/>
            <w:vAlign w:val="center"/>
          </w:tcPr>
          <w:p w:rsidR="00D236B7" w:rsidRDefault="0033239F">
            <w:pPr>
              <w:spacing w:after="40"/>
              <w:rPr>
                <w:rFonts w:hint="eastAsia"/>
              </w:rPr>
            </w:pPr>
            <w:r>
              <w:rPr>
                <w:sz w:val="17"/>
              </w:rPr>
              <w:t>Event ID, scheduled time, actual release time, actual value, consensus, prior value, revision, source timestamp</w:t>
            </w:r>
          </w:p>
        </w:tc>
        <w:tc>
          <w:tcPr>
            <w:tcW w:w="2520" w:type="dxa"/>
            <w:vAlign w:val="center"/>
          </w:tcPr>
          <w:p w:rsidR="00D236B7" w:rsidRDefault="0033239F">
            <w:pPr>
              <w:spacing w:after="40"/>
              <w:rPr>
                <w:rFonts w:hint="eastAsia"/>
              </w:rPr>
            </w:pPr>
            <w:r>
              <w:rPr>
                <w:sz w:val="17"/>
              </w:rPr>
              <w:t>Event-level</w:t>
            </w:r>
          </w:p>
        </w:tc>
        <w:tc>
          <w:tcPr>
            <w:tcW w:w="2520" w:type="dxa"/>
            <w:vAlign w:val="center"/>
          </w:tcPr>
          <w:p w:rsidR="00D236B7" w:rsidRDefault="0033239F">
            <w:pPr>
              <w:spacing w:after="40"/>
              <w:rPr>
                <w:rFonts w:hint="eastAsia"/>
              </w:rPr>
            </w:pPr>
            <w:r>
              <w:rPr>
                <w:sz w:val="17"/>
              </w:rPr>
              <w:t xml:space="preserve">Consensus </w:t>
            </w:r>
            <w:r>
              <w:rPr>
                <w:sz w:val="17"/>
              </w:rPr>
              <w:t>snapshot before release, revisions, timezone/DST, unscheduled events</w:t>
            </w:r>
          </w:p>
        </w:tc>
      </w:tr>
      <w:tr w:rsidR="00D236B7">
        <w:trPr>
          <w:jc w:val="center"/>
        </w:trPr>
        <w:tc>
          <w:tcPr>
            <w:tcW w:w="2520" w:type="dxa"/>
            <w:vAlign w:val="center"/>
          </w:tcPr>
          <w:p w:rsidR="00D236B7" w:rsidRDefault="0033239F">
            <w:pPr>
              <w:spacing w:after="40"/>
              <w:rPr>
                <w:rFonts w:hint="eastAsia"/>
              </w:rPr>
            </w:pPr>
            <w:r>
              <w:rPr>
                <w:sz w:val="17"/>
              </w:rPr>
              <w:t>Market calendar</w:t>
            </w:r>
          </w:p>
        </w:tc>
        <w:tc>
          <w:tcPr>
            <w:tcW w:w="2520" w:type="dxa"/>
            <w:vAlign w:val="center"/>
          </w:tcPr>
          <w:p w:rsidR="00D236B7" w:rsidRDefault="0033239F">
            <w:pPr>
              <w:spacing w:after="40"/>
              <w:rPr>
                <w:rFonts w:hint="eastAsia"/>
              </w:rPr>
            </w:pPr>
            <w:r>
              <w:rPr>
                <w:sz w:val="17"/>
              </w:rPr>
              <w:t>Trading date, exchange holiday, early close, timezone/DST metadata</w:t>
            </w:r>
          </w:p>
        </w:tc>
        <w:tc>
          <w:tcPr>
            <w:tcW w:w="2520" w:type="dxa"/>
            <w:vAlign w:val="center"/>
          </w:tcPr>
          <w:p w:rsidR="00D236B7" w:rsidRDefault="0033239F">
            <w:pPr>
              <w:spacing w:after="40"/>
              <w:rPr>
                <w:rFonts w:hint="eastAsia"/>
              </w:rPr>
            </w:pPr>
            <w:r>
              <w:rPr>
                <w:sz w:val="17"/>
              </w:rPr>
              <w:t>Calendar table</w:t>
            </w:r>
          </w:p>
        </w:tc>
        <w:tc>
          <w:tcPr>
            <w:tcW w:w="2520" w:type="dxa"/>
            <w:vAlign w:val="center"/>
          </w:tcPr>
          <w:p w:rsidR="00D236B7" w:rsidRDefault="0033239F">
            <w:pPr>
              <w:spacing w:after="40"/>
              <w:rPr>
                <w:rFonts w:hint="eastAsia"/>
              </w:rPr>
            </w:pPr>
            <w:r>
              <w:rPr>
                <w:sz w:val="17"/>
              </w:rPr>
              <w:t>Correct session mapping for every market</w:t>
            </w:r>
          </w:p>
        </w:tc>
      </w:tr>
    </w:tbl>
    <w:p w:rsidR="00D236B7" w:rsidRDefault="00D236B7">
      <w:pPr>
        <w:rPr>
          <w:rFonts w:hint="eastAsia"/>
        </w:rPr>
      </w:pPr>
    </w:p>
    <w:p w:rsidR="00D236B7" w:rsidRDefault="0033239F">
      <w:pPr>
        <w:rPr>
          <w:rFonts w:hint="eastAsia"/>
        </w:rPr>
      </w:pPr>
      <w:r>
        <w:t xml:space="preserve">Store both the observation time and the time </w:t>
      </w:r>
      <w:r>
        <w:t>the value became available to the model. A field named date alone is not sufficient for cross-market prediction.</w:t>
      </w:r>
    </w:p>
    <w:p w:rsidR="00D236B7" w:rsidRDefault="0033239F">
      <w:pPr>
        <w:pStyle w:val="Heading1"/>
      </w:pPr>
      <w:r>
        <w:t>6. Candidate Features and Mathematical Definitions</w:t>
      </w:r>
    </w:p>
    <w:p w:rsidR="00D236B7" w:rsidRDefault="0033239F">
      <w:pPr>
        <w:rPr>
          <w:rFonts w:hint="eastAsia"/>
        </w:rPr>
      </w:pPr>
      <w:r>
        <w:t>Let P_t be a price/index close, X_t a currency or commodity price, and y_t a yield expressed</w:t>
      </w:r>
      <w:r>
        <w:t xml:space="preserve"> in percentage points. The formulas below are candidate transformations, not validated predictors.</w:t>
      </w:r>
    </w:p>
    <w:p w:rsidR="00D236B7" w:rsidRDefault="0033239F">
      <w:pPr>
        <w:pStyle w:val="Heading2"/>
      </w:pPr>
      <w:r>
        <w:t>6.1 Returns and overnight moves</w:t>
      </w:r>
    </w:p>
    <w:p w:rsidR="00D236B7" w:rsidRDefault="0033239F">
      <w:pPr>
        <w:pStyle w:val="ListBullet"/>
        <w:spacing w:after="40"/>
        <w:rPr>
          <w:rFonts w:hint="eastAsia"/>
        </w:rPr>
      </w:pPr>
      <w:r>
        <w:t>Simple return: r_t = (P_t / P_{t-1}) - 1.</w:t>
      </w:r>
    </w:p>
    <w:p w:rsidR="00D236B7" w:rsidRDefault="0033239F">
      <w:pPr>
        <w:pStyle w:val="ListBullet"/>
        <w:spacing w:after="40"/>
        <w:rPr>
          <w:rFonts w:hint="eastAsia"/>
        </w:rPr>
      </w:pPr>
      <w:r>
        <w:t>Log return: r_t = ln(P_t / P_{t-1}). Log returns add across periods and are conveni</w:t>
      </w:r>
      <w:r>
        <w:t>ent for many statistical models.</w:t>
      </w:r>
    </w:p>
    <w:p w:rsidR="00D236B7" w:rsidRDefault="0033239F">
      <w:pPr>
        <w:pStyle w:val="ListBullet"/>
        <w:spacing w:after="40"/>
        <w:rPr>
          <w:rFonts w:hint="eastAsia"/>
        </w:rPr>
      </w:pPr>
      <w:r>
        <w:t>Overnight global return: r_global,overnight = (latest globally available close / previous close) - 1, using the actual prior session for that market.</w:t>
      </w:r>
    </w:p>
    <w:p w:rsidR="00D236B7" w:rsidRDefault="0033239F">
      <w:pPr>
        <w:pStyle w:val="ListBullet"/>
        <w:spacing w:after="40"/>
        <w:rPr>
          <w:rFonts w:hint="eastAsia"/>
        </w:rPr>
      </w:pPr>
      <w:r>
        <w:t>Indian opening gap: gap_t = (Indian open_t / Indian previous close) - 1.</w:t>
      </w:r>
    </w:p>
    <w:p w:rsidR="00D236B7" w:rsidRDefault="0033239F">
      <w:pPr>
        <w:pStyle w:val="ListBullet"/>
        <w:spacing w:after="40"/>
        <w:rPr>
          <w:rFonts w:hint="eastAsia"/>
        </w:rPr>
      </w:pPr>
      <w:r>
        <w:t>Relative global performance: rel_t = r_indexA,t - r_indexB,t, only when both return intervals are aligned.</w:t>
      </w:r>
    </w:p>
    <w:p w:rsidR="00D236B7" w:rsidRDefault="0033239F">
      <w:pPr>
        <w:pStyle w:val="ListBullet"/>
        <w:spacing w:after="40"/>
        <w:rPr>
          <w:rFonts w:hint="eastAsia"/>
        </w:rPr>
      </w:pPr>
      <w:r>
        <w:t>Rolling cumulative return over k sessions: R_(t,k) = (P_t / P_(t-k)) - 1.</w:t>
      </w:r>
    </w:p>
    <w:p w:rsidR="00D236B7" w:rsidRDefault="0033239F">
      <w:pPr>
        <w:pStyle w:val="Heading2"/>
      </w:pPr>
      <w:r>
        <w:lastRenderedPageBreak/>
        <w:t>6.2 FX and commodity features</w:t>
      </w:r>
    </w:p>
    <w:p w:rsidR="00D236B7" w:rsidRDefault="0033239F">
      <w:pPr>
        <w:pStyle w:val="ListBullet"/>
        <w:spacing w:after="40"/>
        <w:rPr>
          <w:rFonts w:hint="eastAsia"/>
        </w:rPr>
      </w:pPr>
      <w:r>
        <w:t xml:space="preserve">Percentage change: fx_change_t = (USDINR_t / </w:t>
      </w:r>
      <w:r>
        <w:t>USDINR_(t-1)) - 1. If USD/INR rises, one US dollar buys more rupees; that is rupee depreciation.</w:t>
      </w:r>
    </w:p>
    <w:p w:rsidR="00D236B7" w:rsidRDefault="0033239F">
      <w:pPr>
        <w:pStyle w:val="ListBullet"/>
        <w:spacing w:after="40"/>
        <w:rPr>
          <w:rFonts w:hint="eastAsia"/>
        </w:rPr>
      </w:pPr>
      <w:r>
        <w:t>Crude shock: oil_change_t = (Brent_t / Brent_(t-1)) - 1; also calculate 1-day, 5-day and 20-day changes.</w:t>
      </w:r>
    </w:p>
    <w:p w:rsidR="00D236B7" w:rsidRDefault="0033239F">
      <w:pPr>
        <w:pStyle w:val="ListBullet"/>
        <w:spacing w:after="40"/>
        <w:rPr>
          <w:rFonts w:hint="eastAsia"/>
        </w:rPr>
      </w:pPr>
      <w:r>
        <w:t xml:space="preserve">Oil acceleration: oil_accel_t = oil_change_t - </w:t>
      </w:r>
      <w:r>
        <w:t>oil_change_(t-1). This is a change in the daily return, not a change in the price level.</w:t>
      </w:r>
    </w:p>
    <w:p w:rsidR="00D236B7" w:rsidRDefault="0033239F">
      <w:pPr>
        <w:pStyle w:val="ListBullet"/>
        <w:spacing w:after="40"/>
        <w:rPr>
          <w:rFonts w:hint="eastAsia"/>
        </w:rPr>
      </w:pPr>
      <w:r>
        <w:t>Rolling volatility: vol_(k,t) = standard deviation of daily returns over the last k valid observations; use only observations available by prediction time.</w:t>
      </w:r>
    </w:p>
    <w:p w:rsidR="00D236B7" w:rsidRDefault="0033239F">
      <w:pPr>
        <w:pStyle w:val="ListBullet"/>
        <w:spacing w:after="40"/>
        <w:rPr>
          <w:rFonts w:hint="eastAsia"/>
        </w:rPr>
      </w:pPr>
      <w:r>
        <w:t>Oil–rupee i</w:t>
      </w:r>
      <w:r>
        <w:t>nteraction: oil_fx_interaction_t = z(oil_return_t) × z(USDINR_return_t), where z-scores are fitted using training data only.</w:t>
      </w:r>
    </w:p>
    <w:p w:rsidR="00D236B7" w:rsidRDefault="0033239F">
      <w:pPr>
        <w:pStyle w:val="Heading2"/>
      </w:pPr>
      <w:r>
        <w:t>6.3 Yield features</w:t>
      </w:r>
    </w:p>
    <w:p w:rsidR="00D236B7" w:rsidRDefault="0033239F">
      <w:pPr>
        <w:pStyle w:val="ListBullet"/>
        <w:spacing w:after="40"/>
        <w:rPr>
          <w:rFonts w:hint="eastAsia"/>
        </w:rPr>
      </w:pPr>
      <w:r>
        <w:t>Yield change in basis points: Δy_bp = (y_t - y_(t-1)) × 100, when yields are recorded in percentage points. Exam</w:t>
      </w:r>
      <w:r>
        <w:t>ple: 4.25% to 4.30% is +5 basis points.</w:t>
      </w:r>
    </w:p>
    <w:p w:rsidR="00D236B7" w:rsidRDefault="0033239F">
      <w:pPr>
        <w:pStyle w:val="ListBullet"/>
        <w:spacing w:after="40"/>
        <w:rPr>
          <w:rFonts w:hint="eastAsia"/>
        </w:rPr>
      </w:pPr>
      <w:r>
        <w:t>US curve slope: slope_10y2y = y_10y - y_2y, in percentage points or basis points consistently.</w:t>
      </w:r>
    </w:p>
    <w:p w:rsidR="00D236B7" w:rsidRDefault="0033239F">
      <w:pPr>
        <w:pStyle w:val="ListBullet"/>
        <w:spacing w:after="40"/>
        <w:rPr>
          <w:rFonts w:hint="eastAsia"/>
        </w:rPr>
      </w:pPr>
      <w:r>
        <w:t>Curve change: Δslope_t = slope_t - slope_(t-1).</w:t>
      </w:r>
    </w:p>
    <w:p w:rsidR="00D236B7" w:rsidRDefault="0033239F">
      <w:pPr>
        <w:pStyle w:val="ListBullet"/>
        <w:spacing w:after="40"/>
        <w:rPr>
          <w:rFonts w:hint="eastAsia"/>
        </w:rPr>
      </w:pPr>
      <w:r>
        <w:t>Yield surprise: actual yield move after an event can be measured, but eve</w:t>
      </w:r>
      <w:r>
        <w:t>nt-surprise features require a reliable timestamp and a benchmark/consensus definition.</w:t>
      </w:r>
    </w:p>
    <w:p w:rsidR="00D236B7" w:rsidRDefault="0033239F">
      <w:pPr>
        <w:pStyle w:val="Heading2"/>
      </w:pPr>
      <w:r>
        <w:t>6.4 Risk regime and cross-asset features</w:t>
      </w:r>
    </w:p>
    <w:p w:rsidR="00D236B7" w:rsidRDefault="0033239F">
      <w:pPr>
        <w:pStyle w:val="ListBullet"/>
        <w:spacing w:after="40"/>
        <w:rPr>
          <w:rFonts w:hint="eastAsia"/>
        </w:rPr>
      </w:pPr>
      <w:r>
        <w:t>VIX change: ΔVIX_t = VIX_t - VIX_(t-1); percentage change may be calculated separately.</w:t>
      </w:r>
    </w:p>
    <w:p w:rsidR="00D236B7" w:rsidRDefault="0033239F">
      <w:pPr>
        <w:pStyle w:val="ListBullet"/>
        <w:spacing w:after="40"/>
        <w:rPr>
          <w:rFonts w:hint="eastAsia"/>
        </w:rPr>
      </w:pPr>
      <w:r>
        <w:t>Stress percentile: percentile rank of a</w:t>
      </w:r>
      <w:r>
        <w:t xml:space="preserve"> feature versus its trailing historical window, e.g. last 252 valid sessions.</w:t>
      </w:r>
    </w:p>
    <w:p w:rsidR="00D236B7" w:rsidRDefault="0033239F">
      <w:pPr>
        <w:pStyle w:val="ListBullet"/>
        <w:spacing w:after="40"/>
        <w:rPr>
          <w:rFonts w:hint="eastAsia"/>
        </w:rPr>
      </w:pPr>
      <w:r>
        <w:t>Risk-off proxy: a pre-defined composite such as standardized VIX change + standardized USD strength + standardized gold return. Fix signs and weights before testing; compare agai</w:t>
      </w:r>
      <w:r>
        <w:t>nst single features.</w:t>
      </w:r>
    </w:p>
    <w:p w:rsidR="00D236B7" w:rsidRDefault="0033239F">
      <w:pPr>
        <w:pStyle w:val="ListBullet"/>
        <w:spacing w:after="40"/>
        <w:rPr>
          <w:rFonts w:hint="eastAsia"/>
        </w:rPr>
      </w:pPr>
      <w:r>
        <w:t>Rolling correlation: corr_(k,t)(Indian returns, global returns). Compute using trailing data only and handle low sample counts.</w:t>
      </w:r>
    </w:p>
    <w:p w:rsidR="00D236B7" w:rsidRDefault="0033239F">
      <w:pPr>
        <w:pStyle w:val="ListBullet"/>
        <w:spacing w:after="40"/>
        <w:rPr>
          <w:rFonts w:hint="eastAsia"/>
        </w:rPr>
      </w:pPr>
      <w:r>
        <w:t>Correlation regime flag: 1 if trailing correlation or volatility exceeds a training-derived threshold; othe</w:t>
      </w:r>
      <w:r>
        <w:t>rwise 0.</w:t>
      </w:r>
    </w:p>
    <w:p w:rsidR="00D236B7" w:rsidRDefault="0033239F">
      <w:pPr>
        <w:pStyle w:val="ListBullet"/>
        <w:spacing w:after="40"/>
        <w:rPr>
          <w:rFonts w:hint="eastAsia"/>
        </w:rPr>
      </w:pPr>
      <w:r>
        <w:t>Cross-asset dispersion: standard deviation of a chosen set of standardized global asset returns on the same interval.</w:t>
      </w:r>
    </w:p>
    <w:p w:rsidR="00D236B7" w:rsidRDefault="0033239F">
      <w:pPr>
        <w:pStyle w:val="Heading2"/>
      </w:pPr>
      <w:r>
        <w:t>6.5 Event surprise</w:t>
      </w:r>
    </w:p>
    <w:p w:rsidR="00D236B7" w:rsidRDefault="0033239F">
      <w:pPr>
        <w:rPr>
          <w:rFonts w:hint="eastAsia"/>
        </w:rPr>
      </w:pPr>
      <w:r>
        <w:t xml:space="preserve">A common standardised surprise is surprise_t = (actual_t − consensus_t) / historical_std(actual − consensus). </w:t>
      </w:r>
      <w:r>
        <w:t>This requires consensus estimates captured before the release and a consistent release definition. Do not substitute a later-revised actual or a consensus value retrieved after the event.</w:t>
      </w:r>
    </w:p>
    <w:p w:rsidR="00D236B7" w:rsidRDefault="0033239F">
      <w:pPr>
        <w:rPr>
          <w:rFonts w:hint="eastAsia"/>
        </w:rPr>
      </w:pPr>
      <w:r>
        <w:t>Example: if actual US CPI is 3.6%, consensus is 3.4%, and the histor</w:t>
      </w:r>
      <w:r>
        <w:t>ical standard deviation of CPI surprises is 0.2 percentage points, the surprise is (3.6 − 3.4) / 0.2 = +1.0 standard deviation. This illustrates the calculation only; it does not establish a predictable NIFTY response.</w:t>
      </w:r>
    </w:p>
    <w:p w:rsidR="00D236B7" w:rsidRDefault="0033239F">
      <w:pPr>
        <w:pStyle w:val="Heading1"/>
      </w:pPr>
      <w:r>
        <w:t>7. Worked Examples (Illustrative Only</w:t>
      </w:r>
      <w:r>
        <w:t>)</w:t>
      </w:r>
    </w:p>
    <w:tbl>
      <w:tblPr>
        <w:tblStyle w:val="TableGrid"/>
        <w:tblW w:w="0" w:type="auto"/>
        <w:jc w:val="center"/>
        <w:tblLook w:val="04A0" w:firstRow="1" w:lastRow="0" w:firstColumn="1" w:lastColumn="0" w:noHBand="0" w:noVBand="1"/>
      </w:tblPr>
      <w:tblGrid>
        <w:gridCol w:w="3360"/>
        <w:gridCol w:w="3360"/>
        <w:gridCol w:w="3360"/>
      </w:tblGrid>
      <w:tr w:rsidR="00D236B7">
        <w:trPr>
          <w:jc w:val="center"/>
        </w:trPr>
        <w:tc>
          <w:tcPr>
            <w:tcW w:w="3360" w:type="dxa"/>
            <w:shd w:val="clear" w:color="auto" w:fill="D9EAF2"/>
            <w:vAlign w:val="center"/>
          </w:tcPr>
          <w:p w:rsidR="00D236B7" w:rsidRDefault="0033239F">
            <w:pPr>
              <w:spacing w:after="40"/>
              <w:rPr>
                <w:rFonts w:hint="eastAsia"/>
              </w:rPr>
            </w:pPr>
            <w:r>
              <w:rPr>
                <w:b/>
                <w:sz w:val="17"/>
              </w:rPr>
              <w:t>Input</w:t>
            </w:r>
          </w:p>
        </w:tc>
        <w:tc>
          <w:tcPr>
            <w:tcW w:w="3360" w:type="dxa"/>
            <w:shd w:val="clear" w:color="auto" w:fill="D9EAF2"/>
            <w:vAlign w:val="center"/>
          </w:tcPr>
          <w:p w:rsidR="00D236B7" w:rsidRDefault="0033239F">
            <w:pPr>
              <w:spacing w:after="40"/>
              <w:rPr>
                <w:rFonts w:hint="eastAsia"/>
              </w:rPr>
            </w:pPr>
            <w:r>
              <w:rPr>
                <w:b/>
                <w:sz w:val="17"/>
              </w:rPr>
              <w:t>Calculation</w:t>
            </w:r>
          </w:p>
        </w:tc>
        <w:tc>
          <w:tcPr>
            <w:tcW w:w="3360" w:type="dxa"/>
            <w:shd w:val="clear" w:color="auto" w:fill="D9EAF2"/>
            <w:vAlign w:val="center"/>
          </w:tcPr>
          <w:p w:rsidR="00D236B7" w:rsidRDefault="0033239F">
            <w:pPr>
              <w:spacing w:after="40"/>
              <w:rPr>
                <w:rFonts w:hint="eastAsia"/>
              </w:rPr>
            </w:pPr>
            <w:r>
              <w:rPr>
                <w:b/>
                <w:sz w:val="17"/>
              </w:rPr>
              <w:t>Interpretation</w:t>
            </w:r>
          </w:p>
        </w:tc>
      </w:tr>
      <w:tr w:rsidR="00D236B7">
        <w:trPr>
          <w:jc w:val="center"/>
        </w:trPr>
        <w:tc>
          <w:tcPr>
            <w:tcW w:w="3360" w:type="dxa"/>
            <w:vAlign w:val="center"/>
          </w:tcPr>
          <w:p w:rsidR="00D236B7" w:rsidRDefault="0033239F">
            <w:pPr>
              <w:spacing w:after="40"/>
              <w:rPr>
                <w:rFonts w:hint="eastAsia"/>
              </w:rPr>
            </w:pPr>
            <w:r>
              <w:rPr>
                <w:sz w:val="17"/>
              </w:rPr>
              <w:t>S&amp;P 500 close rises from 5,000 to 5,050</w:t>
            </w:r>
          </w:p>
        </w:tc>
        <w:tc>
          <w:tcPr>
            <w:tcW w:w="3360" w:type="dxa"/>
            <w:vAlign w:val="center"/>
          </w:tcPr>
          <w:p w:rsidR="00D236B7" w:rsidRDefault="0033239F">
            <w:pPr>
              <w:spacing w:after="40"/>
              <w:rPr>
                <w:rFonts w:hint="eastAsia"/>
              </w:rPr>
            </w:pPr>
            <w:r>
              <w:rPr>
                <w:sz w:val="17"/>
              </w:rPr>
              <w:t>(5,050 / 5,000) − 1 = 0.01 = +1%</w:t>
            </w:r>
          </w:p>
        </w:tc>
        <w:tc>
          <w:tcPr>
            <w:tcW w:w="3360" w:type="dxa"/>
            <w:vAlign w:val="center"/>
          </w:tcPr>
          <w:p w:rsidR="00D236B7" w:rsidRDefault="0033239F">
            <w:pPr>
              <w:spacing w:after="40"/>
              <w:rPr>
                <w:rFonts w:hint="eastAsia"/>
              </w:rPr>
            </w:pPr>
            <w:r>
              <w:rPr>
                <w:sz w:val="17"/>
              </w:rPr>
              <w:t>A positive US-session return; test whether the aligned overnight signal relates to the next Indian session.</w:t>
            </w:r>
          </w:p>
        </w:tc>
      </w:tr>
      <w:tr w:rsidR="00D236B7">
        <w:trPr>
          <w:jc w:val="center"/>
        </w:trPr>
        <w:tc>
          <w:tcPr>
            <w:tcW w:w="3360" w:type="dxa"/>
            <w:vAlign w:val="center"/>
          </w:tcPr>
          <w:p w:rsidR="00D236B7" w:rsidRDefault="0033239F">
            <w:pPr>
              <w:spacing w:after="40"/>
              <w:rPr>
                <w:rFonts w:hint="eastAsia"/>
              </w:rPr>
            </w:pPr>
            <w:r>
              <w:rPr>
                <w:sz w:val="17"/>
              </w:rPr>
              <w:t>USD/INR rises from 83.00 to 83.83</w:t>
            </w:r>
          </w:p>
        </w:tc>
        <w:tc>
          <w:tcPr>
            <w:tcW w:w="3360" w:type="dxa"/>
            <w:vAlign w:val="center"/>
          </w:tcPr>
          <w:p w:rsidR="00D236B7" w:rsidRDefault="0033239F">
            <w:pPr>
              <w:spacing w:after="40"/>
              <w:rPr>
                <w:rFonts w:hint="eastAsia"/>
              </w:rPr>
            </w:pPr>
            <w:r>
              <w:rPr>
                <w:sz w:val="17"/>
              </w:rPr>
              <w:t>(83.83 / 83.00) − 1 = 1%</w:t>
            </w:r>
          </w:p>
        </w:tc>
        <w:tc>
          <w:tcPr>
            <w:tcW w:w="3360" w:type="dxa"/>
            <w:vAlign w:val="center"/>
          </w:tcPr>
          <w:p w:rsidR="00D236B7" w:rsidRDefault="0033239F">
            <w:pPr>
              <w:spacing w:after="40"/>
              <w:rPr>
                <w:rFonts w:hint="eastAsia"/>
              </w:rPr>
            </w:pPr>
            <w:r>
              <w:rPr>
                <w:sz w:val="17"/>
              </w:rPr>
              <w:t>The dollar has strengthened against the rupee by about 1% under this quote convention.</w:t>
            </w:r>
          </w:p>
        </w:tc>
      </w:tr>
      <w:tr w:rsidR="00D236B7">
        <w:trPr>
          <w:jc w:val="center"/>
        </w:trPr>
        <w:tc>
          <w:tcPr>
            <w:tcW w:w="3360" w:type="dxa"/>
            <w:vAlign w:val="center"/>
          </w:tcPr>
          <w:p w:rsidR="00D236B7" w:rsidRDefault="0033239F">
            <w:pPr>
              <w:spacing w:after="40"/>
              <w:rPr>
                <w:rFonts w:hint="eastAsia"/>
              </w:rPr>
            </w:pPr>
            <w:r>
              <w:rPr>
                <w:sz w:val="17"/>
              </w:rPr>
              <w:t>US 10-year yield rises from 4.20% to 4.27%</w:t>
            </w:r>
          </w:p>
        </w:tc>
        <w:tc>
          <w:tcPr>
            <w:tcW w:w="3360" w:type="dxa"/>
            <w:vAlign w:val="center"/>
          </w:tcPr>
          <w:p w:rsidR="00D236B7" w:rsidRDefault="0033239F">
            <w:pPr>
              <w:spacing w:after="40"/>
              <w:rPr>
                <w:rFonts w:hint="eastAsia"/>
              </w:rPr>
            </w:pPr>
            <w:r>
              <w:rPr>
                <w:sz w:val="17"/>
              </w:rPr>
              <w:t>(4.27 − 4.20) × 100 = 7 bp</w:t>
            </w:r>
          </w:p>
        </w:tc>
        <w:tc>
          <w:tcPr>
            <w:tcW w:w="3360" w:type="dxa"/>
            <w:vAlign w:val="center"/>
          </w:tcPr>
          <w:p w:rsidR="00D236B7" w:rsidRDefault="0033239F">
            <w:pPr>
              <w:spacing w:after="40"/>
              <w:rPr>
                <w:rFonts w:hint="eastAsia"/>
              </w:rPr>
            </w:pPr>
            <w:r>
              <w:rPr>
                <w:sz w:val="17"/>
              </w:rPr>
              <w:t>A 7-basis-point increase; it may reflect multiple forces and should not b</w:t>
            </w:r>
            <w:r>
              <w:rPr>
                <w:sz w:val="17"/>
              </w:rPr>
              <w:t>e assigned a fixed equity direction.</w:t>
            </w:r>
          </w:p>
        </w:tc>
      </w:tr>
      <w:tr w:rsidR="00D236B7">
        <w:trPr>
          <w:jc w:val="center"/>
        </w:trPr>
        <w:tc>
          <w:tcPr>
            <w:tcW w:w="3360" w:type="dxa"/>
            <w:vAlign w:val="center"/>
          </w:tcPr>
          <w:p w:rsidR="00D236B7" w:rsidRDefault="0033239F">
            <w:pPr>
              <w:spacing w:after="40"/>
              <w:rPr>
                <w:rFonts w:hint="eastAsia"/>
              </w:rPr>
            </w:pPr>
            <w:r>
              <w:rPr>
                <w:sz w:val="17"/>
              </w:rPr>
              <w:t>Brent rises from $80 to $84</w:t>
            </w:r>
          </w:p>
        </w:tc>
        <w:tc>
          <w:tcPr>
            <w:tcW w:w="3360" w:type="dxa"/>
            <w:vAlign w:val="center"/>
          </w:tcPr>
          <w:p w:rsidR="00D236B7" w:rsidRDefault="0033239F">
            <w:pPr>
              <w:spacing w:after="40"/>
              <w:rPr>
                <w:rFonts w:hint="eastAsia"/>
              </w:rPr>
            </w:pPr>
            <w:r>
              <w:rPr>
                <w:sz w:val="17"/>
              </w:rPr>
              <w:t>(84 / 80) − 1 = 5%</w:t>
            </w:r>
          </w:p>
        </w:tc>
        <w:tc>
          <w:tcPr>
            <w:tcW w:w="3360" w:type="dxa"/>
            <w:vAlign w:val="center"/>
          </w:tcPr>
          <w:p w:rsidR="00D236B7" w:rsidRDefault="0033239F">
            <w:pPr>
              <w:spacing w:after="40"/>
              <w:rPr>
                <w:rFonts w:hint="eastAsia"/>
              </w:rPr>
            </w:pPr>
            <w:r>
              <w:rPr>
                <w:sz w:val="17"/>
              </w:rPr>
              <w:t>A sharp oil move that could be relevant to inflation, the rupee, and sector exposures.</w:t>
            </w:r>
          </w:p>
        </w:tc>
      </w:tr>
      <w:tr w:rsidR="00D236B7">
        <w:trPr>
          <w:jc w:val="center"/>
        </w:trPr>
        <w:tc>
          <w:tcPr>
            <w:tcW w:w="3360" w:type="dxa"/>
            <w:vAlign w:val="center"/>
          </w:tcPr>
          <w:p w:rsidR="00D236B7" w:rsidRDefault="0033239F">
            <w:pPr>
              <w:spacing w:after="40"/>
              <w:rPr>
                <w:rFonts w:hint="eastAsia"/>
              </w:rPr>
            </w:pPr>
            <w:r>
              <w:rPr>
                <w:sz w:val="17"/>
              </w:rPr>
              <w:t>VIX rises from 18 to 24</w:t>
            </w:r>
          </w:p>
        </w:tc>
        <w:tc>
          <w:tcPr>
            <w:tcW w:w="3360" w:type="dxa"/>
            <w:vAlign w:val="center"/>
          </w:tcPr>
          <w:p w:rsidR="00D236B7" w:rsidRDefault="0033239F">
            <w:pPr>
              <w:spacing w:after="40"/>
              <w:rPr>
                <w:rFonts w:hint="eastAsia"/>
              </w:rPr>
            </w:pPr>
            <w:r>
              <w:rPr>
                <w:sz w:val="17"/>
              </w:rPr>
              <w:t>Absolute change = +6 points; percentage change = 33.3%</w:t>
            </w:r>
          </w:p>
        </w:tc>
        <w:tc>
          <w:tcPr>
            <w:tcW w:w="3360" w:type="dxa"/>
            <w:vAlign w:val="center"/>
          </w:tcPr>
          <w:p w:rsidR="00D236B7" w:rsidRDefault="0033239F">
            <w:pPr>
              <w:spacing w:after="40"/>
              <w:rPr>
                <w:rFonts w:hint="eastAsia"/>
              </w:rPr>
            </w:pPr>
            <w:r>
              <w:rPr>
                <w:sz w:val="17"/>
              </w:rPr>
              <w:t xml:space="preserve">A </w:t>
            </w:r>
            <w:r>
              <w:rPr>
                <w:sz w:val="17"/>
              </w:rPr>
              <w:t>substantial increase in implied volatility; not a direct forecast of market direction.</w:t>
            </w:r>
          </w:p>
        </w:tc>
      </w:tr>
    </w:tbl>
    <w:p w:rsidR="00D236B7" w:rsidRDefault="00D236B7">
      <w:pPr>
        <w:rPr>
          <w:rFonts w:hint="eastAsia"/>
        </w:rPr>
      </w:pPr>
    </w:p>
    <w:p w:rsidR="00D236B7" w:rsidRDefault="0033239F">
      <w:pPr>
        <w:rPr>
          <w:rFonts w:hint="eastAsia"/>
        </w:rPr>
      </w:pPr>
      <w:r>
        <w:t>These examples use invented round numbers to teach feature construction. They are not current market readings.</w:t>
      </w:r>
    </w:p>
    <w:p w:rsidR="00D236B7" w:rsidRDefault="0033239F">
      <w:pPr>
        <w:pStyle w:val="Heading1"/>
      </w:pPr>
      <w:r>
        <w:lastRenderedPageBreak/>
        <w:t>8. Candidate Feature Table for the Dataset</w:t>
      </w:r>
    </w:p>
    <w:tbl>
      <w:tblPr>
        <w:tblStyle w:val="TableGrid"/>
        <w:tblW w:w="0" w:type="auto"/>
        <w:jc w:val="center"/>
        <w:tblLook w:val="04A0" w:firstRow="1" w:lastRow="0" w:firstColumn="1" w:lastColumn="0" w:noHBand="0" w:noVBand="1"/>
      </w:tblPr>
      <w:tblGrid>
        <w:gridCol w:w="2520"/>
        <w:gridCol w:w="2520"/>
        <w:gridCol w:w="2520"/>
        <w:gridCol w:w="2520"/>
      </w:tblGrid>
      <w:tr w:rsidR="00D236B7">
        <w:trPr>
          <w:jc w:val="center"/>
        </w:trPr>
        <w:tc>
          <w:tcPr>
            <w:tcW w:w="2520" w:type="dxa"/>
            <w:shd w:val="clear" w:color="auto" w:fill="D9EAF2"/>
            <w:vAlign w:val="center"/>
          </w:tcPr>
          <w:p w:rsidR="00D236B7" w:rsidRDefault="0033239F">
            <w:pPr>
              <w:spacing w:after="40"/>
              <w:rPr>
                <w:rFonts w:hint="eastAsia"/>
              </w:rPr>
            </w:pPr>
            <w:r>
              <w:rPr>
                <w:b/>
                <w:sz w:val="17"/>
              </w:rPr>
              <w:t>Candidate col</w:t>
            </w:r>
            <w:r>
              <w:rPr>
                <w:b/>
                <w:sz w:val="17"/>
              </w:rPr>
              <w:t>umn</w:t>
            </w:r>
          </w:p>
        </w:tc>
        <w:tc>
          <w:tcPr>
            <w:tcW w:w="2520" w:type="dxa"/>
            <w:shd w:val="clear" w:color="auto" w:fill="D9EAF2"/>
            <w:vAlign w:val="center"/>
          </w:tcPr>
          <w:p w:rsidR="00D236B7" w:rsidRDefault="0033239F">
            <w:pPr>
              <w:spacing w:after="40"/>
              <w:rPr>
                <w:rFonts w:hint="eastAsia"/>
              </w:rPr>
            </w:pPr>
            <w:r>
              <w:rPr>
                <w:b/>
                <w:sz w:val="17"/>
              </w:rPr>
              <w:t>Definition / source series</w:t>
            </w:r>
          </w:p>
        </w:tc>
        <w:tc>
          <w:tcPr>
            <w:tcW w:w="2520" w:type="dxa"/>
            <w:shd w:val="clear" w:color="auto" w:fill="D9EAF2"/>
            <w:vAlign w:val="center"/>
          </w:tcPr>
          <w:p w:rsidR="00D236B7" w:rsidRDefault="0033239F">
            <w:pPr>
              <w:spacing w:after="40"/>
              <w:rPr>
                <w:rFonts w:hint="eastAsia"/>
              </w:rPr>
            </w:pPr>
            <w:r>
              <w:rPr>
                <w:b/>
                <w:sz w:val="17"/>
              </w:rPr>
              <w:t>Suggested lag/window</w:t>
            </w:r>
          </w:p>
        </w:tc>
        <w:tc>
          <w:tcPr>
            <w:tcW w:w="2520" w:type="dxa"/>
            <w:shd w:val="clear" w:color="auto" w:fill="D9EAF2"/>
            <w:vAlign w:val="center"/>
          </w:tcPr>
          <w:p w:rsidR="00D236B7" w:rsidRDefault="0033239F">
            <w:pPr>
              <w:spacing w:after="40"/>
              <w:rPr>
                <w:rFonts w:hint="eastAsia"/>
              </w:rPr>
            </w:pPr>
            <w:r>
              <w:rPr>
                <w:b/>
                <w:sz w:val="17"/>
              </w:rPr>
              <w:t>Expected interpretation to test</w:t>
            </w:r>
          </w:p>
        </w:tc>
      </w:tr>
      <w:tr w:rsidR="00D236B7">
        <w:trPr>
          <w:jc w:val="center"/>
        </w:trPr>
        <w:tc>
          <w:tcPr>
            <w:tcW w:w="2520" w:type="dxa"/>
            <w:vAlign w:val="center"/>
          </w:tcPr>
          <w:p w:rsidR="00D236B7" w:rsidRDefault="0033239F">
            <w:pPr>
              <w:spacing w:after="40"/>
              <w:rPr>
                <w:rFonts w:hint="eastAsia"/>
              </w:rPr>
            </w:pPr>
            <w:r>
              <w:rPr>
                <w:sz w:val="17"/>
              </w:rPr>
              <w:t>sp500_ret_1d</w:t>
            </w:r>
          </w:p>
        </w:tc>
        <w:tc>
          <w:tcPr>
            <w:tcW w:w="2520" w:type="dxa"/>
            <w:vAlign w:val="center"/>
          </w:tcPr>
          <w:p w:rsidR="00D236B7" w:rsidRDefault="0033239F">
            <w:pPr>
              <w:spacing w:after="40"/>
              <w:rPr>
                <w:rFonts w:hint="eastAsia"/>
              </w:rPr>
            </w:pPr>
            <w:r>
              <w:rPr>
                <w:sz w:val="17"/>
              </w:rPr>
              <w:t>One-session S&amp;P 500 return</w:t>
            </w:r>
          </w:p>
        </w:tc>
        <w:tc>
          <w:tcPr>
            <w:tcW w:w="2520" w:type="dxa"/>
            <w:vAlign w:val="center"/>
          </w:tcPr>
          <w:p w:rsidR="00D236B7" w:rsidRDefault="0033239F">
            <w:pPr>
              <w:spacing w:after="40"/>
              <w:rPr>
                <w:rFonts w:hint="eastAsia"/>
              </w:rPr>
            </w:pPr>
            <w:r>
              <w:rPr>
                <w:sz w:val="17"/>
              </w:rPr>
              <w:t>Latest completed US session</w:t>
            </w:r>
          </w:p>
        </w:tc>
        <w:tc>
          <w:tcPr>
            <w:tcW w:w="2520" w:type="dxa"/>
            <w:vAlign w:val="center"/>
          </w:tcPr>
          <w:p w:rsidR="00D236B7" w:rsidRDefault="0033239F">
            <w:pPr>
              <w:spacing w:after="40"/>
              <w:rPr>
                <w:rFonts w:hint="eastAsia"/>
              </w:rPr>
            </w:pPr>
            <w:r>
              <w:rPr>
                <w:sz w:val="17"/>
              </w:rPr>
              <w:t>Global risk/earnings tone</w:t>
            </w:r>
          </w:p>
        </w:tc>
      </w:tr>
      <w:tr w:rsidR="00D236B7">
        <w:trPr>
          <w:jc w:val="center"/>
        </w:trPr>
        <w:tc>
          <w:tcPr>
            <w:tcW w:w="2520" w:type="dxa"/>
            <w:vAlign w:val="center"/>
          </w:tcPr>
          <w:p w:rsidR="00D236B7" w:rsidRDefault="0033239F">
            <w:pPr>
              <w:spacing w:after="40"/>
              <w:rPr>
                <w:rFonts w:hint="eastAsia"/>
              </w:rPr>
            </w:pPr>
            <w:r>
              <w:rPr>
                <w:sz w:val="17"/>
              </w:rPr>
              <w:t>nasdaq_ret_1d</w:t>
            </w:r>
          </w:p>
        </w:tc>
        <w:tc>
          <w:tcPr>
            <w:tcW w:w="2520" w:type="dxa"/>
            <w:vAlign w:val="center"/>
          </w:tcPr>
          <w:p w:rsidR="00D236B7" w:rsidRDefault="0033239F">
            <w:pPr>
              <w:spacing w:after="40"/>
              <w:rPr>
                <w:rFonts w:hint="eastAsia"/>
              </w:rPr>
            </w:pPr>
            <w:r>
              <w:rPr>
                <w:sz w:val="17"/>
              </w:rPr>
              <w:t>One-session Nasdaq-100 return</w:t>
            </w:r>
          </w:p>
        </w:tc>
        <w:tc>
          <w:tcPr>
            <w:tcW w:w="2520" w:type="dxa"/>
            <w:vAlign w:val="center"/>
          </w:tcPr>
          <w:p w:rsidR="00D236B7" w:rsidRDefault="0033239F">
            <w:pPr>
              <w:spacing w:after="40"/>
              <w:rPr>
                <w:rFonts w:hint="eastAsia"/>
              </w:rPr>
            </w:pPr>
            <w:r>
              <w:rPr>
                <w:sz w:val="17"/>
              </w:rPr>
              <w:t>Latest completed US session</w:t>
            </w:r>
          </w:p>
        </w:tc>
        <w:tc>
          <w:tcPr>
            <w:tcW w:w="2520" w:type="dxa"/>
            <w:vAlign w:val="center"/>
          </w:tcPr>
          <w:p w:rsidR="00D236B7" w:rsidRDefault="0033239F">
            <w:pPr>
              <w:spacing w:after="40"/>
              <w:rPr>
                <w:rFonts w:hint="eastAsia"/>
              </w:rPr>
            </w:pPr>
            <w:r>
              <w:rPr>
                <w:sz w:val="17"/>
              </w:rPr>
              <w:t>Technology/growth exposure</w:t>
            </w:r>
          </w:p>
        </w:tc>
      </w:tr>
      <w:tr w:rsidR="00D236B7">
        <w:trPr>
          <w:jc w:val="center"/>
        </w:trPr>
        <w:tc>
          <w:tcPr>
            <w:tcW w:w="2520" w:type="dxa"/>
            <w:vAlign w:val="center"/>
          </w:tcPr>
          <w:p w:rsidR="00D236B7" w:rsidRDefault="0033239F">
            <w:pPr>
              <w:spacing w:after="40"/>
              <w:rPr>
                <w:rFonts w:hint="eastAsia"/>
              </w:rPr>
            </w:pPr>
            <w:r>
              <w:rPr>
                <w:sz w:val="17"/>
              </w:rPr>
              <w:t>nikkei_ret_1d</w:t>
            </w:r>
          </w:p>
        </w:tc>
        <w:tc>
          <w:tcPr>
            <w:tcW w:w="2520" w:type="dxa"/>
            <w:vAlign w:val="center"/>
          </w:tcPr>
          <w:p w:rsidR="00D236B7" w:rsidRDefault="0033239F">
            <w:pPr>
              <w:spacing w:after="40"/>
              <w:rPr>
                <w:rFonts w:hint="eastAsia"/>
              </w:rPr>
            </w:pPr>
            <w:r>
              <w:rPr>
                <w:sz w:val="17"/>
              </w:rPr>
              <w:t>One-session Nikkei return</w:t>
            </w:r>
          </w:p>
        </w:tc>
        <w:tc>
          <w:tcPr>
            <w:tcW w:w="2520" w:type="dxa"/>
            <w:vAlign w:val="center"/>
          </w:tcPr>
          <w:p w:rsidR="00D236B7" w:rsidRDefault="0033239F">
            <w:pPr>
              <w:spacing w:after="40"/>
              <w:rPr>
                <w:rFonts w:hint="eastAsia"/>
              </w:rPr>
            </w:pPr>
            <w:r>
              <w:rPr>
                <w:sz w:val="17"/>
              </w:rPr>
              <w:t>Most recent completed session</w:t>
            </w:r>
          </w:p>
        </w:tc>
        <w:tc>
          <w:tcPr>
            <w:tcW w:w="2520" w:type="dxa"/>
            <w:vAlign w:val="center"/>
          </w:tcPr>
          <w:p w:rsidR="00D236B7" w:rsidRDefault="0033239F">
            <w:pPr>
              <w:spacing w:after="40"/>
              <w:rPr>
                <w:rFonts w:hint="eastAsia"/>
              </w:rPr>
            </w:pPr>
            <w:r>
              <w:rPr>
                <w:sz w:val="17"/>
              </w:rPr>
              <w:t>Asian risk appetite</w:t>
            </w:r>
          </w:p>
        </w:tc>
      </w:tr>
      <w:tr w:rsidR="00D236B7">
        <w:trPr>
          <w:jc w:val="center"/>
        </w:trPr>
        <w:tc>
          <w:tcPr>
            <w:tcW w:w="2520" w:type="dxa"/>
            <w:vAlign w:val="center"/>
          </w:tcPr>
          <w:p w:rsidR="00D236B7" w:rsidRDefault="0033239F">
            <w:pPr>
              <w:spacing w:after="40"/>
              <w:rPr>
                <w:rFonts w:hint="eastAsia"/>
              </w:rPr>
            </w:pPr>
            <w:r>
              <w:rPr>
                <w:sz w:val="17"/>
              </w:rPr>
              <w:t>hang_seng_ret_1d</w:t>
            </w:r>
          </w:p>
        </w:tc>
        <w:tc>
          <w:tcPr>
            <w:tcW w:w="2520" w:type="dxa"/>
            <w:vAlign w:val="center"/>
          </w:tcPr>
          <w:p w:rsidR="00D236B7" w:rsidRDefault="0033239F">
            <w:pPr>
              <w:spacing w:after="40"/>
              <w:rPr>
                <w:rFonts w:hint="eastAsia"/>
              </w:rPr>
            </w:pPr>
            <w:r>
              <w:rPr>
                <w:sz w:val="17"/>
              </w:rPr>
              <w:t>One-session Hang Seng return</w:t>
            </w:r>
          </w:p>
        </w:tc>
        <w:tc>
          <w:tcPr>
            <w:tcW w:w="2520" w:type="dxa"/>
            <w:vAlign w:val="center"/>
          </w:tcPr>
          <w:p w:rsidR="00D236B7" w:rsidRDefault="0033239F">
            <w:pPr>
              <w:spacing w:after="40"/>
              <w:rPr>
                <w:rFonts w:hint="eastAsia"/>
              </w:rPr>
            </w:pPr>
            <w:r>
              <w:rPr>
                <w:sz w:val="17"/>
              </w:rPr>
              <w:t>Most recent completed session</w:t>
            </w:r>
          </w:p>
        </w:tc>
        <w:tc>
          <w:tcPr>
            <w:tcW w:w="2520" w:type="dxa"/>
            <w:vAlign w:val="center"/>
          </w:tcPr>
          <w:p w:rsidR="00D236B7" w:rsidRDefault="0033239F">
            <w:pPr>
              <w:spacing w:after="40"/>
              <w:rPr>
                <w:rFonts w:hint="eastAsia"/>
              </w:rPr>
            </w:pPr>
            <w:r>
              <w:rPr>
                <w:sz w:val="17"/>
              </w:rPr>
              <w:t>China/Hong Kong risk and demand</w:t>
            </w:r>
          </w:p>
        </w:tc>
      </w:tr>
      <w:tr w:rsidR="00D236B7">
        <w:trPr>
          <w:jc w:val="center"/>
        </w:trPr>
        <w:tc>
          <w:tcPr>
            <w:tcW w:w="2520" w:type="dxa"/>
            <w:vAlign w:val="center"/>
          </w:tcPr>
          <w:p w:rsidR="00D236B7" w:rsidRDefault="0033239F">
            <w:pPr>
              <w:spacing w:after="40"/>
              <w:rPr>
                <w:rFonts w:hint="eastAsia"/>
              </w:rPr>
            </w:pPr>
            <w:r>
              <w:rPr>
                <w:sz w:val="17"/>
              </w:rPr>
              <w:t>global_eq_dispersion</w:t>
            </w:r>
          </w:p>
        </w:tc>
        <w:tc>
          <w:tcPr>
            <w:tcW w:w="2520" w:type="dxa"/>
            <w:vAlign w:val="center"/>
          </w:tcPr>
          <w:p w:rsidR="00D236B7" w:rsidRDefault="0033239F">
            <w:pPr>
              <w:spacing w:after="40"/>
              <w:rPr>
                <w:rFonts w:hint="eastAsia"/>
              </w:rPr>
            </w:pPr>
            <w:r>
              <w:rPr>
                <w:sz w:val="17"/>
              </w:rPr>
              <w:t>Cross-s</w:t>
            </w:r>
            <w:r>
              <w:rPr>
                <w:sz w:val="17"/>
              </w:rPr>
              <w:t>ectional std dev of aligned global index returns</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Disagreement/uneven global market</w:t>
            </w:r>
          </w:p>
        </w:tc>
      </w:tr>
      <w:tr w:rsidR="00D236B7">
        <w:trPr>
          <w:jc w:val="center"/>
        </w:trPr>
        <w:tc>
          <w:tcPr>
            <w:tcW w:w="2520" w:type="dxa"/>
            <w:vAlign w:val="center"/>
          </w:tcPr>
          <w:p w:rsidR="00D236B7" w:rsidRDefault="0033239F">
            <w:pPr>
              <w:spacing w:after="40"/>
              <w:rPr>
                <w:rFonts w:hint="eastAsia"/>
              </w:rPr>
            </w:pPr>
            <w:r>
              <w:rPr>
                <w:sz w:val="17"/>
              </w:rPr>
              <w:t>usd_inr_ret_1d</w:t>
            </w:r>
          </w:p>
        </w:tc>
        <w:tc>
          <w:tcPr>
            <w:tcW w:w="2520" w:type="dxa"/>
            <w:vAlign w:val="center"/>
          </w:tcPr>
          <w:p w:rsidR="00D236B7" w:rsidRDefault="0033239F">
            <w:pPr>
              <w:spacing w:after="40"/>
              <w:rPr>
                <w:rFonts w:hint="eastAsia"/>
              </w:rPr>
            </w:pPr>
            <w:r>
              <w:rPr>
                <w:sz w:val="17"/>
              </w:rPr>
              <w:t>Daily USD/INR percentage change</w:t>
            </w:r>
          </w:p>
        </w:tc>
        <w:tc>
          <w:tcPr>
            <w:tcW w:w="2520" w:type="dxa"/>
            <w:vAlign w:val="center"/>
          </w:tcPr>
          <w:p w:rsidR="00D236B7" w:rsidRDefault="0033239F">
            <w:pPr>
              <w:spacing w:after="40"/>
              <w:rPr>
                <w:rFonts w:hint="eastAsia"/>
              </w:rPr>
            </w:pPr>
            <w:r>
              <w:rPr>
                <w:sz w:val="17"/>
              </w:rPr>
              <w:t>Latest available before prediction</w:t>
            </w:r>
          </w:p>
        </w:tc>
        <w:tc>
          <w:tcPr>
            <w:tcW w:w="2520" w:type="dxa"/>
            <w:vAlign w:val="center"/>
          </w:tcPr>
          <w:p w:rsidR="00D236B7" w:rsidRDefault="0033239F">
            <w:pPr>
              <w:spacing w:after="40"/>
              <w:rPr>
                <w:rFonts w:hint="eastAsia"/>
              </w:rPr>
            </w:pPr>
            <w:r>
              <w:rPr>
                <w:sz w:val="17"/>
              </w:rPr>
              <w:t>Rupee pressure/exporter-importer effects</w:t>
            </w:r>
          </w:p>
        </w:tc>
      </w:tr>
      <w:tr w:rsidR="00D236B7">
        <w:trPr>
          <w:jc w:val="center"/>
        </w:trPr>
        <w:tc>
          <w:tcPr>
            <w:tcW w:w="2520" w:type="dxa"/>
            <w:vAlign w:val="center"/>
          </w:tcPr>
          <w:p w:rsidR="00D236B7" w:rsidRDefault="0033239F">
            <w:pPr>
              <w:spacing w:after="40"/>
              <w:rPr>
                <w:rFonts w:hint="eastAsia"/>
              </w:rPr>
            </w:pPr>
            <w:r>
              <w:rPr>
                <w:sz w:val="17"/>
              </w:rPr>
              <w:t>dxy_ret_1d</w:t>
            </w:r>
          </w:p>
        </w:tc>
        <w:tc>
          <w:tcPr>
            <w:tcW w:w="2520" w:type="dxa"/>
            <w:vAlign w:val="center"/>
          </w:tcPr>
          <w:p w:rsidR="00D236B7" w:rsidRDefault="0033239F">
            <w:pPr>
              <w:spacing w:after="40"/>
              <w:rPr>
                <w:rFonts w:hint="eastAsia"/>
              </w:rPr>
            </w:pPr>
            <w:r>
              <w:rPr>
                <w:sz w:val="17"/>
              </w:rPr>
              <w:t xml:space="preserve">Daily US dollar index </w:t>
            </w:r>
            <w:r>
              <w:rPr>
                <w:sz w:val="17"/>
              </w:rPr>
              <w:t>change</w:t>
            </w:r>
          </w:p>
        </w:tc>
        <w:tc>
          <w:tcPr>
            <w:tcW w:w="2520" w:type="dxa"/>
            <w:vAlign w:val="center"/>
          </w:tcPr>
          <w:p w:rsidR="00D236B7" w:rsidRDefault="0033239F">
            <w:pPr>
              <w:spacing w:after="40"/>
              <w:rPr>
                <w:rFonts w:hint="eastAsia"/>
              </w:rPr>
            </w:pPr>
            <w:r>
              <w:rPr>
                <w:sz w:val="17"/>
              </w:rPr>
              <w:t>Latest completed interval</w:t>
            </w:r>
          </w:p>
        </w:tc>
        <w:tc>
          <w:tcPr>
            <w:tcW w:w="2520" w:type="dxa"/>
            <w:vAlign w:val="center"/>
          </w:tcPr>
          <w:p w:rsidR="00D236B7" w:rsidRDefault="0033239F">
            <w:pPr>
              <w:spacing w:after="40"/>
              <w:rPr>
                <w:rFonts w:hint="eastAsia"/>
              </w:rPr>
            </w:pPr>
            <w:r>
              <w:rPr>
                <w:sz w:val="17"/>
              </w:rPr>
              <w:t>Dollar strength / global liquidity proxy</w:t>
            </w:r>
          </w:p>
        </w:tc>
      </w:tr>
      <w:tr w:rsidR="00D236B7">
        <w:trPr>
          <w:jc w:val="center"/>
        </w:trPr>
        <w:tc>
          <w:tcPr>
            <w:tcW w:w="2520" w:type="dxa"/>
            <w:vAlign w:val="center"/>
          </w:tcPr>
          <w:p w:rsidR="00D236B7" w:rsidRDefault="0033239F">
            <w:pPr>
              <w:spacing w:after="40"/>
              <w:rPr>
                <w:rFonts w:hint="eastAsia"/>
              </w:rPr>
            </w:pPr>
            <w:r>
              <w:rPr>
                <w:sz w:val="17"/>
              </w:rPr>
              <w:t>brent_ret_1d</w:t>
            </w:r>
          </w:p>
        </w:tc>
        <w:tc>
          <w:tcPr>
            <w:tcW w:w="2520" w:type="dxa"/>
            <w:vAlign w:val="center"/>
          </w:tcPr>
          <w:p w:rsidR="00D236B7" w:rsidRDefault="0033239F">
            <w:pPr>
              <w:spacing w:after="40"/>
              <w:rPr>
                <w:rFonts w:hint="eastAsia"/>
              </w:rPr>
            </w:pPr>
            <w:r>
              <w:rPr>
                <w:sz w:val="17"/>
              </w:rPr>
              <w:t>Brent benchmark return</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Energy cost and external-balance pressure</w:t>
            </w:r>
          </w:p>
        </w:tc>
      </w:tr>
      <w:tr w:rsidR="00D236B7">
        <w:trPr>
          <w:jc w:val="center"/>
        </w:trPr>
        <w:tc>
          <w:tcPr>
            <w:tcW w:w="2520" w:type="dxa"/>
            <w:vAlign w:val="center"/>
          </w:tcPr>
          <w:p w:rsidR="00D236B7" w:rsidRDefault="0033239F">
            <w:pPr>
              <w:spacing w:after="40"/>
              <w:rPr>
                <w:rFonts w:hint="eastAsia"/>
              </w:rPr>
            </w:pPr>
            <w:r>
              <w:rPr>
                <w:sz w:val="17"/>
              </w:rPr>
              <w:t>brent_ret_5d</w:t>
            </w:r>
          </w:p>
        </w:tc>
        <w:tc>
          <w:tcPr>
            <w:tcW w:w="2520" w:type="dxa"/>
            <w:vAlign w:val="center"/>
          </w:tcPr>
          <w:p w:rsidR="00D236B7" w:rsidRDefault="0033239F">
            <w:pPr>
              <w:spacing w:after="40"/>
              <w:rPr>
                <w:rFonts w:hint="eastAsia"/>
              </w:rPr>
            </w:pPr>
            <w:r>
              <w:rPr>
                <w:sz w:val="17"/>
              </w:rPr>
              <w:t>Five-session Brent cumulative return</w:t>
            </w:r>
          </w:p>
        </w:tc>
        <w:tc>
          <w:tcPr>
            <w:tcW w:w="2520" w:type="dxa"/>
            <w:vAlign w:val="center"/>
          </w:tcPr>
          <w:p w:rsidR="00D236B7" w:rsidRDefault="0033239F">
            <w:pPr>
              <w:spacing w:after="40"/>
              <w:rPr>
                <w:rFonts w:hint="eastAsia"/>
              </w:rPr>
            </w:pPr>
            <w:r>
              <w:rPr>
                <w:sz w:val="17"/>
              </w:rPr>
              <w:t>5 sessions</w:t>
            </w:r>
          </w:p>
        </w:tc>
        <w:tc>
          <w:tcPr>
            <w:tcW w:w="2520" w:type="dxa"/>
            <w:vAlign w:val="center"/>
          </w:tcPr>
          <w:p w:rsidR="00D236B7" w:rsidRDefault="0033239F">
            <w:pPr>
              <w:spacing w:after="40"/>
              <w:rPr>
                <w:rFonts w:hint="eastAsia"/>
              </w:rPr>
            </w:pPr>
            <w:r>
              <w:rPr>
                <w:sz w:val="17"/>
              </w:rPr>
              <w:t>Short-term oil trend/shock</w:t>
            </w:r>
          </w:p>
        </w:tc>
      </w:tr>
      <w:tr w:rsidR="00D236B7">
        <w:trPr>
          <w:jc w:val="center"/>
        </w:trPr>
        <w:tc>
          <w:tcPr>
            <w:tcW w:w="2520" w:type="dxa"/>
            <w:vAlign w:val="center"/>
          </w:tcPr>
          <w:p w:rsidR="00D236B7" w:rsidRDefault="0033239F">
            <w:pPr>
              <w:spacing w:after="40"/>
              <w:rPr>
                <w:rFonts w:hint="eastAsia"/>
              </w:rPr>
            </w:pPr>
            <w:r>
              <w:rPr>
                <w:sz w:val="17"/>
              </w:rPr>
              <w:t>gol</w:t>
            </w:r>
            <w:r>
              <w:rPr>
                <w:sz w:val="17"/>
              </w:rPr>
              <w:t>d_ret_1d</w:t>
            </w:r>
          </w:p>
        </w:tc>
        <w:tc>
          <w:tcPr>
            <w:tcW w:w="2520" w:type="dxa"/>
            <w:vAlign w:val="center"/>
          </w:tcPr>
          <w:p w:rsidR="00D236B7" w:rsidRDefault="0033239F">
            <w:pPr>
              <w:spacing w:after="40"/>
              <w:rPr>
                <w:rFonts w:hint="eastAsia"/>
              </w:rPr>
            </w:pPr>
            <w:r>
              <w:rPr>
                <w:sz w:val="17"/>
              </w:rPr>
              <w:t>Gold benchmark return</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Safe-haven / real-rate / dollar interactions</w:t>
            </w:r>
          </w:p>
        </w:tc>
      </w:tr>
      <w:tr w:rsidR="00D236B7">
        <w:trPr>
          <w:jc w:val="center"/>
        </w:trPr>
        <w:tc>
          <w:tcPr>
            <w:tcW w:w="2520" w:type="dxa"/>
            <w:vAlign w:val="center"/>
          </w:tcPr>
          <w:p w:rsidR="00D236B7" w:rsidRDefault="0033239F">
            <w:pPr>
              <w:spacing w:after="40"/>
              <w:rPr>
                <w:rFonts w:hint="eastAsia"/>
              </w:rPr>
            </w:pPr>
            <w:r>
              <w:rPr>
                <w:sz w:val="17"/>
              </w:rPr>
              <w:t>copper_ret_1d</w:t>
            </w:r>
          </w:p>
        </w:tc>
        <w:tc>
          <w:tcPr>
            <w:tcW w:w="2520" w:type="dxa"/>
            <w:vAlign w:val="center"/>
          </w:tcPr>
          <w:p w:rsidR="00D236B7" w:rsidRDefault="0033239F">
            <w:pPr>
              <w:spacing w:after="40"/>
              <w:rPr>
                <w:rFonts w:hint="eastAsia"/>
              </w:rPr>
            </w:pPr>
            <w:r>
              <w:rPr>
                <w:sz w:val="17"/>
              </w:rPr>
              <w:t>Copper benchmark return</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Global industrial-demand proxy</w:t>
            </w:r>
          </w:p>
        </w:tc>
      </w:tr>
      <w:tr w:rsidR="00D236B7">
        <w:trPr>
          <w:jc w:val="center"/>
        </w:trPr>
        <w:tc>
          <w:tcPr>
            <w:tcW w:w="2520" w:type="dxa"/>
            <w:vAlign w:val="center"/>
          </w:tcPr>
          <w:p w:rsidR="00D236B7" w:rsidRDefault="0033239F">
            <w:pPr>
              <w:spacing w:after="40"/>
              <w:rPr>
                <w:rFonts w:hint="eastAsia"/>
              </w:rPr>
            </w:pPr>
            <w:r>
              <w:rPr>
                <w:sz w:val="17"/>
              </w:rPr>
              <w:t>us2y_change_bp</w:t>
            </w:r>
          </w:p>
        </w:tc>
        <w:tc>
          <w:tcPr>
            <w:tcW w:w="2520" w:type="dxa"/>
            <w:vAlign w:val="center"/>
          </w:tcPr>
          <w:p w:rsidR="00D236B7" w:rsidRDefault="0033239F">
            <w:pPr>
              <w:spacing w:after="40"/>
              <w:rPr>
                <w:rFonts w:hint="eastAsia"/>
              </w:rPr>
            </w:pPr>
            <w:r>
              <w:rPr>
                <w:sz w:val="17"/>
              </w:rPr>
              <w:t>US 2-year yield change in bp</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Short-rate/policy expectations</w:t>
            </w:r>
          </w:p>
        </w:tc>
      </w:tr>
      <w:tr w:rsidR="00D236B7">
        <w:trPr>
          <w:jc w:val="center"/>
        </w:trPr>
        <w:tc>
          <w:tcPr>
            <w:tcW w:w="2520" w:type="dxa"/>
            <w:vAlign w:val="center"/>
          </w:tcPr>
          <w:p w:rsidR="00D236B7" w:rsidRDefault="0033239F">
            <w:pPr>
              <w:spacing w:after="40"/>
              <w:rPr>
                <w:rFonts w:hint="eastAsia"/>
              </w:rPr>
            </w:pPr>
            <w:r>
              <w:rPr>
                <w:sz w:val="17"/>
              </w:rPr>
              <w:t>us10y_change_bp</w:t>
            </w:r>
          </w:p>
        </w:tc>
        <w:tc>
          <w:tcPr>
            <w:tcW w:w="2520" w:type="dxa"/>
            <w:vAlign w:val="center"/>
          </w:tcPr>
          <w:p w:rsidR="00D236B7" w:rsidRDefault="0033239F">
            <w:pPr>
              <w:spacing w:after="40"/>
              <w:rPr>
                <w:rFonts w:hint="eastAsia"/>
              </w:rPr>
            </w:pPr>
            <w:r>
              <w:rPr>
                <w:sz w:val="17"/>
              </w:rPr>
              <w:t>US 10-year yield change in bp</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Long-term discount-rate/term-premium changes</w:t>
            </w:r>
          </w:p>
        </w:tc>
      </w:tr>
      <w:tr w:rsidR="00D236B7">
        <w:trPr>
          <w:jc w:val="center"/>
        </w:trPr>
        <w:tc>
          <w:tcPr>
            <w:tcW w:w="2520" w:type="dxa"/>
            <w:vAlign w:val="center"/>
          </w:tcPr>
          <w:p w:rsidR="00D236B7" w:rsidRDefault="0033239F">
            <w:pPr>
              <w:spacing w:after="40"/>
              <w:rPr>
                <w:rFonts w:hint="eastAsia"/>
              </w:rPr>
            </w:pPr>
            <w:r>
              <w:rPr>
                <w:sz w:val="17"/>
              </w:rPr>
              <w:t>us10y2y_slope_bp</w:t>
            </w:r>
          </w:p>
        </w:tc>
        <w:tc>
          <w:tcPr>
            <w:tcW w:w="2520" w:type="dxa"/>
            <w:vAlign w:val="center"/>
          </w:tcPr>
          <w:p w:rsidR="00D236B7" w:rsidRDefault="0033239F">
            <w:pPr>
              <w:spacing w:after="40"/>
              <w:rPr>
                <w:rFonts w:hint="eastAsia"/>
              </w:rPr>
            </w:pPr>
            <w:r>
              <w:rPr>
                <w:sz w:val="17"/>
              </w:rPr>
              <w:t>10-year minus 2-year yield</w:t>
            </w:r>
          </w:p>
        </w:tc>
        <w:tc>
          <w:tcPr>
            <w:tcW w:w="2520" w:type="dxa"/>
            <w:vAlign w:val="center"/>
          </w:tcPr>
          <w:p w:rsidR="00D236B7" w:rsidRDefault="0033239F">
            <w:pPr>
              <w:spacing w:after="40"/>
              <w:rPr>
                <w:rFonts w:hint="eastAsia"/>
              </w:rPr>
            </w:pPr>
            <w:r>
              <w:rPr>
                <w:sz w:val="17"/>
              </w:rPr>
              <w:t>Daily level</w:t>
            </w:r>
          </w:p>
        </w:tc>
        <w:tc>
          <w:tcPr>
            <w:tcW w:w="2520" w:type="dxa"/>
            <w:vAlign w:val="center"/>
          </w:tcPr>
          <w:p w:rsidR="00D236B7" w:rsidRDefault="0033239F">
            <w:pPr>
              <w:spacing w:after="40"/>
              <w:rPr>
                <w:rFonts w:hint="eastAsia"/>
              </w:rPr>
            </w:pPr>
            <w:r>
              <w:rPr>
                <w:sz w:val="17"/>
              </w:rPr>
              <w:t>Curve shape / policy-growth context</w:t>
            </w:r>
          </w:p>
        </w:tc>
      </w:tr>
      <w:tr w:rsidR="00D236B7">
        <w:trPr>
          <w:jc w:val="center"/>
        </w:trPr>
        <w:tc>
          <w:tcPr>
            <w:tcW w:w="2520" w:type="dxa"/>
            <w:vAlign w:val="center"/>
          </w:tcPr>
          <w:p w:rsidR="00D236B7" w:rsidRDefault="0033239F">
            <w:pPr>
              <w:spacing w:after="40"/>
              <w:rPr>
                <w:rFonts w:hint="eastAsia"/>
              </w:rPr>
            </w:pPr>
            <w:r>
              <w:rPr>
                <w:sz w:val="17"/>
              </w:rPr>
              <w:t>vix_level</w:t>
            </w:r>
          </w:p>
        </w:tc>
        <w:tc>
          <w:tcPr>
            <w:tcW w:w="2520" w:type="dxa"/>
            <w:vAlign w:val="center"/>
          </w:tcPr>
          <w:p w:rsidR="00D236B7" w:rsidRDefault="0033239F">
            <w:pPr>
              <w:spacing w:after="40"/>
              <w:rPr>
                <w:rFonts w:hint="eastAsia"/>
              </w:rPr>
            </w:pPr>
            <w:r>
              <w:rPr>
                <w:sz w:val="17"/>
              </w:rPr>
              <w:t>VIX close</w:t>
            </w:r>
          </w:p>
        </w:tc>
        <w:tc>
          <w:tcPr>
            <w:tcW w:w="2520" w:type="dxa"/>
            <w:vAlign w:val="center"/>
          </w:tcPr>
          <w:p w:rsidR="00D236B7" w:rsidRDefault="0033239F">
            <w:pPr>
              <w:spacing w:after="40"/>
              <w:rPr>
                <w:rFonts w:hint="eastAsia"/>
              </w:rPr>
            </w:pPr>
            <w:r>
              <w:rPr>
                <w:sz w:val="17"/>
              </w:rPr>
              <w:t>Latest completed session</w:t>
            </w:r>
          </w:p>
        </w:tc>
        <w:tc>
          <w:tcPr>
            <w:tcW w:w="2520" w:type="dxa"/>
            <w:vAlign w:val="center"/>
          </w:tcPr>
          <w:p w:rsidR="00D236B7" w:rsidRDefault="0033239F">
            <w:pPr>
              <w:spacing w:after="40"/>
              <w:rPr>
                <w:rFonts w:hint="eastAsia"/>
              </w:rPr>
            </w:pPr>
            <w:r>
              <w:rPr>
                <w:sz w:val="17"/>
              </w:rPr>
              <w:t>Implied volatili</w:t>
            </w:r>
            <w:r>
              <w:rPr>
                <w:sz w:val="17"/>
              </w:rPr>
              <w:t>ty/stress</w:t>
            </w:r>
          </w:p>
        </w:tc>
      </w:tr>
      <w:tr w:rsidR="00D236B7">
        <w:trPr>
          <w:jc w:val="center"/>
        </w:trPr>
        <w:tc>
          <w:tcPr>
            <w:tcW w:w="2520" w:type="dxa"/>
            <w:vAlign w:val="center"/>
          </w:tcPr>
          <w:p w:rsidR="00D236B7" w:rsidRDefault="0033239F">
            <w:pPr>
              <w:spacing w:after="40"/>
              <w:rPr>
                <w:rFonts w:hint="eastAsia"/>
              </w:rPr>
            </w:pPr>
            <w:r>
              <w:rPr>
                <w:sz w:val="17"/>
              </w:rPr>
              <w:t>vix_change</w:t>
            </w:r>
          </w:p>
        </w:tc>
        <w:tc>
          <w:tcPr>
            <w:tcW w:w="2520" w:type="dxa"/>
            <w:vAlign w:val="center"/>
          </w:tcPr>
          <w:p w:rsidR="00D236B7" w:rsidRDefault="0033239F">
            <w:pPr>
              <w:spacing w:after="40"/>
              <w:rPr>
                <w:rFonts w:hint="eastAsia"/>
              </w:rPr>
            </w:pPr>
            <w:r>
              <w:rPr>
                <w:sz w:val="17"/>
              </w:rPr>
              <w:t>VIX change or percentage change</w:t>
            </w:r>
          </w:p>
        </w:tc>
        <w:tc>
          <w:tcPr>
            <w:tcW w:w="2520" w:type="dxa"/>
            <w:vAlign w:val="center"/>
          </w:tcPr>
          <w:p w:rsidR="00D236B7" w:rsidRDefault="0033239F">
            <w:pPr>
              <w:spacing w:after="40"/>
              <w:rPr>
                <w:rFonts w:hint="eastAsia"/>
              </w:rPr>
            </w:pPr>
            <w:r>
              <w:rPr>
                <w:sz w:val="17"/>
              </w:rPr>
              <w:t>1 session</w:t>
            </w:r>
          </w:p>
        </w:tc>
        <w:tc>
          <w:tcPr>
            <w:tcW w:w="2520" w:type="dxa"/>
            <w:vAlign w:val="center"/>
          </w:tcPr>
          <w:p w:rsidR="00D236B7" w:rsidRDefault="0033239F">
            <w:pPr>
              <w:spacing w:after="40"/>
              <w:rPr>
                <w:rFonts w:hint="eastAsia"/>
              </w:rPr>
            </w:pPr>
            <w:r>
              <w:rPr>
                <w:sz w:val="17"/>
              </w:rPr>
              <w:t>Change in risk pricing</w:t>
            </w:r>
          </w:p>
        </w:tc>
      </w:tr>
      <w:tr w:rsidR="00D236B7">
        <w:trPr>
          <w:jc w:val="center"/>
        </w:trPr>
        <w:tc>
          <w:tcPr>
            <w:tcW w:w="2520" w:type="dxa"/>
            <w:vAlign w:val="center"/>
          </w:tcPr>
          <w:p w:rsidR="00D236B7" w:rsidRDefault="0033239F">
            <w:pPr>
              <w:spacing w:after="40"/>
              <w:rPr>
                <w:rFonts w:hint="eastAsia"/>
              </w:rPr>
            </w:pPr>
            <w:r>
              <w:rPr>
                <w:sz w:val="17"/>
              </w:rPr>
              <w:t>oil_vol_20d</w:t>
            </w:r>
          </w:p>
        </w:tc>
        <w:tc>
          <w:tcPr>
            <w:tcW w:w="2520" w:type="dxa"/>
            <w:vAlign w:val="center"/>
          </w:tcPr>
          <w:p w:rsidR="00D236B7" w:rsidRDefault="0033239F">
            <w:pPr>
              <w:spacing w:after="40"/>
              <w:rPr>
                <w:rFonts w:hint="eastAsia"/>
              </w:rPr>
            </w:pPr>
            <w:r>
              <w:rPr>
                <w:sz w:val="17"/>
              </w:rPr>
              <w:t>20-session standard deviation of Brent returns</w:t>
            </w:r>
          </w:p>
        </w:tc>
        <w:tc>
          <w:tcPr>
            <w:tcW w:w="2520" w:type="dxa"/>
            <w:vAlign w:val="center"/>
          </w:tcPr>
          <w:p w:rsidR="00D236B7" w:rsidRDefault="0033239F">
            <w:pPr>
              <w:spacing w:after="40"/>
              <w:rPr>
                <w:rFonts w:hint="eastAsia"/>
              </w:rPr>
            </w:pPr>
            <w:r>
              <w:rPr>
                <w:sz w:val="17"/>
              </w:rPr>
              <w:t>20 sessions</w:t>
            </w:r>
          </w:p>
        </w:tc>
        <w:tc>
          <w:tcPr>
            <w:tcW w:w="2520" w:type="dxa"/>
            <w:vAlign w:val="center"/>
          </w:tcPr>
          <w:p w:rsidR="00D236B7" w:rsidRDefault="0033239F">
            <w:pPr>
              <w:spacing w:after="40"/>
              <w:rPr>
                <w:rFonts w:hint="eastAsia"/>
              </w:rPr>
            </w:pPr>
            <w:r>
              <w:rPr>
                <w:sz w:val="17"/>
              </w:rPr>
              <w:t>Energy-market instability</w:t>
            </w:r>
          </w:p>
        </w:tc>
      </w:tr>
      <w:tr w:rsidR="00D236B7">
        <w:trPr>
          <w:jc w:val="center"/>
        </w:trPr>
        <w:tc>
          <w:tcPr>
            <w:tcW w:w="2520" w:type="dxa"/>
            <w:vAlign w:val="center"/>
          </w:tcPr>
          <w:p w:rsidR="00D236B7" w:rsidRDefault="0033239F">
            <w:pPr>
              <w:spacing w:after="40"/>
              <w:rPr>
                <w:rFonts w:hint="eastAsia"/>
              </w:rPr>
            </w:pPr>
            <w:r>
              <w:rPr>
                <w:sz w:val="17"/>
              </w:rPr>
              <w:t>usd_inr_vol_20d</w:t>
            </w:r>
          </w:p>
        </w:tc>
        <w:tc>
          <w:tcPr>
            <w:tcW w:w="2520" w:type="dxa"/>
            <w:vAlign w:val="center"/>
          </w:tcPr>
          <w:p w:rsidR="00D236B7" w:rsidRDefault="0033239F">
            <w:pPr>
              <w:spacing w:after="40"/>
              <w:rPr>
                <w:rFonts w:hint="eastAsia"/>
              </w:rPr>
            </w:pPr>
            <w:r>
              <w:rPr>
                <w:sz w:val="17"/>
              </w:rPr>
              <w:t>20-session standard deviation of USD/INR returns</w:t>
            </w:r>
          </w:p>
        </w:tc>
        <w:tc>
          <w:tcPr>
            <w:tcW w:w="2520" w:type="dxa"/>
            <w:vAlign w:val="center"/>
          </w:tcPr>
          <w:p w:rsidR="00D236B7" w:rsidRDefault="0033239F">
            <w:pPr>
              <w:spacing w:after="40"/>
              <w:rPr>
                <w:rFonts w:hint="eastAsia"/>
              </w:rPr>
            </w:pPr>
            <w:r>
              <w:rPr>
                <w:sz w:val="17"/>
              </w:rPr>
              <w:t xml:space="preserve">20 </w:t>
            </w:r>
            <w:r>
              <w:rPr>
                <w:sz w:val="17"/>
              </w:rPr>
              <w:t>sessions</w:t>
            </w:r>
          </w:p>
        </w:tc>
        <w:tc>
          <w:tcPr>
            <w:tcW w:w="2520" w:type="dxa"/>
            <w:vAlign w:val="center"/>
          </w:tcPr>
          <w:p w:rsidR="00D236B7" w:rsidRDefault="0033239F">
            <w:pPr>
              <w:spacing w:after="40"/>
              <w:rPr>
                <w:rFonts w:hint="eastAsia"/>
              </w:rPr>
            </w:pPr>
            <w:r>
              <w:rPr>
                <w:sz w:val="17"/>
              </w:rPr>
              <w:t>Currency instability</w:t>
            </w:r>
          </w:p>
        </w:tc>
      </w:tr>
      <w:tr w:rsidR="00D236B7">
        <w:trPr>
          <w:jc w:val="center"/>
        </w:trPr>
        <w:tc>
          <w:tcPr>
            <w:tcW w:w="2520" w:type="dxa"/>
            <w:vAlign w:val="center"/>
          </w:tcPr>
          <w:p w:rsidR="00D236B7" w:rsidRDefault="0033239F">
            <w:pPr>
              <w:spacing w:after="40"/>
              <w:rPr>
                <w:rFonts w:hint="eastAsia"/>
              </w:rPr>
            </w:pPr>
            <w:r>
              <w:rPr>
                <w:sz w:val="17"/>
              </w:rPr>
              <w:t>global_stress_percentile</w:t>
            </w:r>
          </w:p>
        </w:tc>
        <w:tc>
          <w:tcPr>
            <w:tcW w:w="2520" w:type="dxa"/>
            <w:vAlign w:val="center"/>
          </w:tcPr>
          <w:p w:rsidR="00D236B7" w:rsidRDefault="0033239F">
            <w:pPr>
              <w:spacing w:after="40"/>
              <w:rPr>
                <w:rFonts w:hint="eastAsia"/>
              </w:rPr>
            </w:pPr>
            <w:r>
              <w:rPr>
                <w:sz w:val="17"/>
              </w:rPr>
              <w:t>Training-window percentile of a pre-defined stress measure</w:t>
            </w:r>
          </w:p>
        </w:tc>
        <w:tc>
          <w:tcPr>
            <w:tcW w:w="2520" w:type="dxa"/>
            <w:vAlign w:val="center"/>
          </w:tcPr>
          <w:p w:rsidR="00D236B7" w:rsidRDefault="0033239F">
            <w:pPr>
              <w:spacing w:after="40"/>
              <w:rPr>
                <w:rFonts w:hint="eastAsia"/>
              </w:rPr>
            </w:pPr>
            <w:r>
              <w:rPr>
                <w:sz w:val="17"/>
              </w:rPr>
              <w:t>Trailing 252 sessions</w:t>
            </w:r>
          </w:p>
        </w:tc>
        <w:tc>
          <w:tcPr>
            <w:tcW w:w="2520" w:type="dxa"/>
            <w:vAlign w:val="center"/>
          </w:tcPr>
          <w:p w:rsidR="00D236B7" w:rsidRDefault="0033239F">
            <w:pPr>
              <w:spacing w:after="40"/>
              <w:rPr>
                <w:rFonts w:hint="eastAsia"/>
              </w:rPr>
            </w:pPr>
            <w:r>
              <w:rPr>
                <w:sz w:val="17"/>
              </w:rPr>
              <w:t>Extreme-risk regime</w:t>
            </w:r>
          </w:p>
        </w:tc>
      </w:tr>
      <w:tr w:rsidR="00D236B7">
        <w:trPr>
          <w:jc w:val="center"/>
        </w:trPr>
        <w:tc>
          <w:tcPr>
            <w:tcW w:w="2520" w:type="dxa"/>
            <w:vAlign w:val="center"/>
          </w:tcPr>
          <w:p w:rsidR="00D236B7" w:rsidRDefault="0033239F">
            <w:pPr>
              <w:spacing w:after="40"/>
              <w:rPr>
                <w:rFonts w:hint="eastAsia"/>
              </w:rPr>
            </w:pPr>
            <w:r>
              <w:rPr>
                <w:sz w:val="17"/>
              </w:rPr>
              <w:t>global_event_flag</w:t>
            </w:r>
          </w:p>
        </w:tc>
        <w:tc>
          <w:tcPr>
            <w:tcW w:w="2520" w:type="dxa"/>
            <w:vAlign w:val="center"/>
          </w:tcPr>
          <w:p w:rsidR="00D236B7" w:rsidRDefault="0033239F">
            <w:pPr>
              <w:spacing w:after="40"/>
              <w:rPr>
                <w:rFonts w:hint="eastAsia"/>
              </w:rPr>
            </w:pPr>
            <w:r>
              <w:rPr>
                <w:sz w:val="17"/>
              </w:rPr>
              <w:t>Scheduled high-impact event known before session</w:t>
            </w:r>
          </w:p>
        </w:tc>
        <w:tc>
          <w:tcPr>
            <w:tcW w:w="2520" w:type="dxa"/>
            <w:vAlign w:val="center"/>
          </w:tcPr>
          <w:p w:rsidR="00D236B7" w:rsidRDefault="0033239F">
            <w:pPr>
              <w:spacing w:after="40"/>
              <w:rPr>
                <w:rFonts w:hint="eastAsia"/>
              </w:rPr>
            </w:pPr>
            <w:r>
              <w:rPr>
                <w:sz w:val="17"/>
              </w:rPr>
              <w:t>Event-specific</w:t>
            </w:r>
          </w:p>
        </w:tc>
        <w:tc>
          <w:tcPr>
            <w:tcW w:w="2520" w:type="dxa"/>
            <w:vAlign w:val="center"/>
          </w:tcPr>
          <w:p w:rsidR="00D236B7" w:rsidRDefault="0033239F">
            <w:pPr>
              <w:spacing w:after="40"/>
              <w:rPr>
                <w:rFonts w:hint="eastAsia"/>
              </w:rPr>
            </w:pPr>
            <w:r>
              <w:rPr>
                <w:sz w:val="17"/>
              </w:rPr>
              <w:t>Different market</w:t>
            </w:r>
            <w:r>
              <w:rPr>
                <w:sz w:val="17"/>
              </w:rPr>
              <w:t xml:space="preserve"> behaviour around events</w:t>
            </w:r>
          </w:p>
        </w:tc>
      </w:tr>
      <w:tr w:rsidR="00D236B7">
        <w:trPr>
          <w:jc w:val="center"/>
        </w:trPr>
        <w:tc>
          <w:tcPr>
            <w:tcW w:w="2520" w:type="dxa"/>
            <w:vAlign w:val="center"/>
          </w:tcPr>
          <w:p w:rsidR="00D236B7" w:rsidRDefault="0033239F">
            <w:pPr>
              <w:spacing w:after="40"/>
              <w:rPr>
                <w:rFonts w:hint="eastAsia"/>
              </w:rPr>
            </w:pPr>
            <w:r>
              <w:rPr>
                <w:sz w:val="17"/>
              </w:rPr>
              <w:t>global_event_surprise</w:t>
            </w:r>
          </w:p>
        </w:tc>
        <w:tc>
          <w:tcPr>
            <w:tcW w:w="2520" w:type="dxa"/>
            <w:vAlign w:val="center"/>
          </w:tcPr>
          <w:p w:rsidR="00D236B7" w:rsidRDefault="0033239F">
            <w:pPr>
              <w:spacing w:after="40"/>
              <w:rPr>
                <w:rFonts w:hint="eastAsia"/>
              </w:rPr>
            </w:pPr>
            <w:r>
              <w:rPr>
                <w:sz w:val="17"/>
              </w:rPr>
              <w:t>Actual minus pre-event consensus, standardised</w:t>
            </w:r>
          </w:p>
        </w:tc>
        <w:tc>
          <w:tcPr>
            <w:tcW w:w="2520" w:type="dxa"/>
            <w:vAlign w:val="center"/>
          </w:tcPr>
          <w:p w:rsidR="00D236B7" w:rsidRDefault="0033239F">
            <w:pPr>
              <w:spacing w:after="40"/>
              <w:rPr>
                <w:rFonts w:hint="eastAsia"/>
              </w:rPr>
            </w:pPr>
            <w:r>
              <w:rPr>
                <w:sz w:val="17"/>
              </w:rPr>
              <w:t>Only after release</w:t>
            </w:r>
          </w:p>
        </w:tc>
        <w:tc>
          <w:tcPr>
            <w:tcW w:w="2520" w:type="dxa"/>
            <w:vAlign w:val="center"/>
          </w:tcPr>
          <w:p w:rsidR="00D236B7" w:rsidRDefault="0033239F">
            <w:pPr>
              <w:spacing w:after="40"/>
              <w:rPr>
                <w:rFonts w:hint="eastAsia"/>
              </w:rPr>
            </w:pPr>
            <w:r>
              <w:rPr>
                <w:sz w:val="17"/>
              </w:rPr>
              <w:t>Post-release reaction; cannot be used before publication</w:t>
            </w:r>
          </w:p>
        </w:tc>
      </w:tr>
    </w:tbl>
    <w:p w:rsidR="00D236B7" w:rsidRDefault="00D236B7">
      <w:pPr>
        <w:rPr>
          <w:rFonts w:hint="eastAsia"/>
        </w:rPr>
      </w:pPr>
    </w:p>
    <w:p w:rsidR="00D236B7" w:rsidRDefault="0033239F">
      <w:pPr>
        <w:rPr>
          <w:rFonts w:hint="eastAsia"/>
        </w:rPr>
      </w:pPr>
      <w:r>
        <w:t>Do not create all columns on day one. Start with a compact feature set; add complex</w:t>
      </w:r>
      <w:r>
        <w:t xml:space="preserve"> event and cross-asset features only after the baseline pipeline is trustworthy.</w:t>
      </w:r>
    </w:p>
    <w:p w:rsidR="00D236B7" w:rsidRDefault="0033239F">
      <w:pPr>
        <w:pStyle w:val="Heading1"/>
      </w:pPr>
      <w:r>
        <w:t>9. Data Sources and Access Considerations</w:t>
      </w:r>
    </w:p>
    <w:tbl>
      <w:tblPr>
        <w:tblStyle w:val="TableGrid"/>
        <w:tblW w:w="0" w:type="auto"/>
        <w:jc w:val="center"/>
        <w:tblLook w:val="04A0" w:firstRow="1" w:lastRow="0" w:firstColumn="1" w:lastColumn="0" w:noHBand="0" w:noVBand="1"/>
      </w:tblPr>
      <w:tblGrid>
        <w:gridCol w:w="3834"/>
        <w:gridCol w:w="2265"/>
        <w:gridCol w:w="2034"/>
        <w:gridCol w:w="2163"/>
      </w:tblGrid>
      <w:tr w:rsidR="00D236B7">
        <w:trPr>
          <w:jc w:val="center"/>
        </w:trPr>
        <w:tc>
          <w:tcPr>
            <w:tcW w:w="2520" w:type="dxa"/>
            <w:shd w:val="clear" w:color="auto" w:fill="D9EAF2"/>
            <w:vAlign w:val="center"/>
          </w:tcPr>
          <w:p w:rsidR="00D236B7" w:rsidRDefault="0033239F">
            <w:pPr>
              <w:spacing w:after="40"/>
              <w:rPr>
                <w:rFonts w:hint="eastAsia"/>
              </w:rPr>
            </w:pPr>
            <w:r>
              <w:rPr>
                <w:b/>
                <w:sz w:val="17"/>
              </w:rPr>
              <w:t>Source</w:t>
            </w:r>
          </w:p>
        </w:tc>
        <w:tc>
          <w:tcPr>
            <w:tcW w:w="2520" w:type="dxa"/>
            <w:shd w:val="clear" w:color="auto" w:fill="D9EAF2"/>
            <w:vAlign w:val="center"/>
          </w:tcPr>
          <w:p w:rsidR="00D236B7" w:rsidRDefault="0033239F">
            <w:pPr>
              <w:spacing w:after="40"/>
              <w:rPr>
                <w:rFonts w:hint="eastAsia"/>
              </w:rPr>
            </w:pPr>
            <w:r>
              <w:rPr>
                <w:b/>
                <w:sz w:val="17"/>
              </w:rPr>
              <w:t>Useful for</w:t>
            </w:r>
          </w:p>
        </w:tc>
        <w:tc>
          <w:tcPr>
            <w:tcW w:w="2520" w:type="dxa"/>
            <w:shd w:val="clear" w:color="auto" w:fill="D9EAF2"/>
            <w:vAlign w:val="center"/>
          </w:tcPr>
          <w:p w:rsidR="00D236B7" w:rsidRDefault="0033239F">
            <w:pPr>
              <w:spacing w:after="40"/>
              <w:rPr>
                <w:rFonts w:hint="eastAsia"/>
              </w:rPr>
            </w:pPr>
            <w:r>
              <w:rPr>
                <w:b/>
                <w:sz w:val="17"/>
              </w:rPr>
              <w:t>Strengths</w:t>
            </w:r>
          </w:p>
        </w:tc>
        <w:tc>
          <w:tcPr>
            <w:tcW w:w="2520" w:type="dxa"/>
            <w:shd w:val="clear" w:color="auto" w:fill="D9EAF2"/>
            <w:vAlign w:val="center"/>
          </w:tcPr>
          <w:p w:rsidR="00D236B7" w:rsidRDefault="0033239F">
            <w:pPr>
              <w:spacing w:after="40"/>
              <w:rPr>
                <w:rFonts w:hint="eastAsia"/>
              </w:rPr>
            </w:pPr>
            <w:r>
              <w:rPr>
                <w:b/>
                <w:sz w:val="17"/>
              </w:rPr>
              <w:t>Limitations / checks</w:t>
            </w:r>
          </w:p>
        </w:tc>
      </w:tr>
      <w:tr w:rsidR="00D236B7">
        <w:trPr>
          <w:jc w:val="center"/>
        </w:trPr>
        <w:tc>
          <w:tcPr>
            <w:tcW w:w="2520" w:type="dxa"/>
            <w:vAlign w:val="center"/>
          </w:tcPr>
          <w:p w:rsidR="00D236B7" w:rsidRDefault="0033239F">
            <w:pPr>
              <w:spacing w:after="40"/>
              <w:rPr>
                <w:rFonts w:hint="eastAsia"/>
              </w:rPr>
            </w:pPr>
            <w:r>
              <w:rPr>
                <w:sz w:val="17"/>
              </w:rPr>
              <w:t>FRED (Federal Reserve Bank of St. Louis) — https://fred.stlouisfed.org/</w:t>
            </w:r>
          </w:p>
        </w:tc>
        <w:tc>
          <w:tcPr>
            <w:tcW w:w="2520" w:type="dxa"/>
            <w:vAlign w:val="center"/>
          </w:tcPr>
          <w:p w:rsidR="00D236B7" w:rsidRDefault="0033239F">
            <w:pPr>
              <w:spacing w:after="40"/>
              <w:rPr>
                <w:rFonts w:hint="eastAsia"/>
              </w:rPr>
            </w:pPr>
            <w:r>
              <w:rPr>
                <w:sz w:val="17"/>
              </w:rPr>
              <w:t>US Treasury</w:t>
            </w:r>
            <w:r>
              <w:rPr>
                <w:sz w:val="17"/>
              </w:rPr>
              <w:t xml:space="preserve"> yields and many macro/financial series; API available</w:t>
            </w:r>
          </w:p>
        </w:tc>
        <w:tc>
          <w:tcPr>
            <w:tcW w:w="2520" w:type="dxa"/>
            <w:vAlign w:val="center"/>
          </w:tcPr>
          <w:p w:rsidR="00D236B7" w:rsidRDefault="0033239F">
            <w:pPr>
              <w:spacing w:after="40"/>
              <w:rPr>
                <w:rFonts w:hint="eastAsia"/>
              </w:rPr>
            </w:pPr>
            <w:r>
              <w:rPr>
                <w:sz w:val="17"/>
              </w:rPr>
              <w:t>Well documented; broad historical series; useful for research prototypes</w:t>
            </w:r>
          </w:p>
        </w:tc>
        <w:tc>
          <w:tcPr>
            <w:tcW w:w="2520" w:type="dxa"/>
            <w:vAlign w:val="center"/>
          </w:tcPr>
          <w:p w:rsidR="00D236B7" w:rsidRDefault="0033239F">
            <w:pPr>
              <w:spacing w:after="40"/>
              <w:rPr>
                <w:rFonts w:hint="eastAsia"/>
              </w:rPr>
            </w:pPr>
            <w:r>
              <w:rPr>
                <w:sz w:val="17"/>
              </w:rPr>
              <w:t>Series-specific release/observation conventions; some data are revised; API key/terms may apply; not a universal source for live</w:t>
            </w:r>
            <w:r>
              <w:rPr>
                <w:sz w:val="17"/>
              </w:rPr>
              <w:t xml:space="preserve"> tradable prices.</w:t>
            </w:r>
          </w:p>
        </w:tc>
      </w:tr>
      <w:tr w:rsidR="00D236B7">
        <w:trPr>
          <w:jc w:val="center"/>
        </w:trPr>
        <w:tc>
          <w:tcPr>
            <w:tcW w:w="2520" w:type="dxa"/>
            <w:vAlign w:val="center"/>
          </w:tcPr>
          <w:p w:rsidR="00D236B7" w:rsidRDefault="0033239F">
            <w:pPr>
              <w:spacing w:after="40"/>
              <w:rPr>
                <w:rFonts w:hint="eastAsia"/>
              </w:rPr>
            </w:pPr>
            <w:r>
              <w:rPr>
                <w:sz w:val="17"/>
              </w:rPr>
              <w:t>US Treasury — https://home.treasury.gov/resource-center/data-chart-center/interest-rates</w:t>
            </w:r>
          </w:p>
        </w:tc>
        <w:tc>
          <w:tcPr>
            <w:tcW w:w="2520" w:type="dxa"/>
            <w:vAlign w:val="center"/>
          </w:tcPr>
          <w:p w:rsidR="00D236B7" w:rsidRDefault="0033239F">
            <w:pPr>
              <w:spacing w:after="40"/>
              <w:rPr>
                <w:rFonts w:hint="eastAsia"/>
              </w:rPr>
            </w:pPr>
            <w:r>
              <w:rPr>
                <w:sz w:val="17"/>
              </w:rPr>
              <w:t>Daily Treasury par yield curve rates</w:t>
            </w:r>
          </w:p>
        </w:tc>
        <w:tc>
          <w:tcPr>
            <w:tcW w:w="2520" w:type="dxa"/>
            <w:vAlign w:val="center"/>
          </w:tcPr>
          <w:p w:rsidR="00D236B7" w:rsidRDefault="0033239F">
            <w:pPr>
              <w:spacing w:after="40"/>
              <w:rPr>
                <w:rFonts w:hint="eastAsia"/>
              </w:rPr>
            </w:pPr>
            <w:r>
              <w:rPr>
                <w:sz w:val="17"/>
              </w:rPr>
              <w:t>Primary official source for Treasury yield curve data</w:t>
            </w:r>
          </w:p>
        </w:tc>
        <w:tc>
          <w:tcPr>
            <w:tcW w:w="2520" w:type="dxa"/>
            <w:vAlign w:val="center"/>
          </w:tcPr>
          <w:p w:rsidR="00D236B7" w:rsidRDefault="0033239F">
            <w:pPr>
              <w:spacing w:after="40"/>
              <w:rPr>
                <w:rFonts w:hint="eastAsia"/>
              </w:rPr>
            </w:pPr>
            <w:r>
              <w:rPr>
                <w:sz w:val="17"/>
              </w:rPr>
              <w:t xml:space="preserve">Daily benchmark rates are not intraday tradable quotes; </w:t>
            </w:r>
            <w:r>
              <w:rPr>
                <w:sz w:val="17"/>
              </w:rPr>
              <w:t>record the publication and observation dates.</w:t>
            </w:r>
          </w:p>
        </w:tc>
      </w:tr>
      <w:tr w:rsidR="00D236B7">
        <w:trPr>
          <w:jc w:val="center"/>
        </w:trPr>
        <w:tc>
          <w:tcPr>
            <w:tcW w:w="2520" w:type="dxa"/>
            <w:vAlign w:val="center"/>
          </w:tcPr>
          <w:p w:rsidR="00D236B7" w:rsidRDefault="0033239F">
            <w:pPr>
              <w:spacing w:after="40"/>
              <w:rPr>
                <w:rFonts w:hint="eastAsia"/>
              </w:rPr>
            </w:pPr>
            <w:r>
              <w:rPr>
                <w:sz w:val="17"/>
              </w:rPr>
              <w:t>EIA — https://www.eia.gov/petroleum/data.php</w:t>
            </w:r>
          </w:p>
        </w:tc>
        <w:tc>
          <w:tcPr>
            <w:tcW w:w="2520" w:type="dxa"/>
            <w:vAlign w:val="center"/>
          </w:tcPr>
          <w:p w:rsidR="00D236B7" w:rsidRDefault="0033239F">
            <w:pPr>
              <w:spacing w:after="40"/>
              <w:rPr>
                <w:rFonts w:hint="eastAsia"/>
              </w:rPr>
            </w:pPr>
            <w:r>
              <w:rPr>
                <w:sz w:val="17"/>
              </w:rPr>
              <w:t>US energy data and selected crude-oil series</w:t>
            </w:r>
          </w:p>
        </w:tc>
        <w:tc>
          <w:tcPr>
            <w:tcW w:w="2520" w:type="dxa"/>
            <w:vAlign w:val="center"/>
          </w:tcPr>
          <w:p w:rsidR="00D236B7" w:rsidRDefault="0033239F">
            <w:pPr>
              <w:spacing w:after="40"/>
              <w:rPr>
                <w:rFonts w:hint="eastAsia"/>
              </w:rPr>
            </w:pPr>
            <w:r>
              <w:rPr>
                <w:sz w:val="17"/>
              </w:rPr>
              <w:t>Official energy statistics; useful for context and some historical series</w:t>
            </w:r>
          </w:p>
        </w:tc>
        <w:tc>
          <w:tcPr>
            <w:tcW w:w="2520" w:type="dxa"/>
            <w:vAlign w:val="center"/>
          </w:tcPr>
          <w:p w:rsidR="00D236B7" w:rsidRDefault="0033239F">
            <w:pPr>
              <w:spacing w:after="40"/>
              <w:rPr>
                <w:rFonts w:hint="eastAsia"/>
              </w:rPr>
            </w:pPr>
            <w:r>
              <w:rPr>
                <w:sz w:val="17"/>
              </w:rPr>
              <w:t>Not every series is a global Brent spot feed;</w:t>
            </w:r>
            <w:r>
              <w:rPr>
                <w:sz w:val="17"/>
              </w:rPr>
              <w:t xml:space="preserve"> frequency and publication schedule </w:t>
            </w:r>
            <w:r>
              <w:rPr>
                <w:sz w:val="17"/>
              </w:rPr>
              <w:lastRenderedPageBreak/>
              <w:t>differ by dataset.</w:t>
            </w:r>
          </w:p>
        </w:tc>
      </w:tr>
      <w:tr w:rsidR="00D236B7">
        <w:trPr>
          <w:jc w:val="center"/>
        </w:trPr>
        <w:tc>
          <w:tcPr>
            <w:tcW w:w="2520" w:type="dxa"/>
            <w:vAlign w:val="center"/>
          </w:tcPr>
          <w:p w:rsidR="00D236B7" w:rsidRDefault="0033239F">
            <w:pPr>
              <w:spacing w:after="40"/>
              <w:rPr>
                <w:rFonts w:hint="eastAsia"/>
              </w:rPr>
            </w:pPr>
            <w:r>
              <w:rPr>
                <w:sz w:val="17"/>
              </w:rPr>
              <w:lastRenderedPageBreak/>
              <w:t>NSE Data &amp; Analytics — https://www.nse.in/static/nse-data-and-analytics/data-information-vending</w:t>
            </w:r>
          </w:p>
        </w:tc>
        <w:tc>
          <w:tcPr>
            <w:tcW w:w="2520" w:type="dxa"/>
            <w:vAlign w:val="center"/>
          </w:tcPr>
          <w:p w:rsidR="00D236B7" w:rsidRDefault="0033239F">
            <w:pPr>
              <w:spacing w:after="40"/>
              <w:rPr>
                <w:rFonts w:hint="eastAsia"/>
              </w:rPr>
            </w:pPr>
            <w:r>
              <w:rPr>
                <w:sz w:val="17"/>
              </w:rPr>
              <w:t>Indian market data products, including EOD/historical and real-time products</w:t>
            </w:r>
          </w:p>
        </w:tc>
        <w:tc>
          <w:tcPr>
            <w:tcW w:w="2520" w:type="dxa"/>
            <w:vAlign w:val="center"/>
          </w:tcPr>
          <w:p w:rsidR="00D236B7" w:rsidRDefault="0033239F">
            <w:pPr>
              <w:spacing w:after="40"/>
              <w:rPr>
                <w:rFonts w:hint="eastAsia"/>
              </w:rPr>
            </w:pPr>
            <w:r>
              <w:rPr>
                <w:sz w:val="17"/>
              </w:rPr>
              <w:t>Official exchange data pro</w:t>
            </w:r>
            <w:r>
              <w:rPr>
                <w:sz w:val="17"/>
              </w:rPr>
              <w:t>duct information and licensing details</w:t>
            </w:r>
          </w:p>
        </w:tc>
        <w:tc>
          <w:tcPr>
            <w:tcW w:w="2520" w:type="dxa"/>
            <w:vAlign w:val="center"/>
          </w:tcPr>
          <w:p w:rsidR="00D236B7" w:rsidRDefault="0033239F">
            <w:pPr>
              <w:spacing w:after="40"/>
              <w:rPr>
                <w:rFonts w:hint="eastAsia"/>
              </w:rPr>
            </w:pPr>
            <w:r>
              <w:rPr>
                <w:sz w:val="17"/>
              </w:rPr>
              <w:t>Paid products/licensing may be required; check redistribution and project-use rights.</w:t>
            </w:r>
          </w:p>
        </w:tc>
      </w:tr>
      <w:tr w:rsidR="00D236B7">
        <w:trPr>
          <w:jc w:val="center"/>
        </w:trPr>
        <w:tc>
          <w:tcPr>
            <w:tcW w:w="2520" w:type="dxa"/>
            <w:vAlign w:val="center"/>
          </w:tcPr>
          <w:p w:rsidR="00D236B7" w:rsidRDefault="0033239F">
            <w:pPr>
              <w:spacing w:after="40"/>
              <w:rPr>
                <w:rFonts w:hint="eastAsia"/>
              </w:rPr>
            </w:pPr>
            <w:r>
              <w:rPr>
                <w:sz w:val="17"/>
              </w:rPr>
              <w:t>NSE Historical Reports — https://www.nseindia.com/static/resources/historical-reports-capital-market-daily-monthly-archives</w:t>
            </w:r>
          </w:p>
        </w:tc>
        <w:tc>
          <w:tcPr>
            <w:tcW w:w="2520" w:type="dxa"/>
            <w:vAlign w:val="center"/>
          </w:tcPr>
          <w:p w:rsidR="00D236B7" w:rsidRDefault="0033239F">
            <w:pPr>
              <w:spacing w:after="40"/>
              <w:rPr>
                <w:rFonts w:hint="eastAsia"/>
              </w:rPr>
            </w:pPr>
            <w:r>
              <w:rPr>
                <w:sz w:val="17"/>
              </w:rPr>
              <w:t>Indian</w:t>
            </w:r>
            <w:r>
              <w:rPr>
                <w:sz w:val="17"/>
              </w:rPr>
              <w:t xml:space="preserve"> exchange reports, including currency and commodity derivative reports and RBI reference-rate links</w:t>
            </w:r>
          </w:p>
        </w:tc>
        <w:tc>
          <w:tcPr>
            <w:tcW w:w="2520" w:type="dxa"/>
            <w:vAlign w:val="center"/>
          </w:tcPr>
          <w:p w:rsidR="00D236B7" w:rsidRDefault="0033239F">
            <w:pPr>
              <w:spacing w:after="40"/>
              <w:rPr>
                <w:rFonts w:hint="eastAsia"/>
              </w:rPr>
            </w:pPr>
            <w:r>
              <w:rPr>
                <w:sz w:val="17"/>
              </w:rPr>
              <w:t>Useful official report/archive entry point</w:t>
            </w:r>
          </w:p>
        </w:tc>
        <w:tc>
          <w:tcPr>
            <w:tcW w:w="2520" w:type="dxa"/>
            <w:vAlign w:val="center"/>
          </w:tcPr>
          <w:p w:rsidR="00D236B7" w:rsidRDefault="0033239F">
            <w:pPr>
              <w:spacing w:after="40"/>
              <w:rPr>
                <w:rFonts w:hint="eastAsia"/>
              </w:rPr>
            </w:pPr>
            <w:r>
              <w:rPr>
                <w:sz w:val="17"/>
              </w:rPr>
              <w:t>Coverage differs by report; download format and historical completeness should be checked.</w:t>
            </w:r>
          </w:p>
        </w:tc>
      </w:tr>
      <w:tr w:rsidR="00D236B7">
        <w:trPr>
          <w:jc w:val="center"/>
        </w:trPr>
        <w:tc>
          <w:tcPr>
            <w:tcW w:w="2520" w:type="dxa"/>
            <w:vAlign w:val="center"/>
          </w:tcPr>
          <w:p w:rsidR="00D236B7" w:rsidRDefault="0033239F">
            <w:pPr>
              <w:spacing w:after="40"/>
              <w:rPr>
                <w:rFonts w:hint="eastAsia"/>
              </w:rPr>
            </w:pPr>
            <w:r>
              <w:rPr>
                <w:sz w:val="17"/>
              </w:rPr>
              <w:t xml:space="preserve">NSE Real-Time Data — </w:t>
            </w:r>
            <w:r>
              <w:rPr>
                <w:sz w:val="17"/>
              </w:rPr>
              <w:t>https://www.nseindia.com/static/market-data/real-time-data-subscription</w:t>
            </w:r>
          </w:p>
        </w:tc>
        <w:tc>
          <w:tcPr>
            <w:tcW w:w="2520" w:type="dxa"/>
            <w:vAlign w:val="center"/>
          </w:tcPr>
          <w:p w:rsidR="00D236B7" w:rsidRDefault="0033239F">
            <w:pPr>
              <w:spacing w:after="40"/>
              <w:rPr>
                <w:rFonts w:hint="eastAsia"/>
              </w:rPr>
            </w:pPr>
            <w:r>
              <w:rPr>
                <w:sz w:val="17"/>
              </w:rPr>
              <w:t>NSE real-time feeds and delayed snapshot products</w:t>
            </w:r>
          </w:p>
        </w:tc>
        <w:tc>
          <w:tcPr>
            <w:tcW w:w="2520" w:type="dxa"/>
            <w:vAlign w:val="center"/>
          </w:tcPr>
          <w:p w:rsidR="00D236B7" w:rsidRDefault="0033239F">
            <w:pPr>
              <w:spacing w:after="40"/>
              <w:rPr>
                <w:rFonts w:hint="eastAsia"/>
              </w:rPr>
            </w:pPr>
            <w:r>
              <w:rPr>
                <w:sz w:val="17"/>
              </w:rPr>
              <w:t>Clearly documents feed levels and product options</w:t>
            </w:r>
          </w:p>
        </w:tc>
        <w:tc>
          <w:tcPr>
            <w:tcW w:w="2520" w:type="dxa"/>
            <w:vAlign w:val="center"/>
          </w:tcPr>
          <w:p w:rsidR="00D236B7" w:rsidRDefault="0033239F">
            <w:pPr>
              <w:spacing w:after="40"/>
              <w:rPr>
                <w:rFonts w:hint="eastAsia"/>
              </w:rPr>
            </w:pPr>
            <w:r>
              <w:rPr>
                <w:sz w:val="17"/>
              </w:rPr>
              <w:t>Real-time and some snapshot products are commercial; the public page is not itself a</w:t>
            </w:r>
            <w:r>
              <w:rPr>
                <w:sz w:val="17"/>
              </w:rPr>
              <w:t xml:space="preserve"> free unlimited API.</w:t>
            </w:r>
          </w:p>
        </w:tc>
      </w:tr>
      <w:tr w:rsidR="00D236B7">
        <w:trPr>
          <w:jc w:val="center"/>
        </w:trPr>
        <w:tc>
          <w:tcPr>
            <w:tcW w:w="2520" w:type="dxa"/>
            <w:vAlign w:val="center"/>
          </w:tcPr>
          <w:p w:rsidR="00D236B7" w:rsidRDefault="0033239F">
            <w:pPr>
              <w:spacing w:after="40"/>
              <w:rPr>
                <w:rFonts w:hint="eastAsia"/>
              </w:rPr>
            </w:pPr>
            <w:r>
              <w:rPr>
                <w:sz w:val="17"/>
              </w:rPr>
              <w:t>Yahoo Finance / yfinance (third-party access)</w:t>
            </w:r>
          </w:p>
        </w:tc>
        <w:tc>
          <w:tcPr>
            <w:tcW w:w="2520" w:type="dxa"/>
            <w:vAlign w:val="center"/>
          </w:tcPr>
          <w:p w:rsidR="00D236B7" w:rsidRDefault="0033239F">
            <w:pPr>
              <w:spacing w:after="40"/>
              <w:rPr>
                <w:rFonts w:hint="eastAsia"/>
              </w:rPr>
            </w:pPr>
            <w:r>
              <w:rPr>
                <w:sz w:val="17"/>
              </w:rPr>
              <w:t>Convenient global equity/ETF/commodity proxies for exploration</w:t>
            </w:r>
          </w:p>
        </w:tc>
        <w:tc>
          <w:tcPr>
            <w:tcW w:w="2520" w:type="dxa"/>
            <w:vAlign w:val="center"/>
          </w:tcPr>
          <w:p w:rsidR="00D236B7" w:rsidRDefault="0033239F">
            <w:pPr>
              <w:spacing w:after="40"/>
              <w:rPr>
                <w:rFonts w:hint="eastAsia"/>
              </w:rPr>
            </w:pPr>
            <w:r>
              <w:rPr>
                <w:sz w:val="17"/>
              </w:rPr>
              <w:t>Easy to prototype and compare series</w:t>
            </w:r>
          </w:p>
        </w:tc>
        <w:tc>
          <w:tcPr>
            <w:tcW w:w="2520" w:type="dxa"/>
            <w:vAlign w:val="center"/>
          </w:tcPr>
          <w:p w:rsidR="00D236B7" w:rsidRDefault="0033239F">
            <w:pPr>
              <w:spacing w:after="40"/>
              <w:rPr>
                <w:rFonts w:hint="eastAsia"/>
              </w:rPr>
            </w:pPr>
            <w:r>
              <w:rPr>
                <w:sz w:val="17"/>
              </w:rPr>
              <w:t>Unofficial access, possible gaps/changes, instrument ambiguity, terms/licensing and reli</w:t>
            </w:r>
            <w:r>
              <w:rPr>
                <w:sz w:val="17"/>
              </w:rPr>
              <w:t>ability concerns; do not assume production-grade service.</w:t>
            </w:r>
          </w:p>
        </w:tc>
      </w:tr>
      <w:tr w:rsidR="00D236B7">
        <w:trPr>
          <w:jc w:val="center"/>
        </w:trPr>
        <w:tc>
          <w:tcPr>
            <w:tcW w:w="2520" w:type="dxa"/>
            <w:vAlign w:val="center"/>
          </w:tcPr>
          <w:p w:rsidR="00D236B7" w:rsidRDefault="0033239F">
            <w:pPr>
              <w:spacing w:after="40"/>
              <w:rPr>
                <w:rFonts w:hint="eastAsia"/>
              </w:rPr>
            </w:pPr>
            <w:r>
              <w:rPr>
                <w:sz w:val="17"/>
              </w:rPr>
              <w:t>Twelve Data / other market-data vendors</w:t>
            </w:r>
          </w:p>
        </w:tc>
        <w:tc>
          <w:tcPr>
            <w:tcW w:w="2520" w:type="dxa"/>
            <w:vAlign w:val="center"/>
          </w:tcPr>
          <w:p w:rsidR="00D236B7" w:rsidRDefault="0033239F">
            <w:pPr>
              <w:spacing w:after="40"/>
              <w:rPr>
                <w:rFonts w:hint="eastAsia"/>
              </w:rPr>
            </w:pPr>
            <w:r>
              <w:rPr>
                <w:sz w:val="17"/>
              </w:rPr>
              <w:t>Multi-asset prices via API depending on plan</w:t>
            </w:r>
          </w:p>
        </w:tc>
        <w:tc>
          <w:tcPr>
            <w:tcW w:w="2520" w:type="dxa"/>
            <w:vAlign w:val="center"/>
          </w:tcPr>
          <w:p w:rsidR="00D236B7" w:rsidRDefault="0033239F">
            <w:pPr>
              <w:spacing w:after="40"/>
              <w:rPr>
                <w:rFonts w:hint="eastAsia"/>
              </w:rPr>
            </w:pPr>
            <w:r>
              <w:rPr>
                <w:sz w:val="17"/>
              </w:rPr>
              <w:t>API-based integration may simplify collection</w:t>
            </w:r>
          </w:p>
        </w:tc>
        <w:tc>
          <w:tcPr>
            <w:tcW w:w="2520" w:type="dxa"/>
            <w:vAlign w:val="center"/>
          </w:tcPr>
          <w:p w:rsidR="00D236B7" w:rsidRDefault="0033239F">
            <w:pPr>
              <w:spacing w:after="40"/>
              <w:rPr>
                <w:rFonts w:hint="eastAsia"/>
              </w:rPr>
            </w:pPr>
            <w:r>
              <w:rPr>
                <w:sz w:val="17"/>
              </w:rPr>
              <w:t>Coverage, request limits, delayed vs real-time access, history dep</w:t>
            </w:r>
            <w:r>
              <w:rPr>
                <w:sz w:val="17"/>
              </w:rPr>
              <w:t>th, symbol availability, and commercial rights depend on current plan; verify before choosing.</w:t>
            </w:r>
          </w:p>
        </w:tc>
      </w:tr>
      <w:tr w:rsidR="00D236B7">
        <w:trPr>
          <w:jc w:val="center"/>
        </w:trPr>
        <w:tc>
          <w:tcPr>
            <w:tcW w:w="2520" w:type="dxa"/>
            <w:vAlign w:val="center"/>
          </w:tcPr>
          <w:p w:rsidR="00D236B7" w:rsidRDefault="0033239F">
            <w:pPr>
              <w:spacing w:after="40"/>
              <w:rPr>
                <w:rFonts w:hint="eastAsia"/>
              </w:rPr>
            </w:pPr>
            <w:r>
              <w:rPr>
                <w:sz w:val="17"/>
              </w:rPr>
              <w:t>World Gold Council — https://www.gold.org/</w:t>
            </w:r>
          </w:p>
        </w:tc>
        <w:tc>
          <w:tcPr>
            <w:tcW w:w="2520" w:type="dxa"/>
            <w:vAlign w:val="center"/>
          </w:tcPr>
          <w:p w:rsidR="00D236B7" w:rsidRDefault="0033239F">
            <w:pPr>
              <w:spacing w:after="40"/>
              <w:rPr>
                <w:rFonts w:hint="eastAsia"/>
              </w:rPr>
            </w:pPr>
            <w:r>
              <w:rPr>
                <w:sz w:val="17"/>
              </w:rPr>
              <w:t>Gold-market research and context</w:t>
            </w:r>
          </w:p>
        </w:tc>
        <w:tc>
          <w:tcPr>
            <w:tcW w:w="2520" w:type="dxa"/>
            <w:vAlign w:val="center"/>
          </w:tcPr>
          <w:p w:rsidR="00D236B7" w:rsidRDefault="0033239F">
            <w:pPr>
              <w:spacing w:after="40"/>
              <w:rPr>
                <w:rFonts w:hint="eastAsia"/>
              </w:rPr>
            </w:pPr>
            <w:r>
              <w:rPr>
                <w:sz w:val="17"/>
              </w:rPr>
              <w:t>Useful explanatory research and market reports</w:t>
            </w:r>
          </w:p>
        </w:tc>
        <w:tc>
          <w:tcPr>
            <w:tcW w:w="2520" w:type="dxa"/>
            <w:vAlign w:val="center"/>
          </w:tcPr>
          <w:p w:rsidR="00D236B7" w:rsidRDefault="0033239F">
            <w:pPr>
              <w:spacing w:after="40"/>
              <w:rPr>
                <w:rFonts w:hint="eastAsia"/>
              </w:rPr>
            </w:pPr>
            <w:r>
              <w:rPr>
                <w:sz w:val="17"/>
              </w:rPr>
              <w:t>Research publications do not necessar</w:t>
            </w:r>
            <w:r>
              <w:rPr>
                <w:sz w:val="17"/>
              </w:rPr>
              <w:t>ily provide a free raw-data feed suitable for model training.</w:t>
            </w:r>
          </w:p>
        </w:tc>
      </w:tr>
    </w:tbl>
    <w:p w:rsidR="00D236B7" w:rsidRDefault="00D236B7">
      <w:pPr>
        <w:rPr>
          <w:rFonts w:hint="eastAsia"/>
        </w:rPr>
      </w:pPr>
    </w:p>
    <w:p w:rsidR="00D236B7" w:rsidRDefault="0033239F">
      <w:pPr>
        <w:rPr>
          <w:rFonts w:hint="eastAsia"/>
        </w:rPr>
      </w:pPr>
      <w:r>
        <w:t>Vendor selection rule: first define the exact instrument and required timing, then confirm history depth, timestamps, adjustment methodology, API limits, cost, and licence. A provider having a</w:t>
      </w:r>
      <w:r>
        <w:t xml:space="preserve"> website or API does not mean all data are free or suitable for commercial use.</w:t>
      </w:r>
    </w:p>
    <w:p w:rsidR="00D236B7" w:rsidRDefault="0033239F">
      <w:pPr>
        <w:pStyle w:val="Heading1"/>
      </w:pPr>
      <w:r>
        <w:t>10. Availability Timing and Leakage Prevention</w:t>
      </w:r>
    </w:p>
    <w:p w:rsidR="00D236B7" w:rsidRDefault="0033239F">
      <w:pPr>
        <w:rPr>
          <w:rFonts w:hint="eastAsia"/>
        </w:rPr>
      </w:pPr>
      <w:r>
        <w:t>This is the most important implementation risk in cross-market features. A historical dataset may show a date label that hides wh</w:t>
      </w:r>
      <w:r>
        <w:t>en a value actually became observable.</w:t>
      </w:r>
    </w:p>
    <w:p w:rsidR="00D236B7" w:rsidRDefault="0033239F">
      <w:pPr>
        <w:pStyle w:val="ListBullet"/>
        <w:spacing w:after="40"/>
        <w:rPr>
          <w:rFonts w:hint="eastAsia"/>
        </w:rPr>
      </w:pPr>
      <w:r>
        <w:t>Store event_time, observed_at, published_at (where available), retrieved_at, source, and timezone. Convert timestamps to UTC internally while preserving original market timezone.</w:t>
      </w:r>
    </w:p>
    <w:p w:rsidR="00D236B7" w:rsidRDefault="0033239F">
      <w:pPr>
        <w:pStyle w:val="ListBullet"/>
        <w:spacing w:after="40"/>
        <w:rPr>
          <w:rFonts w:hint="eastAsia"/>
        </w:rPr>
      </w:pPr>
      <w:r>
        <w:t xml:space="preserve">Build a prediction-time snapshot. For </w:t>
      </w:r>
      <w:r>
        <w:t>a forecast made at 08:45 IST, use only observations that were public and complete by 08:45 IST. The previous US cash-market close is generally available, but verify daylight-saving shifts and holidays.</w:t>
      </w:r>
    </w:p>
    <w:p w:rsidR="00D236B7" w:rsidRDefault="0033239F">
      <w:pPr>
        <w:pStyle w:val="ListBullet"/>
        <w:spacing w:after="40"/>
        <w:rPr>
          <w:rFonts w:hint="eastAsia"/>
        </w:rPr>
      </w:pPr>
      <w:r>
        <w:t>Do not use today's US close to predict the same Indian</w:t>
      </w:r>
      <w:r>
        <w:t xml:space="preserve"> day's open: that US session occurs later. Map the latest completed foreign session to the next eligible Indian session.</w:t>
      </w:r>
    </w:p>
    <w:p w:rsidR="00D236B7" w:rsidRDefault="0033239F">
      <w:pPr>
        <w:pStyle w:val="ListBullet"/>
        <w:spacing w:after="40"/>
        <w:rPr>
          <w:rFonts w:hint="eastAsia"/>
        </w:rPr>
      </w:pPr>
      <w:r>
        <w:t>Do not treat all markets as having the same trading date. Japan, Hong Kong, Europe, and the US have different sessions, holidays, and c</w:t>
      </w:r>
      <w:r>
        <w:t>lose times.</w:t>
      </w:r>
    </w:p>
    <w:p w:rsidR="00D236B7" w:rsidRDefault="0033239F">
      <w:pPr>
        <w:pStyle w:val="ListBullet"/>
        <w:spacing w:after="40"/>
        <w:rPr>
          <w:rFonts w:hint="eastAsia"/>
        </w:rPr>
      </w:pPr>
      <w:r>
        <w:t>Use the exact contract/benchmark and rollover rule for oil futures. A continuous futures series may be back-adjusted and therefore differ from the price known at the time.</w:t>
      </w:r>
    </w:p>
    <w:p w:rsidR="00D236B7" w:rsidRDefault="0033239F">
      <w:pPr>
        <w:pStyle w:val="ListBullet"/>
        <w:spacing w:after="40"/>
        <w:rPr>
          <w:rFonts w:hint="eastAsia"/>
        </w:rPr>
      </w:pPr>
      <w:r>
        <w:t xml:space="preserve">Distinguish observation date from release date for economic event data. </w:t>
      </w:r>
      <w:r>
        <w:t>Actual and consensus must be the versions available at the time; revisions can leak future information.</w:t>
      </w:r>
    </w:p>
    <w:p w:rsidR="00D236B7" w:rsidRDefault="0033239F">
      <w:pPr>
        <w:pStyle w:val="ListBullet"/>
        <w:spacing w:after="40"/>
        <w:rPr>
          <w:rFonts w:hint="eastAsia"/>
        </w:rPr>
      </w:pPr>
      <w:r>
        <w:t>Fit scalers, z-score means/standard deviations, percentile thresholds, imputation values, feature selection, and regime thresholds on training data only</w:t>
      </w:r>
      <w:r>
        <w:t>.</w:t>
      </w:r>
    </w:p>
    <w:p w:rsidR="00D236B7" w:rsidRDefault="0033239F">
      <w:pPr>
        <w:pStyle w:val="ListBullet"/>
        <w:spacing w:after="40"/>
        <w:rPr>
          <w:rFonts w:hint="eastAsia"/>
        </w:rPr>
      </w:pPr>
      <w:r>
        <w:t>Use chronological train/validation/test splits or walk-forward validation; never randomly shuffle time-series rows for the primary performance estimate.</w:t>
      </w:r>
    </w:p>
    <w:p w:rsidR="00D236B7" w:rsidRDefault="0033239F">
      <w:pPr>
        <w:pStyle w:val="ListBullet"/>
        <w:spacing w:after="40"/>
        <w:rPr>
          <w:rFonts w:hint="eastAsia"/>
        </w:rPr>
      </w:pPr>
      <w:r>
        <w:t>Check look-ahead from market-close timestamps, vendor end-of-day batch timing, daylight-saving change</w:t>
      </w:r>
      <w:r>
        <w:t>s, and Indian exchange special sessions.</w:t>
      </w:r>
    </w:p>
    <w:p w:rsidR="00D236B7" w:rsidRDefault="0033239F">
      <w:pPr>
        <w:pStyle w:val="ListBullet"/>
        <w:spacing w:after="40"/>
        <w:rPr>
          <w:rFonts w:hint="eastAsia"/>
        </w:rPr>
      </w:pPr>
      <w:r>
        <w:lastRenderedPageBreak/>
        <w:t>Record data provenance and versioning. If a source revises historical values, preserve the vintage used by each experiment when possible.</w:t>
      </w:r>
    </w:p>
    <w:p w:rsidR="00D236B7" w:rsidRDefault="0033239F">
      <w:pPr>
        <w:pStyle w:val="Heading2"/>
      </w:pPr>
      <w:r>
        <w:t>10.1 Session-alignment example</w:t>
      </w:r>
    </w:p>
    <w:p w:rsidR="00D236B7" w:rsidRDefault="0033239F">
      <w:pPr>
        <w:rPr>
          <w:rFonts w:hint="eastAsia"/>
        </w:rPr>
      </w:pPr>
      <w:r>
        <w:t xml:space="preserve">Suppose the model predicts NIFTY direction at </w:t>
      </w:r>
      <w:r>
        <w:t>08:45 IST on Tuesday. It may use the latest completed US session that ended before that time, plus Asian-market values already observable by 08:45. It must not use Tuesday's US close, because that close occurs after the Indian session. If the model predict</w:t>
      </w:r>
      <w:r>
        <w:t>s after the Indian close instead, the eligible global data set and target must be defined differently.</w:t>
      </w:r>
    </w:p>
    <w:p w:rsidR="00D236B7" w:rsidRDefault="0033239F">
      <w:pPr>
        <w:pStyle w:val="Heading2"/>
      </w:pPr>
      <w:r>
        <w:t>10.2 Versioned data schema</w:t>
      </w:r>
    </w:p>
    <w:tbl>
      <w:tblPr>
        <w:tblStyle w:val="TableGrid"/>
        <w:tblW w:w="0" w:type="auto"/>
        <w:jc w:val="center"/>
        <w:tblLook w:val="04A0" w:firstRow="1" w:lastRow="0" w:firstColumn="1" w:lastColumn="0" w:noHBand="0" w:noVBand="1"/>
      </w:tblPr>
      <w:tblGrid>
        <w:gridCol w:w="5040"/>
        <w:gridCol w:w="5040"/>
      </w:tblGrid>
      <w:tr w:rsidR="00D236B7">
        <w:trPr>
          <w:jc w:val="center"/>
        </w:trPr>
        <w:tc>
          <w:tcPr>
            <w:tcW w:w="5040" w:type="dxa"/>
            <w:shd w:val="clear" w:color="auto" w:fill="D9EAF2"/>
            <w:vAlign w:val="center"/>
          </w:tcPr>
          <w:p w:rsidR="00D236B7" w:rsidRDefault="0033239F">
            <w:pPr>
              <w:spacing w:after="40"/>
              <w:rPr>
                <w:rFonts w:hint="eastAsia"/>
              </w:rPr>
            </w:pPr>
            <w:r>
              <w:rPr>
                <w:b/>
                <w:sz w:val="17"/>
              </w:rPr>
              <w:t>Field</w:t>
            </w:r>
          </w:p>
        </w:tc>
        <w:tc>
          <w:tcPr>
            <w:tcW w:w="5040" w:type="dxa"/>
            <w:shd w:val="clear" w:color="auto" w:fill="D9EAF2"/>
            <w:vAlign w:val="center"/>
          </w:tcPr>
          <w:p w:rsidR="00D236B7" w:rsidRDefault="0033239F">
            <w:pPr>
              <w:spacing w:after="40"/>
              <w:rPr>
                <w:rFonts w:hint="eastAsia"/>
              </w:rPr>
            </w:pPr>
            <w:r>
              <w:rPr>
                <w:b/>
                <w:sz w:val="17"/>
              </w:rPr>
              <w:t>Purpose</w:t>
            </w:r>
          </w:p>
        </w:tc>
      </w:tr>
      <w:tr w:rsidR="00D236B7">
        <w:trPr>
          <w:jc w:val="center"/>
        </w:trPr>
        <w:tc>
          <w:tcPr>
            <w:tcW w:w="5040" w:type="dxa"/>
            <w:vAlign w:val="center"/>
          </w:tcPr>
          <w:p w:rsidR="00D236B7" w:rsidRDefault="0033239F">
            <w:pPr>
              <w:spacing w:after="40"/>
              <w:rPr>
                <w:rFonts w:hint="eastAsia"/>
              </w:rPr>
            </w:pPr>
            <w:r>
              <w:rPr>
                <w:sz w:val="17"/>
              </w:rPr>
              <w:t>instrument_id</w:t>
            </w:r>
          </w:p>
        </w:tc>
        <w:tc>
          <w:tcPr>
            <w:tcW w:w="5040" w:type="dxa"/>
            <w:vAlign w:val="center"/>
          </w:tcPr>
          <w:p w:rsidR="00D236B7" w:rsidRDefault="0033239F">
            <w:pPr>
              <w:spacing w:after="40"/>
              <w:rPr>
                <w:rFonts w:hint="eastAsia"/>
              </w:rPr>
            </w:pPr>
            <w:r>
              <w:rPr>
                <w:sz w:val="17"/>
              </w:rPr>
              <w:t>Stable identifier; avoids ambiguous ticker names</w:t>
            </w:r>
          </w:p>
        </w:tc>
      </w:tr>
      <w:tr w:rsidR="00D236B7">
        <w:trPr>
          <w:jc w:val="center"/>
        </w:trPr>
        <w:tc>
          <w:tcPr>
            <w:tcW w:w="5040" w:type="dxa"/>
            <w:vAlign w:val="center"/>
          </w:tcPr>
          <w:p w:rsidR="00D236B7" w:rsidRDefault="0033239F">
            <w:pPr>
              <w:spacing w:after="40"/>
              <w:rPr>
                <w:rFonts w:hint="eastAsia"/>
              </w:rPr>
            </w:pPr>
            <w:r>
              <w:rPr>
                <w:sz w:val="17"/>
              </w:rPr>
              <w:t>observation_timestamp_utc</w:t>
            </w:r>
          </w:p>
        </w:tc>
        <w:tc>
          <w:tcPr>
            <w:tcW w:w="5040" w:type="dxa"/>
            <w:vAlign w:val="center"/>
          </w:tcPr>
          <w:p w:rsidR="00D236B7" w:rsidRDefault="0033239F">
            <w:pPr>
              <w:spacing w:after="40"/>
              <w:rPr>
                <w:rFonts w:hint="eastAsia"/>
              </w:rPr>
            </w:pPr>
            <w:r>
              <w:rPr>
                <w:sz w:val="17"/>
              </w:rPr>
              <w:t xml:space="preserve">When the market </w:t>
            </w:r>
            <w:r>
              <w:rPr>
                <w:sz w:val="17"/>
              </w:rPr>
              <w:t>observation refers to</w:t>
            </w:r>
          </w:p>
        </w:tc>
      </w:tr>
      <w:tr w:rsidR="00D236B7">
        <w:trPr>
          <w:jc w:val="center"/>
        </w:trPr>
        <w:tc>
          <w:tcPr>
            <w:tcW w:w="5040" w:type="dxa"/>
            <w:vAlign w:val="center"/>
          </w:tcPr>
          <w:p w:rsidR="00D236B7" w:rsidRDefault="0033239F">
            <w:pPr>
              <w:spacing w:after="40"/>
              <w:rPr>
                <w:rFonts w:hint="eastAsia"/>
              </w:rPr>
            </w:pPr>
            <w:r>
              <w:rPr>
                <w:sz w:val="17"/>
              </w:rPr>
              <w:t>available_timestamp_utc</w:t>
            </w:r>
          </w:p>
        </w:tc>
        <w:tc>
          <w:tcPr>
            <w:tcW w:w="5040" w:type="dxa"/>
            <w:vAlign w:val="center"/>
          </w:tcPr>
          <w:p w:rsidR="00D236B7" w:rsidRDefault="0033239F">
            <w:pPr>
              <w:spacing w:after="40"/>
              <w:rPr>
                <w:rFonts w:hint="eastAsia"/>
              </w:rPr>
            </w:pPr>
            <w:r>
              <w:rPr>
                <w:sz w:val="17"/>
              </w:rPr>
              <w:t>When the value could actually be used</w:t>
            </w:r>
          </w:p>
        </w:tc>
      </w:tr>
      <w:tr w:rsidR="00D236B7">
        <w:trPr>
          <w:jc w:val="center"/>
        </w:trPr>
        <w:tc>
          <w:tcPr>
            <w:tcW w:w="5040" w:type="dxa"/>
            <w:vAlign w:val="center"/>
          </w:tcPr>
          <w:p w:rsidR="00D236B7" w:rsidRDefault="0033239F">
            <w:pPr>
              <w:spacing w:after="40"/>
              <w:rPr>
                <w:rFonts w:hint="eastAsia"/>
              </w:rPr>
            </w:pPr>
            <w:r>
              <w:rPr>
                <w:sz w:val="17"/>
              </w:rPr>
              <w:t>session_date_local</w:t>
            </w:r>
          </w:p>
        </w:tc>
        <w:tc>
          <w:tcPr>
            <w:tcW w:w="5040" w:type="dxa"/>
            <w:vAlign w:val="center"/>
          </w:tcPr>
          <w:p w:rsidR="00D236B7" w:rsidRDefault="0033239F">
            <w:pPr>
              <w:spacing w:after="40"/>
              <w:rPr>
                <w:rFonts w:hint="eastAsia"/>
              </w:rPr>
            </w:pPr>
            <w:r>
              <w:rPr>
                <w:sz w:val="17"/>
              </w:rPr>
              <w:t>Original market session date</w:t>
            </w:r>
          </w:p>
        </w:tc>
      </w:tr>
      <w:tr w:rsidR="00D236B7">
        <w:trPr>
          <w:jc w:val="center"/>
        </w:trPr>
        <w:tc>
          <w:tcPr>
            <w:tcW w:w="5040" w:type="dxa"/>
            <w:vAlign w:val="center"/>
          </w:tcPr>
          <w:p w:rsidR="00D236B7" w:rsidRDefault="0033239F">
            <w:pPr>
              <w:spacing w:after="40"/>
              <w:rPr>
                <w:rFonts w:hint="eastAsia"/>
              </w:rPr>
            </w:pPr>
            <w:r>
              <w:rPr>
                <w:sz w:val="17"/>
              </w:rPr>
              <w:t>value</w:t>
            </w:r>
          </w:p>
        </w:tc>
        <w:tc>
          <w:tcPr>
            <w:tcW w:w="5040" w:type="dxa"/>
            <w:vAlign w:val="center"/>
          </w:tcPr>
          <w:p w:rsidR="00D236B7" w:rsidRDefault="0033239F">
            <w:pPr>
              <w:spacing w:after="40"/>
              <w:rPr>
                <w:rFonts w:hint="eastAsia"/>
              </w:rPr>
            </w:pPr>
            <w:r>
              <w:rPr>
                <w:sz w:val="17"/>
              </w:rPr>
              <w:t>Raw value, before feature transformation</w:t>
            </w:r>
          </w:p>
        </w:tc>
      </w:tr>
      <w:tr w:rsidR="00D236B7">
        <w:trPr>
          <w:jc w:val="center"/>
        </w:trPr>
        <w:tc>
          <w:tcPr>
            <w:tcW w:w="5040" w:type="dxa"/>
            <w:vAlign w:val="center"/>
          </w:tcPr>
          <w:p w:rsidR="00D236B7" w:rsidRDefault="0033239F">
            <w:pPr>
              <w:spacing w:after="40"/>
              <w:rPr>
                <w:rFonts w:hint="eastAsia"/>
              </w:rPr>
            </w:pPr>
            <w:r>
              <w:rPr>
                <w:sz w:val="17"/>
              </w:rPr>
              <w:t>unit / quote_convention</w:t>
            </w:r>
          </w:p>
        </w:tc>
        <w:tc>
          <w:tcPr>
            <w:tcW w:w="5040" w:type="dxa"/>
            <w:vAlign w:val="center"/>
          </w:tcPr>
          <w:p w:rsidR="00D236B7" w:rsidRDefault="0033239F">
            <w:pPr>
              <w:spacing w:after="40"/>
              <w:rPr>
                <w:rFonts w:hint="eastAsia"/>
              </w:rPr>
            </w:pPr>
            <w:r>
              <w:rPr>
                <w:sz w:val="17"/>
              </w:rPr>
              <w:t>Percent, basis points, USD/barrel, USD/INR, index</w:t>
            </w:r>
            <w:r>
              <w:rPr>
                <w:sz w:val="17"/>
              </w:rPr>
              <w:t xml:space="preserve"> points, etc.</w:t>
            </w:r>
          </w:p>
        </w:tc>
      </w:tr>
      <w:tr w:rsidR="00D236B7">
        <w:trPr>
          <w:jc w:val="center"/>
        </w:trPr>
        <w:tc>
          <w:tcPr>
            <w:tcW w:w="5040" w:type="dxa"/>
            <w:vAlign w:val="center"/>
          </w:tcPr>
          <w:p w:rsidR="00D236B7" w:rsidRDefault="0033239F">
            <w:pPr>
              <w:spacing w:after="40"/>
              <w:rPr>
                <w:rFonts w:hint="eastAsia"/>
              </w:rPr>
            </w:pPr>
            <w:r>
              <w:rPr>
                <w:sz w:val="17"/>
              </w:rPr>
              <w:t>source / source_url</w:t>
            </w:r>
          </w:p>
        </w:tc>
        <w:tc>
          <w:tcPr>
            <w:tcW w:w="5040" w:type="dxa"/>
            <w:vAlign w:val="center"/>
          </w:tcPr>
          <w:p w:rsidR="00D236B7" w:rsidRDefault="0033239F">
            <w:pPr>
              <w:spacing w:after="40"/>
              <w:rPr>
                <w:rFonts w:hint="eastAsia"/>
              </w:rPr>
            </w:pPr>
            <w:r>
              <w:rPr>
                <w:sz w:val="17"/>
              </w:rPr>
              <w:t>Lineage and audit trail</w:t>
            </w:r>
          </w:p>
        </w:tc>
      </w:tr>
      <w:tr w:rsidR="00D236B7">
        <w:trPr>
          <w:jc w:val="center"/>
        </w:trPr>
        <w:tc>
          <w:tcPr>
            <w:tcW w:w="5040" w:type="dxa"/>
            <w:vAlign w:val="center"/>
          </w:tcPr>
          <w:p w:rsidR="00D236B7" w:rsidRDefault="0033239F">
            <w:pPr>
              <w:spacing w:after="40"/>
              <w:rPr>
                <w:rFonts w:hint="eastAsia"/>
              </w:rPr>
            </w:pPr>
            <w:r>
              <w:rPr>
                <w:sz w:val="17"/>
              </w:rPr>
              <w:t>revision_or_vintage</w:t>
            </w:r>
          </w:p>
        </w:tc>
        <w:tc>
          <w:tcPr>
            <w:tcW w:w="5040" w:type="dxa"/>
            <w:vAlign w:val="center"/>
          </w:tcPr>
          <w:p w:rsidR="00D236B7" w:rsidRDefault="0033239F">
            <w:pPr>
              <w:spacing w:after="40"/>
              <w:rPr>
                <w:rFonts w:hint="eastAsia"/>
              </w:rPr>
            </w:pPr>
            <w:r>
              <w:rPr>
                <w:sz w:val="17"/>
              </w:rPr>
              <w:t>Identifies updated or revised values where applicable</w:t>
            </w:r>
          </w:p>
        </w:tc>
      </w:tr>
      <w:tr w:rsidR="00D236B7">
        <w:trPr>
          <w:jc w:val="center"/>
        </w:trPr>
        <w:tc>
          <w:tcPr>
            <w:tcW w:w="5040" w:type="dxa"/>
            <w:vAlign w:val="center"/>
          </w:tcPr>
          <w:p w:rsidR="00D236B7" w:rsidRDefault="0033239F">
            <w:pPr>
              <w:spacing w:after="40"/>
              <w:rPr>
                <w:rFonts w:hint="eastAsia"/>
              </w:rPr>
            </w:pPr>
            <w:r>
              <w:rPr>
                <w:sz w:val="17"/>
              </w:rPr>
              <w:t>is_stale / missing_reason</w:t>
            </w:r>
          </w:p>
        </w:tc>
        <w:tc>
          <w:tcPr>
            <w:tcW w:w="5040" w:type="dxa"/>
            <w:vAlign w:val="center"/>
          </w:tcPr>
          <w:p w:rsidR="00D236B7" w:rsidRDefault="0033239F">
            <w:pPr>
              <w:spacing w:after="40"/>
              <w:rPr>
                <w:rFonts w:hint="eastAsia"/>
              </w:rPr>
            </w:pPr>
            <w:r>
              <w:rPr>
                <w:sz w:val="17"/>
              </w:rPr>
              <w:t>Separates real market closure from data failure</w:t>
            </w:r>
          </w:p>
        </w:tc>
      </w:tr>
      <w:tr w:rsidR="00D236B7">
        <w:trPr>
          <w:jc w:val="center"/>
        </w:trPr>
        <w:tc>
          <w:tcPr>
            <w:tcW w:w="5040" w:type="dxa"/>
            <w:vAlign w:val="center"/>
          </w:tcPr>
          <w:p w:rsidR="00D236B7" w:rsidRDefault="0033239F">
            <w:pPr>
              <w:spacing w:after="40"/>
              <w:rPr>
                <w:rFonts w:hint="eastAsia"/>
              </w:rPr>
            </w:pPr>
            <w:r>
              <w:rPr>
                <w:sz w:val="17"/>
              </w:rPr>
              <w:t>contract_or_series_method</w:t>
            </w:r>
          </w:p>
        </w:tc>
        <w:tc>
          <w:tcPr>
            <w:tcW w:w="5040" w:type="dxa"/>
            <w:vAlign w:val="center"/>
          </w:tcPr>
          <w:p w:rsidR="00D236B7" w:rsidRDefault="0033239F">
            <w:pPr>
              <w:spacing w:after="40"/>
              <w:rPr>
                <w:rFonts w:hint="eastAsia"/>
              </w:rPr>
            </w:pPr>
            <w:r>
              <w:rPr>
                <w:sz w:val="17"/>
              </w:rPr>
              <w:t xml:space="preserve">Documents futures </w:t>
            </w:r>
            <w:r>
              <w:rPr>
                <w:sz w:val="17"/>
              </w:rPr>
              <w:t>roll, adjusted close, benchmark, or methodology</w:t>
            </w:r>
          </w:p>
        </w:tc>
      </w:tr>
    </w:tbl>
    <w:p w:rsidR="00D236B7" w:rsidRDefault="00D236B7">
      <w:pPr>
        <w:rPr>
          <w:rFonts w:hint="eastAsia"/>
        </w:rPr>
      </w:pPr>
    </w:p>
    <w:p w:rsidR="00D236B7" w:rsidRDefault="0033239F">
      <w:pPr>
        <w:pStyle w:val="Heading1"/>
      </w:pPr>
      <w:r>
        <w:t>11. Suggested Data Architecture</w:t>
      </w:r>
    </w:p>
    <w:p w:rsidR="00D236B7" w:rsidRDefault="0033239F">
      <w:pPr>
        <w:pStyle w:val="ListNumber"/>
        <w:spacing w:after="60"/>
        <w:rPr>
          <w:rFonts w:hint="eastAsia"/>
        </w:rPr>
      </w:pPr>
      <w:r>
        <w:t>Layer 1 — Raw ingestion: save source responses/files unchanged with retrieval timestamps and source metadata.</w:t>
      </w:r>
    </w:p>
    <w:p w:rsidR="00D236B7" w:rsidRDefault="0033239F">
      <w:pPr>
        <w:pStyle w:val="ListNumber"/>
        <w:spacing w:after="60"/>
        <w:rPr>
          <w:rFonts w:hint="eastAsia"/>
        </w:rPr>
      </w:pPr>
      <w:r>
        <w:t>Layer 2 — Normalisation: harmonise timezone, units, identifiers,</w:t>
      </w:r>
      <w:r>
        <w:t xml:space="preserve"> trading calendars, duplicate rows, and missing-value semantics.</w:t>
      </w:r>
    </w:p>
    <w:p w:rsidR="00D236B7" w:rsidRDefault="0033239F">
      <w:pPr>
        <w:pStyle w:val="ListNumber"/>
        <w:spacing w:after="60"/>
        <w:rPr>
          <w:rFonts w:hint="eastAsia"/>
        </w:rPr>
      </w:pPr>
      <w:r>
        <w:t>Layer 3 — Session alignment: for every Indian prediction timestamp, select only the latest valid observation available before that timestamp.</w:t>
      </w:r>
    </w:p>
    <w:p w:rsidR="00D236B7" w:rsidRDefault="0033239F">
      <w:pPr>
        <w:pStyle w:val="ListNumber"/>
        <w:spacing w:after="60"/>
        <w:rPr>
          <w:rFonts w:hint="eastAsia"/>
        </w:rPr>
      </w:pPr>
      <w:r>
        <w:t>Layer 4 — Feature engineering: calculate returns,</w:t>
      </w:r>
      <w:r>
        <w:t xml:space="preserve"> changes, rolling volatility, percentiles, slopes, and interaction terms with strictly backward-looking windows.</w:t>
      </w:r>
    </w:p>
    <w:p w:rsidR="00D236B7" w:rsidRDefault="0033239F">
      <w:pPr>
        <w:pStyle w:val="ListNumber"/>
        <w:spacing w:after="60"/>
        <w:rPr>
          <w:rFonts w:hint="eastAsia"/>
        </w:rPr>
      </w:pPr>
      <w:r>
        <w:t>Layer 5 — Dataset assembly: join features to the target using the prediction timestamp; log rows dropped and why.</w:t>
      </w:r>
    </w:p>
    <w:p w:rsidR="00D236B7" w:rsidRDefault="0033239F">
      <w:pPr>
        <w:pStyle w:val="ListNumber"/>
        <w:spacing w:after="60"/>
        <w:rPr>
          <w:rFonts w:hint="eastAsia"/>
        </w:rPr>
      </w:pPr>
      <w:r>
        <w:t>Layer 6 — Experiment registry</w:t>
      </w:r>
      <w:r>
        <w:t>: record data version, feature set, target, split dates, model parameters, baseline scores, and code version.</w:t>
      </w:r>
    </w:p>
    <w:p w:rsidR="00D236B7" w:rsidRDefault="0033239F">
      <w:pPr>
        <w:pStyle w:val="ListNumber"/>
        <w:spacing w:after="60"/>
        <w:rPr>
          <w:rFonts w:hint="eastAsia"/>
        </w:rPr>
      </w:pPr>
      <w:r>
        <w:t>Layer 7 — Monitoring: detect stale feeds, schema changes, distribution drift, unexpected missingness, and changed correlations.</w:t>
      </w:r>
    </w:p>
    <w:p w:rsidR="00D236B7" w:rsidRDefault="0033239F">
      <w:pPr>
        <w:pStyle w:val="Heading1"/>
      </w:pPr>
      <w:r>
        <w:t>12. How to Test Wh</w:t>
      </w:r>
      <w:r>
        <w:t>ether These Features Help</w:t>
      </w:r>
    </w:p>
    <w:p w:rsidR="00D236B7" w:rsidRDefault="0033239F">
      <w:pPr>
        <w:pStyle w:val="ListNumber"/>
        <w:spacing w:after="60"/>
        <w:rPr>
          <w:rFonts w:hint="eastAsia"/>
        </w:rPr>
      </w:pPr>
      <w:r>
        <w:t>Create a baseline using only lagged Indian target/index features and a simple model (e.g., logistic regression for direction or linear regression for return).</w:t>
      </w:r>
    </w:p>
    <w:p w:rsidR="00D236B7" w:rsidRDefault="0033239F">
      <w:pPr>
        <w:pStyle w:val="ListNumber"/>
        <w:spacing w:after="60"/>
        <w:rPr>
          <w:rFonts w:hint="eastAsia"/>
        </w:rPr>
      </w:pPr>
      <w:r>
        <w:t>Add global equity returns as one feature group; measure the incremental</w:t>
      </w:r>
      <w:r>
        <w:t xml:space="preserve"> change on a time-ordered test set.</w:t>
      </w:r>
    </w:p>
    <w:p w:rsidR="00D236B7" w:rsidRDefault="0033239F">
      <w:pPr>
        <w:pStyle w:val="ListNumber"/>
        <w:spacing w:after="60"/>
        <w:rPr>
          <w:rFonts w:hint="eastAsia"/>
        </w:rPr>
      </w:pPr>
      <w:r>
        <w:t>Add FX and oil; then yields; then volatility/safe-haven features. Avoid adding every variable simultaneously because attribution becomes difficult.</w:t>
      </w:r>
    </w:p>
    <w:p w:rsidR="00D236B7" w:rsidRDefault="0033239F">
      <w:pPr>
        <w:pStyle w:val="ListNumber"/>
        <w:spacing w:after="60"/>
        <w:rPr>
          <w:rFonts w:hint="eastAsia"/>
        </w:rPr>
      </w:pPr>
      <w:r>
        <w:t>Compare against a simple no-skill benchmark: majority class for directio</w:t>
      </w:r>
      <w:r>
        <w:t>n, zero-return forecast for return, or historical mean/volatility where appropriate.</w:t>
      </w:r>
    </w:p>
    <w:p w:rsidR="00D236B7" w:rsidRDefault="0033239F">
      <w:pPr>
        <w:pStyle w:val="ListNumber"/>
        <w:spacing w:after="60"/>
        <w:rPr>
          <w:rFonts w:hint="eastAsia"/>
        </w:rPr>
      </w:pPr>
      <w:r>
        <w:t>Evaluate classification with accuracy plus balanced accuracy, precision/recall, ROC-AUC where useful, and calibration. Evaluate return forecasts with MAE/RMSE and economic</w:t>
      </w:r>
      <w:r>
        <w:t>ally meaningful out-of-sample diagnostics.</w:t>
      </w:r>
    </w:p>
    <w:p w:rsidR="00D236B7" w:rsidRDefault="0033239F">
      <w:pPr>
        <w:pStyle w:val="ListNumber"/>
        <w:spacing w:after="60"/>
        <w:rPr>
          <w:rFonts w:hint="eastAsia"/>
        </w:rPr>
      </w:pPr>
      <w:r>
        <w:t>Check whether results persist across multiple market regimes and subperiods, not just one favourable test window.</w:t>
      </w:r>
    </w:p>
    <w:p w:rsidR="00D236B7" w:rsidRDefault="0033239F">
      <w:pPr>
        <w:pStyle w:val="ListNumber"/>
        <w:spacing w:after="60"/>
        <w:rPr>
          <w:rFonts w:hint="eastAsia"/>
        </w:rPr>
      </w:pPr>
      <w:r>
        <w:t xml:space="preserve">Account for transaction costs, slippage, turnover, and execution timing before making claims about </w:t>
      </w:r>
      <w:r>
        <w:t>tradability.</w:t>
      </w:r>
    </w:p>
    <w:p w:rsidR="00D236B7" w:rsidRDefault="0033239F">
      <w:pPr>
        <w:pStyle w:val="ListNumber"/>
        <w:spacing w:after="60"/>
        <w:rPr>
          <w:rFonts w:hint="eastAsia"/>
        </w:rPr>
      </w:pPr>
      <w:r>
        <w:t>Test incremental value against existing categories: technical/market, macro/inflation, fundamental/company, and sentiment/investor behaviour.</w:t>
      </w:r>
    </w:p>
    <w:p w:rsidR="00D236B7" w:rsidRDefault="0033239F">
      <w:pPr>
        <w:pStyle w:val="ListNumber"/>
        <w:spacing w:after="60"/>
        <w:rPr>
          <w:rFonts w:hint="eastAsia"/>
        </w:rPr>
      </w:pPr>
      <w:r>
        <w:lastRenderedPageBreak/>
        <w:t>Use ablation tests and feature importance cautiously; correlated features can split or distort import</w:t>
      </w:r>
      <w:r>
        <w:t>ance. Predictive association is not causal proof.</w:t>
      </w:r>
    </w:p>
    <w:p w:rsidR="00D236B7" w:rsidRDefault="0033239F">
      <w:pPr>
        <w:pStyle w:val="ListNumber"/>
        <w:spacing w:after="60"/>
        <w:rPr>
          <w:rFonts w:hint="eastAsia"/>
        </w:rPr>
      </w:pPr>
      <w:r>
        <w:t>Keep the final test period untouched until feature definitions and model-selection decisions are frozen.</w:t>
      </w:r>
    </w:p>
    <w:p w:rsidR="00D236B7" w:rsidRDefault="0033239F">
      <w:pPr>
        <w:pStyle w:val="Heading1"/>
      </w:pPr>
      <w:r>
        <w:t>13. Likely Blockers and Mitigations</w:t>
      </w:r>
    </w:p>
    <w:tbl>
      <w:tblPr>
        <w:tblStyle w:val="TableGrid"/>
        <w:tblW w:w="0" w:type="auto"/>
        <w:jc w:val="center"/>
        <w:tblLook w:val="04A0" w:firstRow="1" w:lastRow="0" w:firstColumn="1" w:lastColumn="0" w:noHBand="0" w:noVBand="1"/>
      </w:tblPr>
      <w:tblGrid>
        <w:gridCol w:w="3360"/>
        <w:gridCol w:w="3360"/>
        <w:gridCol w:w="3360"/>
      </w:tblGrid>
      <w:tr w:rsidR="00D236B7">
        <w:trPr>
          <w:jc w:val="center"/>
        </w:trPr>
        <w:tc>
          <w:tcPr>
            <w:tcW w:w="3360" w:type="dxa"/>
            <w:shd w:val="clear" w:color="auto" w:fill="D9EAF2"/>
            <w:vAlign w:val="center"/>
          </w:tcPr>
          <w:p w:rsidR="00D236B7" w:rsidRDefault="0033239F">
            <w:pPr>
              <w:spacing w:after="40"/>
              <w:rPr>
                <w:rFonts w:hint="eastAsia"/>
              </w:rPr>
            </w:pPr>
            <w:r>
              <w:rPr>
                <w:b/>
                <w:sz w:val="17"/>
              </w:rPr>
              <w:t>Blocker</w:t>
            </w:r>
          </w:p>
        </w:tc>
        <w:tc>
          <w:tcPr>
            <w:tcW w:w="3360" w:type="dxa"/>
            <w:shd w:val="clear" w:color="auto" w:fill="D9EAF2"/>
            <w:vAlign w:val="center"/>
          </w:tcPr>
          <w:p w:rsidR="00D236B7" w:rsidRDefault="0033239F">
            <w:pPr>
              <w:spacing w:after="40"/>
              <w:rPr>
                <w:rFonts w:hint="eastAsia"/>
              </w:rPr>
            </w:pPr>
            <w:r>
              <w:rPr>
                <w:b/>
                <w:sz w:val="17"/>
              </w:rPr>
              <w:t>Why it matters</w:t>
            </w:r>
          </w:p>
        </w:tc>
        <w:tc>
          <w:tcPr>
            <w:tcW w:w="3360" w:type="dxa"/>
            <w:shd w:val="clear" w:color="auto" w:fill="D9EAF2"/>
            <w:vAlign w:val="center"/>
          </w:tcPr>
          <w:p w:rsidR="00D236B7" w:rsidRDefault="0033239F">
            <w:pPr>
              <w:spacing w:after="40"/>
              <w:rPr>
                <w:rFonts w:hint="eastAsia"/>
              </w:rPr>
            </w:pPr>
            <w:r>
              <w:rPr>
                <w:b/>
                <w:sz w:val="17"/>
              </w:rPr>
              <w:t>Mitigation</w:t>
            </w:r>
          </w:p>
        </w:tc>
      </w:tr>
      <w:tr w:rsidR="00D236B7">
        <w:trPr>
          <w:jc w:val="center"/>
        </w:trPr>
        <w:tc>
          <w:tcPr>
            <w:tcW w:w="3360" w:type="dxa"/>
            <w:vAlign w:val="center"/>
          </w:tcPr>
          <w:p w:rsidR="00D236B7" w:rsidRDefault="0033239F">
            <w:pPr>
              <w:spacing w:after="40"/>
              <w:rPr>
                <w:rFonts w:hint="eastAsia"/>
              </w:rPr>
            </w:pPr>
            <w:r>
              <w:rPr>
                <w:sz w:val="17"/>
              </w:rPr>
              <w:t xml:space="preserve">Free historical data is </w:t>
            </w:r>
            <w:r>
              <w:rPr>
                <w:sz w:val="17"/>
              </w:rPr>
              <w:t>incomplete or unstable</w:t>
            </w:r>
          </w:p>
        </w:tc>
        <w:tc>
          <w:tcPr>
            <w:tcW w:w="3360" w:type="dxa"/>
            <w:vAlign w:val="center"/>
          </w:tcPr>
          <w:p w:rsidR="00D236B7" w:rsidRDefault="0033239F">
            <w:pPr>
              <w:spacing w:after="40"/>
              <w:rPr>
                <w:rFonts w:hint="eastAsia"/>
              </w:rPr>
            </w:pPr>
            <w:r>
              <w:rPr>
                <w:sz w:val="17"/>
              </w:rPr>
              <w:t>Research can become non-reproducible; API endpoints may change</w:t>
            </w:r>
          </w:p>
        </w:tc>
        <w:tc>
          <w:tcPr>
            <w:tcW w:w="3360" w:type="dxa"/>
            <w:vAlign w:val="center"/>
          </w:tcPr>
          <w:p w:rsidR="00D236B7" w:rsidRDefault="0033239F">
            <w:pPr>
              <w:spacing w:after="40"/>
              <w:rPr>
                <w:rFonts w:hint="eastAsia"/>
              </w:rPr>
            </w:pPr>
            <w:r>
              <w:rPr>
                <w:sz w:val="17"/>
              </w:rPr>
              <w:t>Prototype with accessible sources, then verify licensing, continuity and a paid/official fallback.</w:t>
            </w:r>
          </w:p>
        </w:tc>
      </w:tr>
      <w:tr w:rsidR="00D236B7">
        <w:trPr>
          <w:jc w:val="center"/>
        </w:trPr>
        <w:tc>
          <w:tcPr>
            <w:tcW w:w="3360" w:type="dxa"/>
            <w:vAlign w:val="center"/>
          </w:tcPr>
          <w:p w:rsidR="00D236B7" w:rsidRDefault="0033239F">
            <w:pPr>
              <w:spacing w:after="40"/>
              <w:rPr>
                <w:rFonts w:hint="eastAsia"/>
              </w:rPr>
            </w:pPr>
            <w:r>
              <w:rPr>
                <w:sz w:val="17"/>
              </w:rPr>
              <w:t>Different market close times</w:t>
            </w:r>
          </w:p>
        </w:tc>
        <w:tc>
          <w:tcPr>
            <w:tcW w:w="3360" w:type="dxa"/>
            <w:vAlign w:val="center"/>
          </w:tcPr>
          <w:p w:rsidR="00D236B7" w:rsidRDefault="0033239F">
            <w:pPr>
              <w:spacing w:after="40"/>
              <w:rPr>
                <w:rFonts w:hint="eastAsia"/>
              </w:rPr>
            </w:pPr>
            <w:r>
              <w:rPr>
                <w:sz w:val="17"/>
              </w:rPr>
              <w:t>Incorrect joins create look-ahead leakage</w:t>
            </w:r>
          </w:p>
        </w:tc>
        <w:tc>
          <w:tcPr>
            <w:tcW w:w="3360" w:type="dxa"/>
            <w:vAlign w:val="center"/>
          </w:tcPr>
          <w:p w:rsidR="00D236B7" w:rsidRDefault="0033239F">
            <w:pPr>
              <w:spacing w:after="40"/>
              <w:rPr>
                <w:rFonts w:hint="eastAsia"/>
              </w:rPr>
            </w:pPr>
            <w:r>
              <w:rPr>
                <w:sz w:val="17"/>
              </w:rPr>
              <w:t>Create exchange calendars and timestamp-based as-of joins.</w:t>
            </w:r>
          </w:p>
        </w:tc>
      </w:tr>
      <w:tr w:rsidR="00D236B7">
        <w:trPr>
          <w:jc w:val="center"/>
        </w:trPr>
        <w:tc>
          <w:tcPr>
            <w:tcW w:w="3360" w:type="dxa"/>
            <w:vAlign w:val="center"/>
          </w:tcPr>
          <w:p w:rsidR="00D236B7" w:rsidRDefault="0033239F">
            <w:pPr>
              <w:spacing w:after="40"/>
              <w:rPr>
                <w:rFonts w:hint="eastAsia"/>
              </w:rPr>
            </w:pPr>
            <w:r>
              <w:rPr>
                <w:sz w:val="17"/>
              </w:rPr>
              <w:t>Currency quote confusion</w:t>
            </w:r>
          </w:p>
        </w:tc>
        <w:tc>
          <w:tcPr>
            <w:tcW w:w="3360" w:type="dxa"/>
            <w:vAlign w:val="center"/>
          </w:tcPr>
          <w:p w:rsidR="00D236B7" w:rsidRDefault="0033239F">
            <w:pPr>
              <w:spacing w:after="40"/>
              <w:rPr>
                <w:rFonts w:hint="eastAsia"/>
              </w:rPr>
            </w:pPr>
            <w:r>
              <w:rPr>
                <w:sz w:val="17"/>
              </w:rPr>
              <w:t>A sign error can reverse interpretation</w:t>
            </w:r>
          </w:p>
        </w:tc>
        <w:tc>
          <w:tcPr>
            <w:tcW w:w="3360" w:type="dxa"/>
            <w:vAlign w:val="center"/>
          </w:tcPr>
          <w:p w:rsidR="00D236B7" w:rsidRDefault="0033239F">
            <w:pPr>
              <w:spacing w:after="40"/>
              <w:rPr>
                <w:rFonts w:hint="eastAsia"/>
              </w:rPr>
            </w:pPr>
            <w:r>
              <w:rPr>
                <w:sz w:val="17"/>
              </w:rPr>
              <w:t>Store pair notation and base/quote currency explicitly; test with known examples.</w:t>
            </w:r>
          </w:p>
        </w:tc>
      </w:tr>
      <w:tr w:rsidR="00D236B7">
        <w:trPr>
          <w:jc w:val="center"/>
        </w:trPr>
        <w:tc>
          <w:tcPr>
            <w:tcW w:w="3360" w:type="dxa"/>
            <w:vAlign w:val="center"/>
          </w:tcPr>
          <w:p w:rsidR="00D236B7" w:rsidRDefault="0033239F">
            <w:pPr>
              <w:spacing w:after="40"/>
              <w:rPr>
                <w:rFonts w:hint="eastAsia"/>
              </w:rPr>
            </w:pPr>
            <w:r>
              <w:rPr>
                <w:sz w:val="17"/>
              </w:rPr>
              <w:t>Oil futures roll effects</w:t>
            </w:r>
          </w:p>
        </w:tc>
        <w:tc>
          <w:tcPr>
            <w:tcW w:w="3360" w:type="dxa"/>
            <w:vAlign w:val="center"/>
          </w:tcPr>
          <w:p w:rsidR="00D236B7" w:rsidRDefault="0033239F">
            <w:pPr>
              <w:spacing w:after="40"/>
              <w:rPr>
                <w:rFonts w:hint="eastAsia"/>
              </w:rPr>
            </w:pPr>
            <w:r>
              <w:rPr>
                <w:sz w:val="17"/>
              </w:rPr>
              <w:t xml:space="preserve">Artificial jumps can </w:t>
            </w:r>
            <w:r>
              <w:rPr>
                <w:sz w:val="17"/>
              </w:rPr>
              <w:t>appear in continuous contracts</w:t>
            </w:r>
          </w:p>
        </w:tc>
        <w:tc>
          <w:tcPr>
            <w:tcW w:w="3360" w:type="dxa"/>
            <w:vAlign w:val="center"/>
          </w:tcPr>
          <w:p w:rsidR="00D236B7" w:rsidRDefault="0033239F">
            <w:pPr>
              <w:spacing w:after="40"/>
              <w:rPr>
                <w:rFonts w:hint="eastAsia"/>
              </w:rPr>
            </w:pPr>
            <w:r>
              <w:rPr>
                <w:sz w:val="17"/>
              </w:rPr>
              <w:t>Choose spot/benchmark or document a fixed roll method; include contract metadata.</w:t>
            </w:r>
          </w:p>
        </w:tc>
      </w:tr>
      <w:tr w:rsidR="00D236B7">
        <w:trPr>
          <w:jc w:val="center"/>
        </w:trPr>
        <w:tc>
          <w:tcPr>
            <w:tcW w:w="3360" w:type="dxa"/>
            <w:vAlign w:val="center"/>
          </w:tcPr>
          <w:p w:rsidR="00D236B7" w:rsidRDefault="0033239F">
            <w:pPr>
              <w:spacing w:after="40"/>
              <w:rPr>
                <w:rFonts w:hint="eastAsia"/>
              </w:rPr>
            </w:pPr>
            <w:r>
              <w:rPr>
                <w:sz w:val="17"/>
              </w:rPr>
              <w:t>Yield units differ</w:t>
            </w:r>
          </w:p>
        </w:tc>
        <w:tc>
          <w:tcPr>
            <w:tcW w:w="3360" w:type="dxa"/>
            <w:vAlign w:val="center"/>
          </w:tcPr>
          <w:p w:rsidR="00D236B7" w:rsidRDefault="0033239F">
            <w:pPr>
              <w:spacing w:after="40"/>
              <w:rPr>
                <w:rFonts w:hint="eastAsia"/>
              </w:rPr>
            </w:pPr>
            <w:r>
              <w:rPr>
                <w:sz w:val="17"/>
              </w:rPr>
              <w:t>A 0.05 percentage-point change can be misread as 5% or 0.05 bp</w:t>
            </w:r>
          </w:p>
        </w:tc>
        <w:tc>
          <w:tcPr>
            <w:tcW w:w="3360" w:type="dxa"/>
            <w:vAlign w:val="center"/>
          </w:tcPr>
          <w:p w:rsidR="00D236B7" w:rsidRDefault="0033239F">
            <w:pPr>
              <w:spacing w:after="40"/>
              <w:rPr>
                <w:rFonts w:hint="eastAsia"/>
              </w:rPr>
            </w:pPr>
            <w:r>
              <w:rPr>
                <w:sz w:val="17"/>
              </w:rPr>
              <w:t xml:space="preserve">Normalise yields and explicitly store percentage points and </w:t>
            </w:r>
            <w:r>
              <w:rPr>
                <w:sz w:val="17"/>
              </w:rPr>
              <w:t>basis points.</w:t>
            </w:r>
          </w:p>
        </w:tc>
      </w:tr>
      <w:tr w:rsidR="00D236B7">
        <w:trPr>
          <w:jc w:val="center"/>
        </w:trPr>
        <w:tc>
          <w:tcPr>
            <w:tcW w:w="3360" w:type="dxa"/>
            <w:vAlign w:val="center"/>
          </w:tcPr>
          <w:p w:rsidR="00D236B7" w:rsidRDefault="0033239F">
            <w:pPr>
              <w:spacing w:after="40"/>
              <w:rPr>
                <w:rFonts w:hint="eastAsia"/>
              </w:rPr>
            </w:pPr>
            <w:r>
              <w:rPr>
                <w:sz w:val="17"/>
              </w:rPr>
              <w:t>Overlapping information</w:t>
            </w:r>
          </w:p>
        </w:tc>
        <w:tc>
          <w:tcPr>
            <w:tcW w:w="3360" w:type="dxa"/>
            <w:vAlign w:val="center"/>
          </w:tcPr>
          <w:p w:rsidR="00D236B7" w:rsidRDefault="0033239F">
            <w:pPr>
              <w:spacing w:after="40"/>
              <w:rPr>
                <w:rFonts w:hint="eastAsia"/>
              </w:rPr>
            </w:pPr>
            <w:r>
              <w:rPr>
                <w:sz w:val="17"/>
              </w:rPr>
              <w:t>Global indices, VIX, dollar, and gold may be highly correlated</w:t>
            </w:r>
          </w:p>
        </w:tc>
        <w:tc>
          <w:tcPr>
            <w:tcW w:w="3360" w:type="dxa"/>
            <w:vAlign w:val="center"/>
          </w:tcPr>
          <w:p w:rsidR="00D236B7" w:rsidRDefault="0033239F">
            <w:pPr>
              <w:spacing w:after="40"/>
              <w:rPr>
                <w:rFonts w:hint="eastAsia"/>
              </w:rPr>
            </w:pPr>
            <w:r>
              <w:rPr>
                <w:sz w:val="17"/>
              </w:rPr>
              <w:t>Use staged feature groups, correlation analysis and ablation tests.</w:t>
            </w:r>
          </w:p>
        </w:tc>
      </w:tr>
      <w:tr w:rsidR="00D236B7">
        <w:trPr>
          <w:jc w:val="center"/>
        </w:trPr>
        <w:tc>
          <w:tcPr>
            <w:tcW w:w="3360" w:type="dxa"/>
            <w:vAlign w:val="center"/>
          </w:tcPr>
          <w:p w:rsidR="00D236B7" w:rsidRDefault="0033239F">
            <w:pPr>
              <w:spacing w:after="40"/>
              <w:rPr>
                <w:rFonts w:hint="eastAsia"/>
              </w:rPr>
            </w:pPr>
            <w:r>
              <w:rPr>
                <w:sz w:val="17"/>
              </w:rPr>
              <w:t>Regime changes</w:t>
            </w:r>
          </w:p>
        </w:tc>
        <w:tc>
          <w:tcPr>
            <w:tcW w:w="3360" w:type="dxa"/>
            <w:vAlign w:val="center"/>
          </w:tcPr>
          <w:p w:rsidR="00D236B7" w:rsidRDefault="0033239F">
            <w:pPr>
              <w:spacing w:after="40"/>
              <w:rPr>
                <w:rFonts w:hint="eastAsia"/>
              </w:rPr>
            </w:pPr>
            <w:r>
              <w:rPr>
                <w:sz w:val="17"/>
              </w:rPr>
              <w:t>Historical relationships can break during shocks or policy changes</w:t>
            </w:r>
          </w:p>
        </w:tc>
        <w:tc>
          <w:tcPr>
            <w:tcW w:w="3360" w:type="dxa"/>
            <w:vAlign w:val="center"/>
          </w:tcPr>
          <w:p w:rsidR="00D236B7" w:rsidRDefault="0033239F">
            <w:pPr>
              <w:spacing w:after="40"/>
              <w:rPr>
                <w:rFonts w:hint="eastAsia"/>
              </w:rPr>
            </w:pPr>
            <w:r>
              <w:rPr>
                <w:sz w:val="17"/>
              </w:rPr>
              <w:t>Wal</w:t>
            </w:r>
            <w:r>
              <w:rPr>
                <w:sz w:val="17"/>
              </w:rPr>
              <w:t>k-forward testing, subperiod evaluation, and monitoring.</w:t>
            </w:r>
          </w:p>
        </w:tc>
      </w:tr>
      <w:tr w:rsidR="00D236B7">
        <w:trPr>
          <w:jc w:val="center"/>
        </w:trPr>
        <w:tc>
          <w:tcPr>
            <w:tcW w:w="3360" w:type="dxa"/>
            <w:vAlign w:val="center"/>
          </w:tcPr>
          <w:p w:rsidR="00D236B7" w:rsidRDefault="0033239F">
            <w:pPr>
              <w:spacing w:after="40"/>
              <w:rPr>
                <w:rFonts w:hint="eastAsia"/>
              </w:rPr>
            </w:pPr>
            <w:r>
              <w:rPr>
                <w:sz w:val="17"/>
              </w:rPr>
              <w:t>Event-consensus data access</w:t>
            </w:r>
          </w:p>
        </w:tc>
        <w:tc>
          <w:tcPr>
            <w:tcW w:w="3360" w:type="dxa"/>
            <w:vAlign w:val="center"/>
          </w:tcPr>
          <w:p w:rsidR="00D236B7" w:rsidRDefault="0033239F">
            <w:pPr>
              <w:spacing w:after="40"/>
              <w:rPr>
                <w:rFonts w:hint="eastAsia"/>
              </w:rPr>
            </w:pPr>
            <w:r>
              <w:rPr>
                <w:sz w:val="17"/>
              </w:rPr>
              <w:t>A reliable historical consensus snapshot may be paid or unavailable</w:t>
            </w:r>
          </w:p>
        </w:tc>
        <w:tc>
          <w:tcPr>
            <w:tcW w:w="3360" w:type="dxa"/>
            <w:vAlign w:val="center"/>
          </w:tcPr>
          <w:p w:rsidR="00D236B7" w:rsidRDefault="0033239F">
            <w:pPr>
              <w:spacing w:after="40"/>
              <w:rPr>
                <w:rFonts w:hint="eastAsia"/>
              </w:rPr>
            </w:pPr>
            <w:r>
              <w:rPr>
                <w:sz w:val="17"/>
              </w:rPr>
              <w:t>Keep event surprises out of the first version until timestamped consensus is verified.</w:t>
            </w:r>
          </w:p>
        </w:tc>
      </w:tr>
      <w:tr w:rsidR="00D236B7">
        <w:trPr>
          <w:jc w:val="center"/>
        </w:trPr>
        <w:tc>
          <w:tcPr>
            <w:tcW w:w="3360" w:type="dxa"/>
            <w:vAlign w:val="center"/>
          </w:tcPr>
          <w:p w:rsidR="00D236B7" w:rsidRDefault="0033239F">
            <w:pPr>
              <w:spacing w:after="40"/>
              <w:rPr>
                <w:rFonts w:hint="eastAsia"/>
              </w:rPr>
            </w:pPr>
            <w:r>
              <w:rPr>
                <w:sz w:val="17"/>
              </w:rPr>
              <w:t>Licensing rest</w:t>
            </w:r>
            <w:r>
              <w:rPr>
                <w:sz w:val="17"/>
              </w:rPr>
              <w:t>rictions</w:t>
            </w:r>
          </w:p>
        </w:tc>
        <w:tc>
          <w:tcPr>
            <w:tcW w:w="3360" w:type="dxa"/>
            <w:vAlign w:val="center"/>
          </w:tcPr>
          <w:p w:rsidR="00D236B7" w:rsidRDefault="0033239F">
            <w:pPr>
              <w:spacing w:after="40"/>
              <w:rPr>
                <w:rFonts w:hint="eastAsia"/>
              </w:rPr>
            </w:pPr>
            <w:r>
              <w:rPr>
                <w:sz w:val="17"/>
              </w:rPr>
              <w:t>Displayed or downloaded data may not be reusable in a model or shared</w:t>
            </w:r>
          </w:p>
        </w:tc>
        <w:tc>
          <w:tcPr>
            <w:tcW w:w="3360" w:type="dxa"/>
            <w:vAlign w:val="center"/>
          </w:tcPr>
          <w:p w:rsidR="00D236B7" w:rsidRDefault="0033239F">
            <w:pPr>
              <w:spacing w:after="40"/>
              <w:rPr>
                <w:rFonts w:hint="eastAsia"/>
              </w:rPr>
            </w:pPr>
            <w:r>
              <w:rPr>
                <w:sz w:val="17"/>
              </w:rPr>
              <w:t>Review vendor terms for storage, derived works, publication and redistribution.</w:t>
            </w:r>
          </w:p>
        </w:tc>
      </w:tr>
      <w:tr w:rsidR="00D236B7">
        <w:trPr>
          <w:jc w:val="center"/>
        </w:trPr>
        <w:tc>
          <w:tcPr>
            <w:tcW w:w="3360" w:type="dxa"/>
            <w:vAlign w:val="center"/>
          </w:tcPr>
          <w:p w:rsidR="00D236B7" w:rsidRDefault="0033239F">
            <w:pPr>
              <w:spacing w:after="40"/>
              <w:rPr>
                <w:rFonts w:hint="eastAsia"/>
              </w:rPr>
            </w:pPr>
            <w:r>
              <w:rPr>
                <w:sz w:val="17"/>
              </w:rPr>
              <w:t>Feature overload</w:t>
            </w:r>
          </w:p>
        </w:tc>
        <w:tc>
          <w:tcPr>
            <w:tcW w:w="3360" w:type="dxa"/>
            <w:vAlign w:val="center"/>
          </w:tcPr>
          <w:p w:rsidR="00D236B7" w:rsidRDefault="0033239F">
            <w:pPr>
              <w:spacing w:after="40"/>
              <w:rPr>
                <w:rFonts w:hint="eastAsia"/>
              </w:rPr>
            </w:pPr>
            <w:r>
              <w:rPr>
                <w:sz w:val="17"/>
              </w:rPr>
              <w:t>Many weak features increase overfitting risk</w:t>
            </w:r>
          </w:p>
        </w:tc>
        <w:tc>
          <w:tcPr>
            <w:tcW w:w="3360" w:type="dxa"/>
            <w:vAlign w:val="center"/>
          </w:tcPr>
          <w:p w:rsidR="00D236B7" w:rsidRDefault="0033239F">
            <w:pPr>
              <w:spacing w:after="40"/>
              <w:rPr>
                <w:rFonts w:hint="eastAsia"/>
              </w:rPr>
            </w:pPr>
            <w:r>
              <w:rPr>
                <w:sz w:val="17"/>
              </w:rPr>
              <w:t xml:space="preserve">Begin with a small </w:t>
            </w:r>
            <w:r>
              <w:rPr>
                <w:sz w:val="17"/>
              </w:rPr>
              <w:t>hypothesis-driven shortlist and add only if out-of-sample value improves.</w:t>
            </w:r>
          </w:p>
        </w:tc>
      </w:tr>
    </w:tbl>
    <w:p w:rsidR="00D236B7" w:rsidRDefault="00D236B7">
      <w:pPr>
        <w:rPr>
          <w:rFonts w:hint="eastAsia"/>
        </w:rPr>
      </w:pPr>
    </w:p>
    <w:p w:rsidR="00D236B7" w:rsidRDefault="0033239F">
      <w:pPr>
        <w:pStyle w:val="Heading1"/>
      </w:pPr>
      <w:r>
        <w:t>14. Recommended Initial Shortlist</w:t>
      </w:r>
    </w:p>
    <w:p w:rsidR="00D236B7" w:rsidRDefault="0033239F">
      <w:pPr>
        <w:rPr>
          <w:rFonts w:hint="eastAsia"/>
        </w:rPr>
      </w:pPr>
      <w:r>
        <w:t>The following is a practical starting hypothesis, not an empirically validated ranking. Confirm availability and alignment before training.</w:t>
      </w:r>
    </w:p>
    <w:tbl>
      <w:tblPr>
        <w:tblStyle w:val="TableGrid"/>
        <w:tblW w:w="0" w:type="auto"/>
        <w:jc w:val="center"/>
        <w:tblLook w:val="04A0" w:firstRow="1" w:lastRow="0" w:firstColumn="1" w:lastColumn="0" w:noHBand="0" w:noVBand="1"/>
      </w:tblPr>
      <w:tblGrid>
        <w:gridCol w:w="2520"/>
        <w:gridCol w:w="2520"/>
        <w:gridCol w:w="2520"/>
        <w:gridCol w:w="2520"/>
      </w:tblGrid>
      <w:tr w:rsidR="00D236B7">
        <w:trPr>
          <w:jc w:val="center"/>
        </w:trPr>
        <w:tc>
          <w:tcPr>
            <w:tcW w:w="2520" w:type="dxa"/>
            <w:shd w:val="clear" w:color="auto" w:fill="D9EAF2"/>
            <w:vAlign w:val="center"/>
          </w:tcPr>
          <w:p w:rsidR="00D236B7" w:rsidRDefault="0033239F">
            <w:pPr>
              <w:spacing w:after="40"/>
              <w:rPr>
                <w:rFonts w:hint="eastAsia"/>
              </w:rPr>
            </w:pPr>
            <w:r>
              <w:rPr>
                <w:b/>
                <w:sz w:val="17"/>
              </w:rPr>
              <w:t>Priori</w:t>
            </w:r>
            <w:r>
              <w:rPr>
                <w:b/>
                <w:sz w:val="17"/>
              </w:rPr>
              <w:t>ty</w:t>
            </w:r>
          </w:p>
        </w:tc>
        <w:tc>
          <w:tcPr>
            <w:tcW w:w="2520" w:type="dxa"/>
            <w:shd w:val="clear" w:color="auto" w:fill="D9EAF2"/>
            <w:vAlign w:val="center"/>
          </w:tcPr>
          <w:p w:rsidR="00D236B7" w:rsidRDefault="0033239F">
            <w:pPr>
              <w:spacing w:after="40"/>
              <w:rPr>
                <w:rFonts w:hint="eastAsia"/>
              </w:rPr>
            </w:pPr>
            <w:r>
              <w:rPr>
                <w:b/>
                <w:sz w:val="17"/>
              </w:rPr>
              <w:t>Feature group</w:t>
            </w:r>
          </w:p>
        </w:tc>
        <w:tc>
          <w:tcPr>
            <w:tcW w:w="2520" w:type="dxa"/>
            <w:shd w:val="clear" w:color="auto" w:fill="D9EAF2"/>
            <w:vAlign w:val="center"/>
          </w:tcPr>
          <w:p w:rsidR="00D236B7" w:rsidRDefault="0033239F">
            <w:pPr>
              <w:spacing w:after="40"/>
              <w:rPr>
                <w:rFonts w:hint="eastAsia"/>
              </w:rPr>
            </w:pPr>
            <w:r>
              <w:rPr>
                <w:b/>
                <w:sz w:val="17"/>
              </w:rPr>
              <w:t>Initial candidates</w:t>
            </w:r>
          </w:p>
        </w:tc>
        <w:tc>
          <w:tcPr>
            <w:tcW w:w="2520" w:type="dxa"/>
            <w:shd w:val="clear" w:color="auto" w:fill="D9EAF2"/>
            <w:vAlign w:val="center"/>
          </w:tcPr>
          <w:p w:rsidR="00D236B7" w:rsidRDefault="0033239F">
            <w:pPr>
              <w:spacing w:after="40"/>
              <w:rPr>
                <w:rFonts w:hint="eastAsia"/>
              </w:rPr>
            </w:pPr>
            <w:r>
              <w:rPr>
                <w:b/>
                <w:sz w:val="17"/>
              </w:rPr>
              <w:t>Reason to start here</w:t>
            </w:r>
          </w:p>
        </w:tc>
      </w:tr>
      <w:tr w:rsidR="00D236B7">
        <w:trPr>
          <w:jc w:val="center"/>
        </w:trPr>
        <w:tc>
          <w:tcPr>
            <w:tcW w:w="2520" w:type="dxa"/>
            <w:vAlign w:val="center"/>
          </w:tcPr>
          <w:p w:rsidR="00D236B7" w:rsidRDefault="0033239F">
            <w:pPr>
              <w:spacing w:after="40"/>
              <w:rPr>
                <w:rFonts w:hint="eastAsia"/>
              </w:rPr>
            </w:pPr>
            <w:r>
              <w:rPr>
                <w:sz w:val="17"/>
              </w:rPr>
              <w:t>1</w:t>
            </w:r>
          </w:p>
        </w:tc>
        <w:tc>
          <w:tcPr>
            <w:tcW w:w="2520" w:type="dxa"/>
            <w:vAlign w:val="center"/>
          </w:tcPr>
          <w:p w:rsidR="00D236B7" w:rsidRDefault="0033239F">
            <w:pPr>
              <w:spacing w:after="40"/>
              <w:rPr>
                <w:rFonts w:hint="eastAsia"/>
              </w:rPr>
            </w:pPr>
            <w:r>
              <w:rPr>
                <w:sz w:val="17"/>
              </w:rPr>
              <w:t>Global equity overnight returns</w:t>
            </w:r>
          </w:p>
        </w:tc>
        <w:tc>
          <w:tcPr>
            <w:tcW w:w="2520" w:type="dxa"/>
            <w:vAlign w:val="center"/>
          </w:tcPr>
          <w:p w:rsidR="00D236B7" w:rsidRDefault="0033239F">
            <w:pPr>
              <w:spacing w:after="40"/>
              <w:rPr>
                <w:rFonts w:hint="eastAsia"/>
              </w:rPr>
            </w:pPr>
            <w:r>
              <w:rPr>
                <w:sz w:val="17"/>
              </w:rPr>
              <w:t>S&amp;P 500, Nasdaq-100, Nikkei 225; optionally Hang Seng</w:t>
            </w:r>
          </w:p>
        </w:tc>
        <w:tc>
          <w:tcPr>
            <w:tcW w:w="2520" w:type="dxa"/>
            <w:vAlign w:val="center"/>
          </w:tcPr>
          <w:p w:rsidR="00D236B7" w:rsidRDefault="0033239F">
            <w:pPr>
              <w:spacing w:after="40"/>
              <w:rPr>
                <w:rFonts w:hint="eastAsia"/>
              </w:rPr>
            </w:pPr>
            <w:r>
              <w:rPr>
                <w:sz w:val="17"/>
              </w:rPr>
              <w:t>Simple, interpretable, daily historical data often available</w:t>
            </w:r>
          </w:p>
        </w:tc>
      </w:tr>
      <w:tr w:rsidR="00D236B7">
        <w:trPr>
          <w:jc w:val="center"/>
        </w:trPr>
        <w:tc>
          <w:tcPr>
            <w:tcW w:w="2520" w:type="dxa"/>
            <w:vAlign w:val="center"/>
          </w:tcPr>
          <w:p w:rsidR="00D236B7" w:rsidRDefault="0033239F">
            <w:pPr>
              <w:spacing w:after="40"/>
              <w:rPr>
                <w:rFonts w:hint="eastAsia"/>
              </w:rPr>
            </w:pPr>
            <w:r>
              <w:rPr>
                <w:sz w:val="17"/>
              </w:rPr>
              <w:t>2</w:t>
            </w:r>
          </w:p>
        </w:tc>
        <w:tc>
          <w:tcPr>
            <w:tcW w:w="2520" w:type="dxa"/>
            <w:vAlign w:val="center"/>
          </w:tcPr>
          <w:p w:rsidR="00D236B7" w:rsidRDefault="0033239F">
            <w:pPr>
              <w:spacing w:after="40"/>
              <w:rPr>
                <w:rFonts w:hint="eastAsia"/>
              </w:rPr>
            </w:pPr>
            <w:r>
              <w:rPr>
                <w:sz w:val="17"/>
              </w:rPr>
              <w:t>Oil and currency</w:t>
            </w:r>
          </w:p>
        </w:tc>
        <w:tc>
          <w:tcPr>
            <w:tcW w:w="2520" w:type="dxa"/>
            <w:vAlign w:val="center"/>
          </w:tcPr>
          <w:p w:rsidR="00D236B7" w:rsidRDefault="0033239F">
            <w:pPr>
              <w:spacing w:after="40"/>
              <w:rPr>
                <w:rFonts w:hint="eastAsia"/>
              </w:rPr>
            </w:pPr>
            <w:r>
              <w:rPr>
                <w:sz w:val="17"/>
              </w:rPr>
              <w:t xml:space="preserve">Brent 1-day/5-day return; </w:t>
            </w:r>
            <w:r>
              <w:rPr>
                <w:sz w:val="17"/>
              </w:rPr>
              <w:t>USD/INR 1-day change</w:t>
            </w:r>
          </w:p>
        </w:tc>
        <w:tc>
          <w:tcPr>
            <w:tcW w:w="2520" w:type="dxa"/>
            <w:vAlign w:val="center"/>
          </w:tcPr>
          <w:p w:rsidR="00D236B7" w:rsidRDefault="0033239F">
            <w:pPr>
              <w:spacing w:after="40"/>
              <w:rPr>
                <w:rFonts w:hint="eastAsia"/>
              </w:rPr>
            </w:pPr>
            <w:r>
              <w:rPr>
                <w:sz w:val="17"/>
              </w:rPr>
              <w:t>Plausible external-balance, inflation and sector channels for India</w:t>
            </w:r>
          </w:p>
        </w:tc>
      </w:tr>
      <w:tr w:rsidR="00D236B7">
        <w:trPr>
          <w:jc w:val="center"/>
        </w:trPr>
        <w:tc>
          <w:tcPr>
            <w:tcW w:w="2520" w:type="dxa"/>
            <w:vAlign w:val="center"/>
          </w:tcPr>
          <w:p w:rsidR="00D236B7" w:rsidRDefault="0033239F">
            <w:pPr>
              <w:spacing w:after="40"/>
              <w:rPr>
                <w:rFonts w:hint="eastAsia"/>
              </w:rPr>
            </w:pPr>
            <w:r>
              <w:rPr>
                <w:sz w:val="17"/>
              </w:rPr>
              <w:t>3</w:t>
            </w:r>
          </w:p>
        </w:tc>
        <w:tc>
          <w:tcPr>
            <w:tcW w:w="2520" w:type="dxa"/>
            <w:vAlign w:val="center"/>
          </w:tcPr>
          <w:p w:rsidR="00D236B7" w:rsidRDefault="0033239F">
            <w:pPr>
              <w:spacing w:after="40"/>
              <w:rPr>
                <w:rFonts w:hint="eastAsia"/>
              </w:rPr>
            </w:pPr>
            <w:r>
              <w:rPr>
                <w:sz w:val="17"/>
              </w:rPr>
              <w:t>US yields and dollar</w:t>
            </w:r>
          </w:p>
        </w:tc>
        <w:tc>
          <w:tcPr>
            <w:tcW w:w="2520" w:type="dxa"/>
            <w:vAlign w:val="center"/>
          </w:tcPr>
          <w:p w:rsidR="00D236B7" w:rsidRDefault="0033239F">
            <w:pPr>
              <w:spacing w:after="40"/>
              <w:rPr>
                <w:rFonts w:hint="eastAsia"/>
              </w:rPr>
            </w:pPr>
            <w:r>
              <w:rPr>
                <w:sz w:val="17"/>
              </w:rPr>
              <w:t>US 2-year/10-year yield changes; DXY return if accessible</w:t>
            </w:r>
          </w:p>
        </w:tc>
        <w:tc>
          <w:tcPr>
            <w:tcW w:w="2520" w:type="dxa"/>
            <w:vAlign w:val="center"/>
          </w:tcPr>
          <w:p w:rsidR="00D236B7" w:rsidRDefault="0033239F">
            <w:pPr>
              <w:spacing w:after="40"/>
              <w:rPr>
                <w:rFonts w:hint="eastAsia"/>
              </w:rPr>
            </w:pPr>
            <w:r>
              <w:rPr>
                <w:sz w:val="17"/>
              </w:rPr>
              <w:t>Captures rate and global-financial-condition changes</w:t>
            </w:r>
          </w:p>
        </w:tc>
      </w:tr>
      <w:tr w:rsidR="00D236B7">
        <w:trPr>
          <w:jc w:val="center"/>
        </w:trPr>
        <w:tc>
          <w:tcPr>
            <w:tcW w:w="2520" w:type="dxa"/>
            <w:vAlign w:val="center"/>
          </w:tcPr>
          <w:p w:rsidR="00D236B7" w:rsidRDefault="0033239F">
            <w:pPr>
              <w:spacing w:after="40"/>
              <w:rPr>
                <w:rFonts w:hint="eastAsia"/>
              </w:rPr>
            </w:pPr>
            <w:r>
              <w:rPr>
                <w:sz w:val="17"/>
              </w:rPr>
              <w:t>4</w:t>
            </w:r>
          </w:p>
        </w:tc>
        <w:tc>
          <w:tcPr>
            <w:tcW w:w="2520" w:type="dxa"/>
            <w:vAlign w:val="center"/>
          </w:tcPr>
          <w:p w:rsidR="00D236B7" w:rsidRDefault="0033239F">
            <w:pPr>
              <w:spacing w:after="40"/>
              <w:rPr>
                <w:rFonts w:hint="eastAsia"/>
              </w:rPr>
            </w:pPr>
            <w:r>
              <w:rPr>
                <w:sz w:val="17"/>
              </w:rPr>
              <w:t>Global stress</w:t>
            </w:r>
          </w:p>
        </w:tc>
        <w:tc>
          <w:tcPr>
            <w:tcW w:w="2520" w:type="dxa"/>
            <w:vAlign w:val="center"/>
          </w:tcPr>
          <w:p w:rsidR="00D236B7" w:rsidRDefault="0033239F">
            <w:pPr>
              <w:spacing w:after="40"/>
              <w:rPr>
                <w:rFonts w:hint="eastAsia"/>
              </w:rPr>
            </w:pPr>
            <w:r>
              <w:rPr>
                <w:sz w:val="17"/>
              </w:rPr>
              <w:t xml:space="preserve">VIX </w:t>
            </w:r>
            <w:r>
              <w:rPr>
                <w:sz w:val="17"/>
              </w:rPr>
              <w:t>level/change; rolling percentile</w:t>
            </w:r>
          </w:p>
        </w:tc>
        <w:tc>
          <w:tcPr>
            <w:tcW w:w="2520" w:type="dxa"/>
            <w:vAlign w:val="center"/>
          </w:tcPr>
          <w:p w:rsidR="00D236B7" w:rsidRDefault="0033239F">
            <w:pPr>
              <w:spacing w:after="40"/>
              <w:rPr>
                <w:rFonts w:hint="eastAsia"/>
              </w:rPr>
            </w:pPr>
            <w:r>
              <w:rPr>
                <w:sz w:val="17"/>
              </w:rPr>
              <w:t>Potentially useful for risk/volatility target and regime context</w:t>
            </w:r>
          </w:p>
        </w:tc>
      </w:tr>
      <w:tr w:rsidR="00D236B7">
        <w:trPr>
          <w:jc w:val="center"/>
        </w:trPr>
        <w:tc>
          <w:tcPr>
            <w:tcW w:w="2520" w:type="dxa"/>
            <w:vAlign w:val="center"/>
          </w:tcPr>
          <w:p w:rsidR="00D236B7" w:rsidRDefault="0033239F">
            <w:pPr>
              <w:spacing w:after="40"/>
              <w:rPr>
                <w:rFonts w:hint="eastAsia"/>
              </w:rPr>
            </w:pPr>
            <w:r>
              <w:rPr>
                <w:sz w:val="17"/>
              </w:rPr>
              <w:t>5</w:t>
            </w:r>
          </w:p>
        </w:tc>
        <w:tc>
          <w:tcPr>
            <w:tcW w:w="2520" w:type="dxa"/>
            <w:vAlign w:val="center"/>
          </w:tcPr>
          <w:p w:rsidR="00D236B7" w:rsidRDefault="0033239F">
            <w:pPr>
              <w:spacing w:after="40"/>
              <w:rPr>
                <w:rFonts w:hint="eastAsia"/>
              </w:rPr>
            </w:pPr>
            <w:r>
              <w:rPr>
                <w:sz w:val="17"/>
              </w:rPr>
              <w:t>Gold / industrial metals</w:t>
            </w:r>
          </w:p>
        </w:tc>
        <w:tc>
          <w:tcPr>
            <w:tcW w:w="2520" w:type="dxa"/>
            <w:vAlign w:val="center"/>
          </w:tcPr>
          <w:p w:rsidR="00D236B7" w:rsidRDefault="0033239F">
            <w:pPr>
              <w:spacing w:after="40"/>
              <w:rPr>
                <w:rFonts w:hint="eastAsia"/>
              </w:rPr>
            </w:pPr>
            <w:r>
              <w:rPr>
                <w:sz w:val="17"/>
              </w:rPr>
              <w:t>Gold and copper 1-day return</w:t>
            </w:r>
          </w:p>
        </w:tc>
        <w:tc>
          <w:tcPr>
            <w:tcW w:w="2520" w:type="dxa"/>
            <w:vAlign w:val="center"/>
          </w:tcPr>
          <w:p w:rsidR="00D236B7" w:rsidRDefault="0033239F">
            <w:pPr>
              <w:spacing w:after="40"/>
              <w:rPr>
                <w:rFonts w:hint="eastAsia"/>
              </w:rPr>
            </w:pPr>
            <w:r>
              <w:rPr>
                <w:sz w:val="17"/>
              </w:rPr>
              <w:t>Potential complementary information; likely conditional/sector-specific</w:t>
            </w:r>
          </w:p>
        </w:tc>
      </w:tr>
      <w:tr w:rsidR="00D236B7">
        <w:trPr>
          <w:jc w:val="center"/>
        </w:trPr>
        <w:tc>
          <w:tcPr>
            <w:tcW w:w="2520" w:type="dxa"/>
            <w:vAlign w:val="center"/>
          </w:tcPr>
          <w:p w:rsidR="00D236B7" w:rsidRDefault="0033239F">
            <w:pPr>
              <w:spacing w:after="40"/>
              <w:rPr>
                <w:rFonts w:hint="eastAsia"/>
              </w:rPr>
            </w:pPr>
            <w:r>
              <w:rPr>
                <w:sz w:val="17"/>
              </w:rPr>
              <w:t>Later</w:t>
            </w:r>
          </w:p>
        </w:tc>
        <w:tc>
          <w:tcPr>
            <w:tcW w:w="2520" w:type="dxa"/>
            <w:vAlign w:val="center"/>
          </w:tcPr>
          <w:p w:rsidR="00D236B7" w:rsidRDefault="0033239F">
            <w:pPr>
              <w:spacing w:after="40"/>
              <w:rPr>
                <w:rFonts w:hint="eastAsia"/>
              </w:rPr>
            </w:pPr>
            <w:r>
              <w:rPr>
                <w:sz w:val="17"/>
              </w:rPr>
              <w:t>Event surprises and co</w:t>
            </w:r>
            <w:r>
              <w:rPr>
                <w:sz w:val="17"/>
              </w:rPr>
              <w:t>mplex composites</w:t>
            </w:r>
          </w:p>
        </w:tc>
        <w:tc>
          <w:tcPr>
            <w:tcW w:w="2520" w:type="dxa"/>
            <w:vAlign w:val="center"/>
          </w:tcPr>
          <w:p w:rsidR="00D236B7" w:rsidRDefault="0033239F">
            <w:pPr>
              <w:spacing w:after="40"/>
              <w:rPr>
                <w:rFonts w:hint="eastAsia"/>
              </w:rPr>
            </w:pPr>
            <w:r>
              <w:rPr>
                <w:sz w:val="17"/>
              </w:rPr>
              <w:t>US CPI/jobs/Fed surprise; cross-asset composite</w:t>
            </w:r>
          </w:p>
        </w:tc>
        <w:tc>
          <w:tcPr>
            <w:tcW w:w="2520" w:type="dxa"/>
            <w:vAlign w:val="center"/>
          </w:tcPr>
          <w:p w:rsidR="00D236B7" w:rsidRDefault="0033239F">
            <w:pPr>
              <w:spacing w:after="40"/>
              <w:rPr>
                <w:rFonts w:hint="eastAsia"/>
              </w:rPr>
            </w:pPr>
            <w:r>
              <w:rPr>
                <w:sz w:val="17"/>
              </w:rPr>
              <w:t>Requires timestamped consensus, release-time data and stronger validation</w:t>
            </w:r>
          </w:p>
        </w:tc>
      </w:tr>
    </w:tbl>
    <w:p w:rsidR="00D236B7" w:rsidRDefault="00D236B7">
      <w:pPr>
        <w:rPr>
          <w:rFonts w:hint="eastAsia"/>
        </w:rPr>
      </w:pPr>
    </w:p>
    <w:p w:rsidR="00D236B7" w:rsidRDefault="0033239F">
      <w:pPr>
        <w:rPr>
          <w:rFonts w:hint="eastAsia"/>
        </w:rPr>
      </w:pPr>
      <w:r>
        <w:t xml:space="preserve">For an initial compact baseline, start with 6–10 variables rather than dozens: S&amp;P 500 return, Nasdaq return, </w:t>
      </w:r>
      <w:r>
        <w:t>Nikkei return, Brent return, USD/INR change, US 10-year yield change, VIX change, and one or two lagged multi-day features. This is a candidate setup for testing—not a claim that these variables will improve accuracy.</w:t>
      </w:r>
    </w:p>
    <w:p w:rsidR="00D236B7" w:rsidRDefault="0033239F">
      <w:pPr>
        <w:pStyle w:val="Heading1"/>
      </w:pPr>
      <w:r>
        <w:lastRenderedPageBreak/>
        <w:t>15. Mentor / Team-Lead Summary</w:t>
      </w:r>
    </w:p>
    <w:p w:rsidR="00D236B7" w:rsidRDefault="0033239F">
      <w:pPr>
        <w:rPr>
          <w:rFonts w:hint="eastAsia"/>
        </w:rPr>
      </w:pPr>
      <w:r>
        <w:t>Researc</w:t>
      </w:r>
      <w:r>
        <w:t>h objective: evaluate whether global market and cross-asset signals add incremental predictive value for Indian equity outcomes. The candidate groups are overseas equity indices, USD/INR and dollar strength, crude oil, US Treasury yields, gold/industrial m</w:t>
      </w:r>
      <w:r>
        <w:t>etals, and global volatility. Candidate transformations include lagged returns, overnight moves, yield changes in basis points, yield-curve slope, rolling volatility, trailing percentiles, and selected interactions.</w:t>
      </w:r>
    </w:p>
    <w:p w:rsidR="00D236B7" w:rsidRDefault="0033239F">
      <w:pPr>
        <w:rPr>
          <w:rFonts w:hint="eastAsia"/>
        </w:rPr>
      </w:pPr>
      <w:r>
        <w:t>Key technical dependency: the pipeline m</w:t>
      </w:r>
      <w:r>
        <w:t xml:space="preserve">ust align each observation to the actual prediction timestamp, accounting for international trading sessions, holidays, time zones, daylight-saving changes, source publication times, and contract-roll conventions. Leakage prevention is more important than </w:t>
      </w:r>
      <w:r>
        <w:t>the sophistication of the feature formula.</w:t>
      </w:r>
    </w:p>
    <w:p w:rsidR="00D236B7" w:rsidRDefault="0033239F">
      <w:pPr>
        <w:rPr>
          <w:rFonts w:hint="eastAsia"/>
        </w:rPr>
      </w:pPr>
      <w:r>
        <w:t xml:space="preserve">Initial implementation: choose a compact shortlist, establish a simple baseline, add one feature group at a time, and evaluate with walk-forward or chronological validation. Check incremental value over the other </w:t>
      </w:r>
      <w:r>
        <w:t>research categories, stability across market regimes, and transaction-cost sensitivity before drawing conclusions.</w:t>
      </w:r>
    </w:p>
    <w:p w:rsidR="00D236B7" w:rsidRDefault="0033239F">
      <w:pPr>
        <w:rPr>
          <w:rFonts w:hint="eastAsia"/>
        </w:rPr>
      </w:pPr>
      <w:r>
        <w:t xml:space="preserve">Main blockers: licensing/cost of reliable historical feeds, inconsistent timestamps, futures-roll artefacts, revisions, correlated features, </w:t>
      </w:r>
      <w:r>
        <w:t>and regime instability. The document's shortlist is a research proposal and must be empirically validated.</w:t>
      </w:r>
    </w:p>
    <w:p w:rsidR="00D236B7" w:rsidRDefault="0033239F">
      <w:pPr>
        <w:pStyle w:val="Heading1"/>
      </w:pPr>
      <w:r>
        <w:t>16. Research Checklist</w:t>
      </w:r>
    </w:p>
    <w:p w:rsidR="00D236B7" w:rsidRDefault="0033239F">
      <w:pPr>
        <w:pStyle w:val="ListBullet"/>
        <w:spacing w:after="40"/>
        <w:rPr>
          <w:rFonts w:hint="eastAsia"/>
        </w:rPr>
      </w:pPr>
      <w:r>
        <w:t>☐</w:t>
      </w:r>
      <w:r>
        <w:t xml:space="preserve"> Target and prediction timestamp are explicitly documented.</w:t>
      </w:r>
    </w:p>
    <w:p w:rsidR="00D236B7" w:rsidRDefault="0033239F">
      <w:pPr>
        <w:pStyle w:val="ListBullet"/>
        <w:spacing w:after="40"/>
        <w:rPr>
          <w:rFonts w:hint="eastAsia"/>
        </w:rPr>
      </w:pPr>
      <w:r>
        <w:t>☐</w:t>
      </w:r>
      <w:r>
        <w:t xml:space="preserve"> Each source has a verified URL, licence, history depth, update </w:t>
      </w:r>
      <w:r>
        <w:t>frequency, and request limit.</w:t>
      </w:r>
    </w:p>
    <w:p w:rsidR="00D236B7" w:rsidRDefault="0033239F">
      <w:pPr>
        <w:pStyle w:val="ListBullet"/>
        <w:spacing w:after="40"/>
        <w:rPr>
          <w:rFonts w:hint="eastAsia"/>
        </w:rPr>
      </w:pPr>
      <w:r>
        <w:t>☐</w:t>
      </w:r>
      <w:r>
        <w:t xml:space="preserve"> Market calendar and timezone mapping are tested for India, US, Europe, and Asia.</w:t>
      </w:r>
    </w:p>
    <w:p w:rsidR="00D236B7" w:rsidRDefault="0033239F">
      <w:pPr>
        <w:pStyle w:val="ListBullet"/>
        <w:spacing w:after="40"/>
        <w:rPr>
          <w:rFonts w:hint="eastAsia"/>
        </w:rPr>
      </w:pPr>
      <w:r>
        <w:t>☐</w:t>
      </w:r>
      <w:r>
        <w:t xml:space="preserve"> Raw data are stored separately from derived features.</w:t>
      </w:r>
    </w:p>
    <w:p w:rsidR="00D236B7" w:rsidRDefault="0033239F">
      <w:pPr>
        <w:pStyle w:val="ListBullet"/>
        <w:spacing w:after="40"/>
        <w:rPr>
          <w:rFonts w:hint="eastAsia"/>
        </w:rPr>
      </w:pPr>
      <w:r>
        <w:t>☐</w:t>
      </w:r>
      <w:r>
        <w:t xml:space="preserve"> Every feature has a formula, unit, lag, and availability timestamp.</w:t>
      </w:r>
    </w:p>
    <w:p w:rsidR="00D236B7" w:rsidRDefault="0033239F">
      <w:pPr>
        <w:pStyle w:val="ListBullet"/>
        <w:spacing w:after="40"/>
        <w:rPr>
          <w:rFonts w:hint="eastAsia"/>
        </w:rPr>
      </w:pPr>
      <w:r>
        <w:t>☐</w:t>
      </w:r>
      <w:r>
        <w:t xml:space="preserve"> All transformat</w:t>
      </w:r>
      <w:r>
        <w:t>ions use only information available at prediction time.</w:t>
      </w:r>
    </w:p>
    <w:p w:rsidR="00D236B7" w:rsidRDefault="0033239F">
      <w:pPr>
        <w:pStyle w:val="ListBullet"/>
        <w:spacing w:after="40"/>
        <w:rPr>
          <w:rFonts w:hint="eastAsia"/>
        </w:rPr>
      </w:pPr>
      <w:r>
        <w:t>☐</w:t>
      </w:r>
      <w:r>
        <w:t xml:space="preserve"> Chronological baseline and feature-group ablations are complete.</w:t>
      </w:r>
    </w:p>
    <w:p w:rsidR="00D236B7" w:rsidRDefault="0033239F">
      <w:pPr>
        <w:pStyle w:val="ListBullet"/>
        <w:spacing w:after="40"/>
        <w:rPr>
          <w:rFonts w:hint="eastAsia"/>
        </w:rPr>
      </w:pPr>
      <w:r>
        <w:t>☐</w:t>
      </w:r>
      <w:r>
        <w:t xml:space="preserve"> Performance is checked across regimes and compared with simple benchmarks.</w:t>
      </w:r>
    </w:p>
    <w:p w:rsidR="00D236B7" w:rsidRDefault="0033239F">
      <w:pPr>
        <w:pStyle w:val="ListBullet"/>
        <w:spacing w:after="40"/>
        <w:rPr>
          <w:rFonts w:hint="eastAsia"/>
        </w:rPr>
      </w:pPr>
      <w:r>
        <w:t>☐</w:t>
      </w:r>
      <w:r>
        <w:t xml:space="preserve"> Data revisions, missing values, stale observations and</w:t>
      </w:r>
      <w:r>
        <w:t xml:space="preserve"> futures rolls are audited.</w:t>
      </w:r>
    </w:p>
    <w:p w:rsidR="00D236B7" w:rsidRDefault="0033239F">
      <w:pPr>
        <w:pStyle w:val="ListBullet"/>
        <w:spacing w:after="40"/>
        <w:rPr>
          <w:rFonts w:hint="eastAsia"/>
        </w:rPr>
      </w:pPr>
      <w:r>
        <w:t>☐</w:t>
      </w:r>
      <w:r>
        <w:t xml:space="preserve"> Claims are limited to evidence from out-of-sample experiments.</w:t>
      </w:r>
    </w:p>
    <w:p w:rsidR="00D236B7" w:rsidRDefault="0033239F">
      <w:pPr>
        <w:pStyle w:val="Heading1"/>
      </w:pPr>
      <w:r>
        <w:t>17. Sources and Further Reading</w:t>
      </w:r>
    </w:p>
    <w:p w:rsidR="00D236B7" w:rsidRDefault="0033239F">
      <w:pPr>
        <w:pStyle w:val="ListBullet"/>
        <w:spacing w:after="80"/>
        <w:rPr>
          <w:rFonts w:hint="eastAsia"/>
        </w:rPr>
      </w:pPr>
      <w:r>
        <w:rPr>
          <w:b/>
        </w:rPr>
        <w:t xml:space="preserve">NSE Data &amp; Analytics — Data and Information Vending — </w:t>
      </w:r>
      <w:r>
        <w:t>https://www.nse.in/static/nse-data-and-analytics/data-information-vending</w:t>
      </w:r>
      <w:r>
        <w:br/>
      </w:r>
      <w:r>
        <w:t>Official NSE data product categories, historical/EOD and real-time access, tariff context.</w:t>
      </w:r>
    </w:p>
    <w:p w:rsidR="00D236B7" w:rsidRDefault="0033239F">
      <w:pPr>
        <w:pStyle w:val="ListBullet"/>
        <w:spacing w:after="80"/>
        <w:rPr>
          <w:rFonts w:hint="eastAsia"/>
        </w:rPr>
      </w:pPr>
      <w:r>
        <w:rPr>
          <w:b/>
        </w:rPr>
        <w:t xml:space="preserve">NSE — Real-Time Data Subscription — </w:t>
      </w:r>
      <w:r>
        <w:t>https://www.nseindia.com/static/market-data/real-time-data-subscription</w:t>
      </w:r>
      <w:r>
        <w:br/>
        <w:t>Official description of real-time feed levels and delayed</w:t>
      </w:r>
      <w:r>
        <w:t xml:space="preserve"> snapshot products; check current terms.</w:t>
      </w:r>
    </w:p>
    <w:p w:rsidR="00D236B7" w:rsidRDefault="0033239F">
      <w:pPr>
        <w:pStyle w:val="ListBullet"/>
        <w:spacing w:after="80"/>
        <w:rPr>
          <w:rFonts w:hint="eastAsia"/>
        </w:rPr>
      </w:pPr>
      <w:r>
        <w:rPr>
          <w:b/>
        </w:rPr>
        <w:t xml:space="preserve">NSE — Historical Reports Archive — </w:t>
      </w:r>
      <w:r>
        <w:t>https://www.nseindia.com/static/resources/historical-reports-capital-market-daily-monthly-archives</w:t>
      </w:r>
      <w:r>
        <w:br/>
        <w:t>Official archive entry point for reports including currency, commodity and refere</w:t>
      </w:r>
      <w:r>
        <w:t>nce-rate-related material.</w:t>
      </w:r>
    </w:p>
    <w:p w:rsidR="00D236B7" w:rsidRDefault="0033239F">
      <w:pPr>
        <w:pStyle w:val="ListBullet"/>
        <w:spacing w:after="80"/>
        <w:rPr>
          <w:rFonts w:hint="eastAsia"/>
        </w:rPr>
      </w:pPr>
      <w:r>
        <w:rPr>
          <w:b/>
        </w:rPr>
        <w:t xml:space="preserve">NSE Indices — </w:t>
      </w:r>
      <w:r>
        <w:t>https://www.nse.in/static/nse-indices</w:t>
      </w:r>
      <w:r>
        <w:br/>
        <w:t>Official background on Nifty index family and index factsheets.</w:t>
      </w:r>
    </w:p>
    <w:p w:rsidR="00D236B7" w:rsidRDefault="0033239F">
      <w:pPr>
        <w:pStyle w:val="ListBullet"/>
        <w:spacing w:after="80"/>
        <w:rPr>
          <w:rFonts w:hint="eastAsia"/>
        </w:rPr>
      </w:pPr>
      <w:r>
        <w:rPr>
          <w:b/>
        </w:rPr>
        <w:t xml:space="preserve">FRED — </w:t>
      </w:r>
      <w:r>
        <w:t>https://fred.stlouisfed.org/</w:t>
      </w:r>
      <w:r>
        <w:br/>
        <w:t>Historical economic and financial series; inspect metadata and release conven</w:t>
      </w:r>
      <w:r>
        <w:t>tions for each series.</w:t>
      </w:r>
    </w:p>
    <w:p w:rsidR="00D236B7" w:rsidRDefault="0033239F">
      <w:pPr>
        <w:pStyle w:val="ListBullet"/>
        <w:spacing w:after="80"/>
        <w:rPr>
          <w:rFonts w:hint="eastAsia"/>
        </w:rPr>
      </w:pPr>
      <w:r>
        <w:rPr>
          <w:b/>
        </w:rPr>
        <w:t xml:space="preserve">US Treasury — Interest Rate Statistics — </w:t>
      </w:r>
      <w:r>
        <w:t>https://home.treasury.gov/resource-center/data-chart-center/interest-rates</w:t>
      </w:r>
      <w:r>
        <w:br/>
        <w:t>Official daily Treasury yield curve rates.</w:t>
      </w:r>
    </w:p>
    <w:p w:rsidR="00D236B7" w:rsidRDefault="0033239F">
      <w:pPr>
        <w:pStyle w:val="ListBullet"/>
        <w:spacing w:after="80"/>
        <w:rPr>
          <w:rFonts w:hint="eastAsia"/>
        </w:rPr>
      </w:pPr>
      <w:r>
        <w:rPr>
          <w:b/>
        </w:rPr>
        <w:t xml:space="preserve">US Energy Information Administration — Petroleum Data — </w:t>
      </w:r>
      <w:r>
        <w:t>https://www.eia.go</w:t>
      </w:r>
      <w:r>
        <w:t>v/petroleum/data.php</w:t>
      </w:r>
      <w:r>
        <w:br/>
        <w:t>Official energy statistics; verify exact benchmark, frequency, units and release time.</w:t>
      </w:r>
    </w:p>
    <w:p w:rsidR="00D236B7" w:rsidRDefault="0033239F">
      <w:pPr>
        <w:pStyle w:val="ListBullet"/>
        <w:spacing w:after="80"/>
        <w:rPr>
          <w:rFonts w:hint="eastAsia"/>
        </w:rPr>
      </w:pPr>
      <w:r>
        <w:rPr>
          <w:b/>
        </w:rPr>
        <w:t xml:space="preserve">World Gold Council — Gold research — </w:t>
      </w:r>
      <w:r>
        <w:t>https://www.gold.org/goldhub/research</w:t>
      </w:r>
      <w:r>
        <w:br/>
        <w:t>Context on gold, risk, rates and cross-asset relationships; not necessari</w:t>
      </w:r>
      <w:r>
        <w:t>ly a free raw-data API.</w:t>
      </w:r>
    </w:p>
    <w:p w:rsidR="00D236B7" w:rsidRDefault="0033239F">
      <w:pPr>
        <w:pStyle w:val="ListBullet"/>
        <w:spacing w:after="80"/>
        <w:rPr>
          <w:rFonts w:hint="eastAsia"/>
        </w:rPr>
      </w:pPr>
      <w:r>
        <w:rPr>
          <w:b/>
        </w:rPr>
        <w:t xml:space="preserve">Reuters — Indian equities, oil, yields and rupee context (8 Oct 2026) — </w:t>
      </w:r>
      <w:r>
        <w:t>https://www.reuters.com/world/india/indian-shares-poised-muted-start-tcs-kicks-off-earnings-season-2026-10-08/</w:t>
      </w:r>
      <w:r>
        <w:br/>
      </w:r>
      <w:r>
        <w:lastRenderedPageBreak/>
        <w:t>Recent example of crude, yields, currency and for</w:t>
      </w:r>
      <w:r>
        <w:t>eign flows appearing together in market commentary; illustrative context, not proof of causality.</w:t>
      </w:r>
    </w:p>
    <w:p w:rsidR="00D236B7" w:rsidRDefault="0033239F">
      <w:pPr>
        <w:pStyle w:val="ListBullet"/>
        <w:spacing w:after="80"/>
        <w:rPr>
          <w:rFonts w:hint="eastAsia"/>
        </w:rPr>
      </w:pPr>
      <w:r>
        <w:rPr>
          <w:b/>
        </w:rPr>
        <w:t xml:space="preserve">Reuters — Global markets and yields/oil (9 Oct 2026) — </w:t>
      </w:r>
      <w:r>
        <w:t>https://www.reuters.com/world/china/global-markets-wrapup-1-2026-10-09/</w:t>
      </w:r>
      <w:r>
        <w:br/>
        <w:t xml:space="preserve">Recent example of simultaneous </w:t>
      </w:r>
      <w:r>
        <w:t>global equity, Treasury-yield, oil and gold moves.</w:t>
      </w:r>
    </w:p>
    <w:p w:rsidR="00D236B7" w:rsidRDefault="0033239F">
      <w:pPr>
        <w:pStyle w:val="ListBullet"/>
        <w:spacing w:after="80"/>
        <w:rPr>
          <w:rFonts w:hint="eastAsia"/>
        </w:rPr>
      </w:pPr>
      <w:r>
        <w:rPr>
          <w:b/>
        </w:rPr>
        <w:t xml:space="preserve">World Gold Council — Why gold in 2026? (17 Mar 2026) — </w:t>
      </w:r>
      <w:r>
        <w:t>https://www.gold.org/goldhub/research/why-gold-2026-anchor-indian-portfolios</w:t>
      </w:r>
      <w:r>
        <w:br/>
        <w:t>Research context on gold, currency volatility and external risks for Indi</w:t>
      </w:r>
      <w:r>
        <w:t>an portfolios.</w:t>
      </w:r>
    </w:p>
    <w:p w:rsidR="00D236B7" w:rsidRDefault="0033239F">
      <w:pPr>
        <w:pStyle w:val="Heading1"/>
      </w:pPr>
      <w:r>
        <w:t>Final Research Caveat</w:t>
      </w:r>
    </w:p>
    <w:p w:rsidR="00D236B7" w:rsidRDefault="0033239F">
      <w:pPr>
        <w:rPr>
          <w:rFonts w:hint="eastAsia"/>
        </w:rPr>
      </w:pPr>
      <w:r>
        <w:t xml:space="preserve">Cross-asset relationships are conditional and can change. A feature can be economically plausible yet provide no stable out-of-sample predictive improvement. Use this document to design data collection and experiments; </w:t>
      </w:r>
      <w:r>
        <w:t>do not treat its candidate shortlist as a trading signal or as evidence of profitability.</w:t>
      </w:r>
    </w:p>
    <w:sectPr w:rsidR="00D236B7"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39F" w:rsidRDefault="0033239F">
      <w:pPr>
        <w:spacing w:after="0" w:line="240" w:lineRule="auto"/>
        <w:rPr>
          <w:rFonts w:hint="eastAsia"/>
        </w:rPr>
      </w:pPr>
      <w:r>
        <w:separator/>
      </w:r>
    </w:p>
  </w:endnote>
  <w:endnote w:type="continuationSeparator" w:id="0">
    <w:p w:rsidR="0033239F" w:rsidRDefault="003323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6B7" w:rsidRDefault="0033239F">
    <w:pPr>
      <w:pStyle w:val="Footer"/>
      <w:jc w:val="center"/>
      <w:rPr>
        <w:rFonts w:hint="eastAsia"/>
      </w:rPr>
    </w:pPr>
    <w:r>
      <w:rPr>
        <w:sz w:val="16"/>
      </w:rPr>
      <w:t>Global Markets &amp; Cross-Asset Factors | Research document | 14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39F" w:rsidRDefault="0033239F">
      <w:pPr>
        <w:spacing w:after="0" w:line="240" w:lineRule="auto"/>
        <w:rPr>
          <w:rFonts w:hint="eastAsia"/>
        </w:rPr>
      </w:pPr>
      <w:r>
        <w:separator/>
      </w:r>
    </w:p>
  </w:footnote>
  <w:footnote w:type="continuationSeparator" w:id="0">
    <w:p w:rsidR="0033239F" w:rsidRDefault="0033239F">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239F"/>
    <w:rsid w:val="00727116"/>
    <w:rsid w:val="00AA1D8D"/>
    <w:rsid w:val="00B47730"/>
    <w:rsid w:val="00CB0664"/>
    <w:rsid w:val="00D2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EAC69-918D-4B23-A12F-2604EB4CD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4837</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india</cp:lastModifiedBy>
  <cp:revision>3</cp:revision>
  <dcterms:created xsi:type="dcterms:W3CDTF">2013-12-23T23:15:00Z</dcterms:created>
  <dcterms:modified xsi:type="dcterms:W3CDTF">2026-10-14T06:16:00Z</dcterms:modified>
  <cp:category/>
</cp:coreProperties>
</file>