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63A5F"/>
          <w:sz w:val="46"/>
        </w:rPr>
        <w:t>GOVERNMENT POLICY,</w:t>
        <w:br/>
        <w:t>INTEREST RATES &amp; FISCAL INDICATORS</w:t>
      </w:r>
    </w:p>
    <w:p>
      <w:pPr>
        <w:jc w:val="center"/>
      </w:pPr>
      <w:r>
        <w:rPr>
          <w:i/>
          <w:sz w:val="26"/>
        </w:rPr>
        <w:t>Research Dimensions for an Indian Stock-Market Prediction Project</w:t>
      </w:r>
    </w:p>
    <w:p>
      <w:pPr>
        <w:jc w:val="center"/>
      </w:pPr>
      <w:r>
        <w:t>Category 7 | Research and feature-engineering plan | 14 October 2026</w:t>
      </w:r>
    </w:p>
    <w:p>
      <w:r>
        <w:t>Purpose: map policy, interest-rate, liquidity and fiscal variables into candidate features for a stock-market prediction research pipeline. This is not an investment recommendation and does not claim that any variable predicts returns.</w:t>
      </w:r>
    </w:p>
    <w:p>
      <w:r>
        <w:br w:type="page"/>
      </w:r>
    </w:p>
    <w:p>
      <w:pPr>
        <w:pStyle w:val="Heading1"/>
      </w:pPr>
      <w:r>
        <w:t>1. Executive Summary</w:t>
      </w:r>
    </w:p>
    <w:p>
      <w:r>
        <w:t>Government and central-bank decisions affect the cost of capital, borrowing, liquidity, demand, inflation expectations, currency pressure and sector profitability. Equity markets react not just to the announced level of a rate or tax, but to how the decision differs from what investors expected and how it changes the likely path of future policy.</w:t>
      </w:r>
    </w:p>
    <w:p>
      <w:r>
        <w:t>The category is divided into five core groups: (1) RBI policy rates and communication, (2) money-market and banking liquidity, (3) government borrowing and sovereign yields, (4) fiscal balances, spending and taxation, and (5) event-level policy announcements. These are related but should not be collapsed into a single 'policy' score until the individual features have been tested.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Dimension</w:t>
            </w:r>
          </w:p>
        </w:tc>
        <w:tc>
          <w:tcPr>
            <w:tcW w:type="dxa" w:w="2520"/>
            <w:shd w:fill="D9EAF2"/>
          </w:tcPr>
          <w:p>
            <w:r>
              <w:rPr>
                <w:b/>
                <w:sz w:val="16"/>
              </w:rPr>
              <w:t>Candidate variables</w:t>
            </w:r>
          </w:p>
        </w:tc>
        <w:tc>
          <w:tcPr>
            <w:tcW w:type="dxa" w:w="2520"/>
            <w:shd w:fill="D9EAF2"/>
          </w:tcPr>
          <w:p>
            <w:r>
              <w:rPr>
                <w:b/>
                <w:sz w:val="16"/>
              </w:rPr>
              <w:t>Possible transmission channel</w:t>
            </w:r>
          </w:p>
        </w:tc>
        <w:tc>
          <w:tcPr>
            <w:tcW w:type="dxa" w:w="2520"/>
            <w:shd w:fill="D9EAF2"/>
          </w:tcPr>
          <w:p>
            <w:r>
              <w:rPr>
                <w:b/>
                <w:sz w:val="16"/>
              </w:rPr>
              <w:t>Initial priority</w:t>
            </w:r>
          </w:p>
        </w:tc>
      </w:tr>
      <w:tr>
        <w:tc>
          <w:tcPr>
            <w:tcW w:type="dxa" w:w="2520"/>
            <w:vAlign w:val="center"/>
          </w:tcPr>
          <w:p>
            <w:pPr>
              <w:spacing w:after="40"/>
            </w:pPr>
            <w:r>
              <w:rPr>
                <w:sz w:val="16"/>
              </w:rPr>
              <w:t>RBI policy</w:t>
            </w:r>
          </w:p>
        </w:tc>
        <w:tc>
          <w:tcPr>
            <w:tcW w:type="dxa" w:w="2520"/>
            <w:vAlign w:val="center"/>
          </w:tcPr>
          <w:p>
            <w:pPr>
              <w:spacing w:after="40"/>
            </w:pPr>
            <w:r>
              <w:rPr>
                <w:sz w:val="16"/>
              </w:rPr>
              <w:t>Repo rate, policy stance, vote split where published, statement/minutes text features</w:t>
            </w:r>
          </w:p>
        </w:tc>
        <w:tc>
          <w:tcPr>
            <w:tcW w:type="dxa" w:w="2520"/>
            <w:vAlign w:val="center"/>
          </w:tcPr>
          <w:p>
            <w:pPr>
              <w:spacing w:after="40"/>
            </w:pPr>
            <w:r>
              <w:rPr>
                <w:sz w:val="16"/>
              </w:rPr>
              <w:t>Discount rates, lending rates, inflation/growth expectations</w:t>
            </w:r>
          </w:p>
        </w:tc>
        <w:tc>
          <w:tcPr>
            <w:tcW w:type="dxa" w:w="2520"/>
            <w:vAlign w:val="center"/>
          </w:tcPr>
          <w:p>
            <w:pPr>
              <w:spacing w:after="40"/>
            </w:pPr>
            <w:r>
              <w:rPr>
                <w:sz w:val="16"/>
              </w:rPr>
              <w:t>High</w:t>
            </w:r>
          </w:p>
        </w:tc>
      </w:tr>
      <w:tr>
        <w:tc>
          <w:tcPr>
            <w:tcW w:type="dxa" w:w="2520"/>
            <w:vAlign w:val="center"/>
          </w:tcPr>
          <w:p>
            <w:pPr>
              <w:spacing w:after="40"/>
            </w:pPr>
            <w:r>
              <w:rPr>
                <w:sz w:val="16"/>
              </w:rPr>
              <w:t>Short-term rates</w:t>
            </w:r>
          </w:p>
        </w:tc>
        <w:tc>
          <w:tcPr>
            <w:tcW w:type="dxa" w:w="2520"/>
            <w:vAlign w:val="center"/>
          </w:tcPr>
          <w:p>
            <w:pPr>
              <w:spacing w:after="40"/>
            </w:pPr>
            <w:r>
              <w:rPr>
                <w:sz w:val="16"/>
              </w:rPr>
              <w:t>Overnight rates, T-bill yields, money-market spreads</w:t>
            </w:r>
          </w:p>
        </w:tc>
        <w:tc>
          <w:tcPr>
            <w:tcW w:type="dxa" w:w="2520"/>
            <w:vAlign w:val="center"/>
          </w:tcPr>
          <w:p>
            <w:pPr>
              <w:spacing w:after="40"/>
            </w:pPr>
            <w:r>
              <w:rPr>
                <w:sz w:val="16"/>
              </w:rPr>
              <w:t>Funding cost and short-end liquidity conditions</w:t>
            </w:r>
          </w:p>
        </w:tc>
        <w:tc>
          <w:tcPr>
            <w:tcW w:type="dxa" w:w="2520"/>
            <w:vAlign w:val="center"/>
          </w:tcPr>
          <w:p>
            <w:pPr>
              <w:spacing w:after="40"/>
            </w:pPr>
            <w:r>
              <w:rPr>
                <w:sz w:val="16"/>
              </w:rPr>
              <w:t>High</w:t>
            </w:r>
          </w:p>
        </w:tc>
      </w:tr>
      <w:tr>
        <w:tc>
          <w:tcPr>
            <w:tcW w:type="dxa" w:w="2520"/>
            <w:vAlign w:val="center"/>
          </w:tcPr>
          <w:p>
            <w:pPr>
              <w:spacing w:after="40"/>
            </w:pPr>
            <w:r>
              <w:rPr>
                <w:sz w:val="16"/>
              </w:rPr>
              <w:t>System liquidity</w:t>
            </w:r>
          </w:p>
        </w:tc>
        <w:tc>
          <w:tcPr>
            <w:tcW w:type="dxa" w:w="2520"/>
            <w:vAlign w:val="center"/>
          </w:tcPr>
          <w:p>
            <w:pPr>
              <w:spacing w:after="40"/>
            </w:pPr>
            <w:r>
              <w:rPr>
                <w:sz w:val="16"/>
              </w:rPr>
              <w:t>RBI liquidity absorption/injection, net liquidity, durable liquidity proxies</w:t>
            </w:r>
          </w:p>
        </w:tc>
        <w:tc>
          <w:tcPr>
            <w:tcW w:type="dxa" w:w="2520"/>
            <w:vAlign w:val="center"/>
          </w:tcPr>
          <w:p>
            <w:pPr>
              <w:spacing w:after="40"/>
            </w:pPr>
            <w:r>
              <w:rPr>
                <w:sz w:val="16"/>
              </w:rPr>
              <w:t>Bank funding conditions and short-term rates</w:t>
            </w:r>
          </w:p>
        </w:tc>
        <w:tc>
          <w:tcPr>
            <w:tcW w:type="dxa" w:w="2520"/>
            <w:vAlign w:val="center"/>
          </w:tcPr>
          <w:p>
            <w:pPr>
              <w:spacing w:after="40"/>
            </w:pPr>
            <w:r>
              <w:rPr>
                <w:sz w:val="16"/>
              </w:rPr>
              <w:t>High, subject to data quality</w:t>
            </w:r>
          </w:p>
        </w:tc>
      </w:tr>
      <w:tr>
        <w:tc>
          <w:tcPr>
            <w:tcW w:type="dxa" w:w="2520"/>
            <w:vAlign w:val="center"/>
          </w:tcPr>
          <w:p>
            <w:pPr>
              <w:spacing w:after="40"/>
            </w:pPr>
            <w:r>
              <w:rPr>
                <w:sz w:val="16"/>
              </w:rPr>
              <w:t>Government bond market</w:t>
            </w:r>
          </w:p>
        </w:tc>
        <w:tc>
          <w:tcPr>
            <w:tcW w:type="dxa" w:w="2520"/>
            <w:vAlign w:val="center"/>
          </w:tcPr>
          <w:p>
            <w:pPr>
              <w:spacing w:after="40"/>
            </w:pPr>
            <w:r>
              <w:rPr>
                <w:sz w:val="16"/>
              </w:rPr>
              <w:t>10-year G-sec yield, curve slope, yield changes, auction results</w:t>
            </w:r>
          </w:p>
        </w:tc>
        <w:tc>
          <w:tcPr>
            <w:tcW w:type="dxa" w:w="2520"/>
            <w:vAlign w:val="center"/>
          </w:tcPr>
          <w:p>
            <w:pPr>
              <w:spacing w:after="40"/>
            </w:pPr>
            <w:r>
              <w:rPr>
                <w:sz w:val="16"/>
              </w:rPr>
              <w:t>Benchmark discount rate, crowding-out and duration effects</w:t>
            </w:r>
          </w:p>
        </w:tc>
        <w:tc>
          <w:tcPr>
            <w:tcW w:type="dxa" w:w="2520"/>
            <w:vAlign w:val="center"/>
          </w:tcPr>
          <w:p>
            <w:pPr>
              <w:spacing w:after="40"/>
            </w:pPr>
            <w:r>
              <w:rPr>
                <w:sz w:val="16"/>
              </w:rPr>
              <w:t>High</w:t>
            </w:r>
          </w:p>
        </w:tc>
      </w:tr>
      <w:tr>
        <w:tc>
          <w:tcPr>
            <w:tcW w:type="dxa" w:w="2520"/>
            <w:vAlign w:val="center"/>
          </w:tcPr>
          <w:p>
            <w:pPr>
              <w:spacing w:after="40"/>
            </w:pPr>
            <w:r>
              <w:rPr>
                <w:sz w:val="16"/>
              </w:rPr>
              <w:t>Fiscal position</w:t>
            </w:r>
          </w:p>
        </w:tc>
        <w:tc>
          <w:tcPr>
            <w:tcW w:type="dxa" w:w="2520"/>
            <w:vAlign w:val="center"/>
          </w:tcPr>
          <w:p>
            <w:pPr>
              <w:spacing w:after="40"/>
            </w:pPr>
            <w:r>
              <w:rPr>
                <w:sz w:val="16"/>
              </w:rPr>
              <w:t>Fiscal deficit, revenue deficit, debt/borrowing, tax receipts, expenditure</w:t>
            </w:r>
          </w:p>
        </w:tc>
        <w:tc>
          <w:tcPr>
            <w:tcW w:type="dxa" w:w="2520"/>
            <w:vAlign w:val="center"/>
          </w:tcPr>
          <w:p>
            <w:pPr>
              <w:spacing w:after="40"/>
            </w:pPr>
            <w:r>
              <w:rPr>
                <w:sz w:val="16"/>
              </w:rPr>
              <w:t>Demand, borrowing supply, sovereign risk and sector impacts</w:t>
            </w:r>
          </w:p>
        </w:tc>
        <w:tc>
          <w:tcPr>
            <w:tcW w:type="dxa" w:w="2520"/>
            <w:vAlign w:val="center"/>
          </w:tcPr>
          <w:p>
            <w:pPr>
              <w:spacing w:after="40"/>
            </w:pPr>
            <w:r>
              <w:rPr>
                <w:sz w:val="16"/>
              </w:rPr>
              <w:t>Medium</w:t>
            </w:r>
          </w:p>
        </w:tc>
      </w:tr>
      <w:tr>
        <w:tc>
          <w:tcPr>
            <w:tcW w:type="dxa" w:w="2520"/>
            <w:vAlign w:val="center"/>
          </w:tcPr>
          <w:p>
            <w:pPr>
              <w:spacing w:after="40"/>
            </w:pPr>
            <w:r>
              <w:rPr>
                <w:sz w:val="16"/>
              </w:rPr>
              <w:t>Policy events</w:t>
            </w:r>
          </w:p>
        </w:tc>
        <w:tc>
          <w:tcPr>
            <w:tcW w:type="dxa" w:w="2520"/>
            <w:vAlign w:val="center"/>
          </w:tcPr>
          <w:p>
            <w:pPr>
              <w:spacing w:after="40"/>
            </w:pPr>
            <w:r>
              <w:rPr>
                <w:sz w:val="16"/>
              </w:rPr>
              <w:t>RBI MPC, Union Budget, tax changes, major regulatory announcements</w:t>
            </w:r>
          </w:p>
        </w:tc>
        <w:tc>
          <w:tcPr>
            <w:tcW w:type="dxa" w:w="2520"/>
            <w:vAlign w:val="center"/>
          </w:tcPr>
          <w:p>
            <w:pPr>
              <w:spacing w:after="40"/>
            </w:pPr>
            <w:r>
              <w:rPr>
                <w:sz w:val="16"/>
              </w:rPr>
              <w:t>Event surprises, uncertainty and sector-specific effects</w:t>
            </w:r>
          </w:p>
        </w:tc>
        <w:tc>
          <w:tcPr>
            <w:tcW w:type="dxa" w:w="2520"/>
            <w:vAlign w:val="center"/>
          </w:tcPr>
          <w:p>
            <w:pPr>
              <w:spacing w:after="40"/>
            </w:pPr>
            <w:r>
              <w:rPr>
                <w:sz w:val="16"/>
              </w:rPr>
              <w:t>High around events</w:t>
            </w:r>
          </w:p>
        </w:tc>
      </w:tr>
      <w:tr>
        <w:tc>
          <w:tcPr>
            <w:tcW w:type="dxa" w:w="2520"/>
            <w:vAlign w:val="center"/>
          </w:tcPr>
          <w:p>
            <w:pPr>
              <w:spacing w:after="40"/>
            </w:pPr>
            <w:r>
              <w:rPr>
                <w:sz w:val="16"/>
              </w:rPr>
              <w:t>Administered prices/taxes</w:t>
            </w:r>
          </w:p>
        </w:tc>
        <w:tc>
          <w:tcPr>
            <w:tcW w:type="dxa" w:w="2520"/>
            <w:vAlign w:val="center"/>
          </w:tcPr>
          <w:p>
            <w:pPr>
              <w:spacing w:after="40"/>
            </w:pPr>
            <w:r>
              <w:rPr>
                <w:sz w:val="16"/>
              </w:rPr>
              <w:t>Fuel taxes, customs duties, GST changes, subsidies</w:t>
            </w:r>
          </w:p>
        </w:tc>
        <w:tc>
          <w:tcPr>
            <w:tcW w:type="dxa" w:w="2520"/>
            <w:vAlign w:val="center"/>
          </w:tcPr>
          <w:p>
            <w:pPr>
              <w:spacing w:after="40"/>
            </w:pPr>
            <w:r>
              <w:rPr>
                <w:sz w:val="16"/>
              </w:rPr>
              <w:t>Input costs, inflation and specific company margins</w:t>
            </w:r>
          </w:p>
        </w:tc>
        <w:tc>
          <w:tcPr>
            <w:tcW w:type="dxa" w:w="2520"/>
            <w:vAlign w:val="center"/>
          </w:tcPr>
          <w:p>
            <w:pPr>
              <w:spacing w:after="40"/>
            </w:pPr>
            <w:r>
              <w:rPr>
                <w:sz w:val="16"/>
              </w:rPr>
              <w:t>Medium; event-specific</w:t>
            </w:r>
          </w:p>
        </w:tc>
      </w:tr>
    </w:tbl>
    <w:p/>
    <w:p>
      <w:pPr>
        <w:pStyle w:val="Heading1"/>
      </w:pPr>
      <w:r>
        <w:t>2. Scope and Relationship to Other Categories</w:t>
      </w:r>
    </w:p>
    <w:p>
      <w:r>
        <w:t>This category focuses on policy instruments and government fiscal choices. It overlaps economically with inflation and global yields, but its raw variables and event timing are distinct. For example, CPI is primarily an inflation observation; the repo rate is a policy instrument; a 10-year G-sec yield is a market price reflecting expectations, term premia, supply and demand.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Concept</w:t>
            </w:r>
          </w:p>
        </w:tc>
        <w:tc>
          <w:tcPr>
            <w:tcW w:type="dxa" w:w="2520"/>
            <w:shd w:fill="D9EAF2"/>
          </w:tcPr>
          <w:p>
            <w:r>
              <w:rPr>
                <w:b/>
                <w:sz w:val="16"/>
              </w:rPr>
              <w:t>What it represents</w:t>
            </w:r>
          </w:p>
        </w:tc>
        <w:tc>
          <w:tcPr>
            <w:tcW w:type="dxa" w:w="2520"/>
            <w:shd w:fill="D9EAF2"/>
          </w:tcPr>
          <w:p>
            <w:r>
              <w:rPr>
                <w:b/>
                <w:sz w:val="16"/>
              </w:rPr>
              <w:t>Example</w:t>
            </w:r>
          </w:p>
        </w:tc>
        <w:tc>
          <w:tcPr>
            <w:tcW w:type="dxa" w:w="2520"/>
            <w:shd w:fill="D9EAF2"/>
          </w:tcPr>
          <w:p>
            <w:r>
              <w:rPr>
                <w:b/>
                <w:sz w:val="16"/>
              </w:rPr>
              <w:t>Key distinction</w:t>
            </w:r>
          </w:p>
        </w:tc>
      </w:tr>
      <w:tr>
        <w:tc>
          <w:tcPr>
            <w:tcW w:type="dxa" w:w="2520"/>
            <w:vAlign w:val="center"/>
          </w:tcPr>
          <w:p>
            <w:pPr>
              <w:spacing w:after="40"/>
            </w:pPr>
            <w:r>
              <w:rPr>
                <w:sz w:val="16"/>
              </w:rPr>
              <w:t>Policy instrument</w:t>
            </w:r>
          </w:p>
        </w:tc>
        <w:tc>
          <w:tcPr>
            <w:tcW w:type="dxa" w:w="2520"/>
            <w:vAlign w:val="center"/>
          </w:tcPr>
          <w:p>
            <w:pPr>
              <w:spacing w:after="40"/>
            </w:pPr>
            <w:r>
              <w:rPr>
                <w:sz w:val="16"/>
              </w:rPr>
              <w:t>Rate or rule directly set/announced by an authority</w:t>
            </w:r>
          </w:p>
        </w:tc>
        <w:tc>
          <w:tcPr>
            <w:tcW w:type="dxa" w:w="2520"/>
            <w:vAlign w:val="center"/>
          </w:tcPr>
          <w:p>
            <w:pPr>
              <w:spacing w:after="40"/>
            </w:pPr>
            <w:r>
              <w:rPr>
                <w:sz w:val="16"/>
              </w:rPr>
              <w:t>RBI repo rate</w:t>
            </w:r>
          </w:p>
        </w:tc>
        <w:tc>
          <w:tcPr>
            <w:tcW w:type="dxa" w:w="2520"/>
            <w:vAlign w:val="center"/>
          </w:tcPr>
          <w:p>
            <w:pPr>
              <w:spacing w:after="40"/>
            </w:pPr>
            <w:r>
              <w:rPr>
                <w:sz w:val="16"/>
              </w:rPr>
              <w:t>Often changes only on decision dates</w:t>
            </w:r>
          </w:p>
        </w:tc>
      </w:tr>
      <w:tr>
        <w:tc>
          <w:tcPr>
            <w:tcW w:type="dxa" w:w="2520"/>
            <w:vAlign w:val="center"/>
          </w:tcPr>
          <w:p>
            <w:pPr>
              <w:spacing w:after="40"/>
            </w:pPr>
            <w:r>
              <w:rPr>
                <w:sz w:val="16"/>
              </w:rPr>
              <w:t>Market-implied condition</w:t>
            </w:r>
          </w:p>
        </w:tc>
        <w:tc>
          <w:tcPr>
            <w:tcW w:type="dxa" w:w="2520"/>
            <w:vAlign w:val="center"/>
          </w:tcPr>
          <w:p>
            <w:pPr>
              <w:spacing w:after="40"/>
            </w:pPr>
            <w:r>
              <w:rPr>
                <w:sz w:val="16"/>
              </w:rPr>
              <w:t>Price or yield formed by market participants</w:t>
            </w:r>
          </w:p>
        </w:tc>
        <w:tc>
          <w:tcPr>
            <w:tcW w:type="dxa" w:w="2520"/>
            <w:vAlign w:val="center"/>
          </w:tcPr>
          <w:p>
            <w:pPr>
              <w:spacing w:after="40"/>
            </w:pPr>
            <w:r>
              <w:rPr>
                <w:sz w:val="16"/>
              </w:rPr>
              <w:t>10-year G-sec yield, overnight money-market rate</w:t>
            </w:r>
          </w:p>
        </w:tc>
        <w:tc>
          <w:tcPr>
            <w:tcW w:type="dxa" w:w="2520"/>
            <w:vAlign w:val="center"/>
          </w:tcPr>
          <w:p>
            <w:pPr>
              <w:spacing w:after="40"/>
            </w:pPr>
            <w:r>
              <w:rPr>
                <w:sz w:val="16"/>
              </w:rPr>
              <w:t>Moves every trading day and may anticipate policy</w:t>
            </w:r>
          </w:p>
        </w:tc>
      </w:tr>
      <w:tr>
        <w:tc>
          <w:tcPr>
            <w:tcW w:type="dxa" w:w="2520"/>
            <w:vAlign w:val="center"/>
          </w:tcPr>
          <w:p>
            <w:pPr>
              <w:spacing w:after="40"/>
            </w:pPr>
            <w:r>
              <w:rPr>
                <w:sz w:val="16"/>
              </w:rPr>
              <w:t>Policy stance / communication</w:t>
            </w:r>
          </w:p>
        </w:tc>
        <w:tc>
          <w:tcPr>
            <w:tcW w:type="dxa" w:w="2520"/>
            <w:vAlign w:val="center"/>
          </w:tcPr>
          <w:p>
            <w:pPr>
              <w:spacing w:after="40"/>
            </w:pPr>
            <w:r>
              <w:rPr>
                <w:sz w:val="16"/>
              </w:rPr>
              <w:t>Guidance about future policy preferences</w:t>
            </w:r>
          </w:p>
        </w:tc>
        <w:tc>
          <w:tcPr>
            <w:tcW w:type="dxa" w:w="2520"/>
            <w:vAlign w:val="center"/>
          </w:tcPr>
          <w:p>
            <w:pPr>
              <w:spacing w:after="40"/>
            </w:pPr>
            <w:r>
              <w:rPr>
                <w:sz w:val="16"/>
              </w:rPr>
              <w:t>Accommodative, neutral, withdrawal of accommodation; statement language</w:t>
            </w:r>
          </w:p>
        </w:tc>
        <w:tc>
          <w:tcPr>
            <w:tcW w:type="dxa" w:w="2520"/>
            <w:vAlign w:val="center"/>
          </w:tcPr>
          <w:p>
            <w:pPr>
              <w:spacing w:after="40"/>
            </w:pPr>
            <w:r>
              <w:rPr>
                <w:sz w:val="16"/>
              </w:rPr>
              <w:t>Text labels need reproducible definitions</w:t>
            </w:r>
          </w:p>
        </w:tc>
      </w:tr>
      <w:tr>
        <w:tc>
          <w:tcPr>
            <w:tcW w:type="dxa" w:w="2520"/>
            <w:vAlign w:val="center"/>
          </w:tcPr>
          <w:p>
            <w:pPr>
              <w:spacing w:after="40"/>
            </w:pPr>
            <w:r>
              <w:rPr>
                <w:sz w:val="16"/>
              </w:rPr>
              <w:t>Fiscal flow</w:t>
            </w:r>
          </w:p>
        </w:tc>
        <w:tc>
          <w:tcPr>
            <w:tcW w:type="dxa" w:w="2520"/>
            <w:vAlign w:val="center"/>
          </w:tcPr>
          <w:p>
            <w:pPr>
              <w:spacing w:after="40"/>
            </w:pPr>
            <w:r>
              <w:rPr>
                <w:sz w:val="16"/>
              </w:rPr>
              <w:t>Government revenue or spending over a period</w:t>
            </w:r>
          </w:p>
        </w:tc>
        <w:tc>
          <w:tcPr>
            <w:tcW w:type="dxa" w:w="2520"/>
            <w:vAlign w:val="center"/>
          </w:tcPr>
          <w:p>
            <w:pPr>
              <w:spacing w:after="40"/>
            </w:pPr>
            <w:r>
              <w:rPr>
                <w:sz w:val="16"/>
              </w:rPr>
              <w:t>Monthly fiscal deficit, capital expenditure</w:t>
            </w:r>
          </w:p>
        </w:tc>
        <w:tc>
          <w:tcPr>
            <w:tcW w:type="dxa" w:w="2520"/>
            <w:vAlign w:val="center"/>
          </w:tcPr>
          <w:p>
            <w:pPr>
              <w:spacing w:after="40"/>
            </w:pPr>
            <w:r>
              <w:rPr>
                <w:sz w:val="16"/>
              </w:rPr>
              <w:t>Period covered differs from publication date</w:t>
            </w:r>
          </w:p>
        </w:tc>
      </w:tr>
      <w:tr>
        <w:tc>
          <w:tcPr>
            <w:tcW w:type="dxa" w:w="2520"/>
            <w:vAlign w:val="center"/>
          </w:tcPr>
          <w:p>
            <w:pPr>
              <w:spacing w:after="40"/>
            </w:pPr>
            <w:r>
              <w:rPr>
                <w:sz w:val="16"/>
              </w:rPr>
              <w:t>Policy surprise</w:t>
            </w:r>
          </w:p>
        </w:tc>
        <w:tc>
          <w:tcPr>
            <w:tcW w:type="dxa" w:w="2520"/>
            <w:vAlign w:val="center"/>
          </w:tcPr>
          <w:p>
            <w:pPr>
              <w:spacing w:after="40"/>
            </w:pPr>
            <w:r>
              <w:rPr>
                <w:sz w:val="16"/>
              </w:rPr>
              <w:t>Actual decision minus what was expected before announcement</w:t>
            </w:r>
          </w:p>
        </w:tc>
        <w:tc>
          <w:tcPr>
            <w:tcW w:type="dxa" w:w="2520"/>
            <w:vAlign w:val="center"/>
          </w:tcPr>
          <w:p>
            <w:pPr>
              <w:spacing w:after="40"/>
            </w:pPr>
            <w:r>
              <w:rPr>
                <w:sz w:val="16"/>
              </w:rPr>
              <w:t>Repo change vs consensus expectation</w:t>
            </w:r>
          </w:p>
        </w:tc>
        <w:tc>
          <w:tcPr>
            <w:tcW w:type="dxa" w:w="2520"/>
            <w:vAlign w:val="center"/>
          </w:tcPr>
          <w:p>
            <w:pPr>
              <w:spacing w:after="40"/>
            </w:pPr>
            <w:r>
              <w:rPr>
                <w:sz w:val="16"/>
              </w:rPr>
              <w:t>Requires a time-stamped expectation snapshot</w:t>
            </w:r>
          </w:p>
        </w:tc>
      </w:tr>
    </w:tbl>
    <w:p/>
    <w:p>
      <w:pPr>
        <w:pStyle w:val="Heading1"/>
      </w:pPr>
      <w:r>
        <w:t>3. Research Dimension Tree</w:t>
      </w:r>
    </w:p>
    <w:p>
      <w:pPr>
        <w:pStyle w:val="ListBullet"/>
        <w:spacing w:after="40"/>
      </w:pPr>
      <w:r>
        <w:t>3.1 RBI policy rates: repo rate, standing deposit facility (SDF), marginal standing facility (MSF), bank rate and policy corridor.</w:t>
      </w:r>
    </w:p>
    <w:p>
      <w:pPr>
        <w:pStyle w:val="ListBullet"/>
        <w:spacing w:after="40"/>
      </w:pPr>
      <w:r>
        <w:t>3.2 Monetary-policy stance and communication: stance labels, statement wording, projections, minutes, vote split and forward guidance.</w:t>
      </w:r>
    </w:p>
    <w:p>
      <w:pPr>
        <w:pStyle w:val="ListBullet"/>
        <w:spacing w:after="40"/>
      </w:pPr>
      <w:r>
        <w:t>3.3 Short-term rates: call money/overnight rates, TREPS or other eligible overnight benchmarks, Treasury bill yields, short-end spreads.</w:t>
      </w:r>
    </w:p>
    <w:p>
      <w:pPr>
        <w:pStyle w:val="ListBullet"/>
        <w:spacing w:after="40"/>
      </w:pPr>
      <w:r>
        <w:t>3.4 Banking-system liquidity: net liquidity injection/absorption, durable liquidity proxies, cash reserve ratio (CRR), open-market operations (OMO), variable-rate repo/reverse-repo operations where applicable.</w:t>
      </w:r>
    </w:p>
    <w:p>
      <w:pPr>
        <w:pStyle w:val="ListBullet"/>
        <w:spacing w:after="40"/>
      </w:pPr>
      <w:r>
        <w:t>3.5 Sovereign bond market: 10-year G-sec yield, 2/5/10-year curve, slope, daily change, auction cut-off yields, bid-cover and issuance calendar.</w:t>
      </w:r>
    </w:p>
    <w:p>
      <w:pPr>
        <w:pStyle w:val="ListBullet"/>
        <w:spacing w:after="40"/>
      </w:pPr>
      <w:r>
        <w:t>3.6 Fiscal balances: fiscal deficit, revenue deficit, primary deficit, receipts, revenue expenditure and capital expenditure.</w:t>
      </w:r>
    </w:p>
    <w:p>
      <w:pPr>
        <w:pStyle w:val="ListBullet"/>
        <w:spacing w:after="40"/>
      </w:pPr>
      <w:r>
        <w:t>3.7 Government borrowing: gross/net market borrowing, dated securities issuance, maturity profile, buybacks/switches and auction outcomes.</w:t>
      </w:r>
    </w:p>
    <w:p>
      <w:pPr>
        <w:pStyle w:val="ListBullet"/>
        <w:spacing w:after="40"/>
      </w:pPr>
      <w:r>
        <w:t>3.8 Tax and administered-policy events: Union Budget measures, direct/indirect tax changes, GST rate decisions, customs duties, fuel taxes and subsidies.</w:t>
      </w:r>
    </w:p>
    <w:p>
      <w:pPr>
        <w:pStyle w:val="ListBullet"/>
        <w:spacing w:after="40"/>
      </w:pPr>
      <w:r>
        <w:t>3.9 Regulatory decisions: RBI rules affecting banks/NBFCs, SEBI decisions where market-wide, sector policy announcements and major government notifications.</w:t>
      </w:r>
    </w:p>
    <w:p>
      <w:pPr>
        <w:pStyle w:val="ListBullet"/>
        <w:spacing w:after="40"/>
      </w:pPr>
      <w:r>
        <w:t>3.10 Event surprise and uncertainty: expected versus actual rate change, policy wording surprise, event-window volatility and sector-specific exposure.</w:t>
      </w:r>
    </w:p>
    <w:p>
      <w:pPr>
        <w:pStyle w:val="ListBullet"/>
        <w:spacing w:after="40"/>
      </w:pPr>
      <w:r>
        <w:t>3.11 Interactions and regimes: policy × inflation, policy × growth, yield × global rates, liquidity × bank credit, fiscal spending × sector returns.</w:t>
      </w:r>
    </w:p>
    <w:p>
      <w:pPr>
        <w:pStyle w:val="Heading1"/>
      </w:pPr>
      <w:r>
        <w:t>4. Mechanisms: Why These Variables Might Matter</w:t>
      </w:r>
    </w:p>
    <w:p>
      <w:pPr>
        <w:pStyle w:val="Heading2"/>
      </w:pPr>
      <w:r>
        <w:t>4.1 Policy rates and valuation</w:t>
      </w:r>
    </w:p>
    <w:p>
      <w:r>
        <w:t>A higher policy rate can raise borrowing costs and the discount rate applied to future cash flows, but it may also signal confidence in growth or a response to inflation. Lower rates can ease financing conditions but may also be announced during weak growth. A rate's impact therefore depends on the reason for the decision and whether it was already expected.</w:t>
      </w:r>
    </w:p>
    <w:p>
      <w:pPr>
        <w:pStyle w:val="Heading2"/>
      </w:pPr>
      <w:r>
        <w:t>4.2 Monetary-policy communication</w:t>
      </w:r>
    </w:p>
    <w:p>
      <w:r>
        <w:t>The statement, projections and press conference can shift expectations about the future rate path even when the current rate is unchanged. Text-based features are possible, but they need a fixed dictionary/model, release timestamp, versioning and out-of-sample validation. Do not manually label a statement as 'hawkish' after seeing the market reaction.</w:t>
      </w:r>
    </w:p>
    <w:p>
      <w:pPr>
        <w:pStyle w:val="Heading2"/>
      </w:pPr>
      <w:r>
        <w:t>4.3 Liquidity and short-term funding</w:t>
      </w:r>
    </w:p>
    <w:p>
      <w:r>
        <w:t>When the banking system has more or less liquidity, overnight rates and funding conditions may change. The effect can reach banks, NBFCs, bond markets and risk appetite. Liquidity is multi-dimensional: an RBI operation, net system liquidity estimate and market overnight rate are related but not identical.</w:t>
      </w:r>
    </w:p>
    <w:p>
      <w:pPr>
        <w:pStyle w:val="Heading2"/>
      </w:pPr>
      <w:r>
        <w:t>4.4 Sovereign yields and borrowing supply</w:t>
      </w:r>
    </w:p>
    <w:p>
      <w:r>
        <w:t>G-sec yields influence benchmark discount rates and can affect corporate borrowing costs. Yields reflect expected policy rates, inflation, global yields, term premium, demand and government issuance. A yield rise cannot automatically be attributed to fiscal risk or treated as bearish for all equities.</w:t>
      </w:r>
    </w:p>
    <w:p>
      <w:pPr>
        <w:pStyle w:val="Heading2"/>
      </w:pPr>
      <w:r>
        <w:t>4.5 Fiscal spending and taxation</w:t>
      </w:r>
    </w:p>
    <w:p>
      <w:r>
        <w:t>Government capital expenditure may support infrastructure and related supply chains; consumption-oriented spending can affect demand; borrowing can increase bond supply; tax changes redistribute costs and demand across sectors. Announced allocations are not the same as actual spending. Compare budget estimates, revised estimates and actuals only with clear vintage labels.</w:t>
      </w:r>
    </w:p>
    <w:p>
      <w:pPr>
        <w:pStyle w:val="Heading2"/>
      </w:pPr>
      <w:r>
        <w:t>4.6 Surprise versus level</w:t>
      </w:r>
    </w:p>
    <w:p>
      <w:r>
        <w:t>A widely anticipated 25-basis-point rate cut may produce a small reaction, while an unexpected hold or a change in guidance can cause a larger move. For event research, the pre-event expectation must be captured before the announcement. Without reliable historical expectations, use the observed decision and avoid calling it a 'surprise'.</w:t>
      </w:r>
    </w:p>
    <w:p>
      <w:pPr>
        <w:pStyle w:val="Heading1"/>
      </w:pPr>
      <w:r>
        <w:t>5. Raw Data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Dataset</w:t>
            </w:r>
          </w:p>
        </w:tc>
        <w:tc>
          <w:tcPr>
            <w:tcW w:type="dxa" w:w="2520"/>
            <w:shd w:fill="D9EAF2"/>
          </w:tcPr>
          <w:p>
            <w:r>
              <w:rPr>
                <w:b/>
                <w:sz w:val="16"/>
              </w:rPr>
              <w:t>Raw fields</w:t>
            </w:r>
          </w:p>
        </w:tc>
        <w:tc>
          <w:tcPr>
            <w:tcW w:type="dxa" w:w="2520"/>
            <w:shd w:fill="D9EAF2"/>
          </w:tcPr>
          <w:p>
            <w:r>
              <w:rPr>
                <w:b/>
                <w:sz w:val="16"/>
              </w:rPr>
              <w:t>Frequency/history</w:t>
            </w:r>
          </w:p>
        </w:tc>
        <w:tc>
          <w:tcPr>
            <w:tcW w:type="dxa" w:w="2520"/>
            <w:shd w:fill="D9EAF2"/>
          </w:tcPr>
          <w:p>
            <w:r>
              <w:rPr>
                <w:b/>
                <w:sz w:val="16"/>
              </w:rPr>
              <w:t>Quality controls</w:t>
            </w:r>
          </w:p>
        </w:tc>
      </w:tr>
      <w:tr>
        <w:tc>
          <w:tcPr>
            <w:tcW w:type="dxa" w:w="2520"/>
            <w:vAlign w:val="center"/>
          </w:tcPr>
          <w:p>
            <w:pPr>
              <w:spacing w:after="40"/>
            </w:pPr>
            <w:r>
              <w:rPr>
                <w:sz w:val="16"/>
              </w:rPr>
              <w:t>RBI policy decisions</w:t>
            </w:r>
          </w:p>
        </w:tc>
        <w:tc>
          <w:tcPr>
            <w:tcW w:type="dxa" w:w="2520"/>
            <w:vAlign w:val="center"/>
          </w:tcPr>
          <w:p>
            <w:pPr>
              <w:spacing w:after="40"/>
            </w:pPr>
            <w:r>
              <w:rPr>
                <w:sz w:val="16"/>
              </w:rPr>
              <w:t>Decision date/time, old/new rate, stance, statement URL, MPC minutes date, vote count where published</w:t>
            </w:r>
          </w:p>
        </w:tc>
        <w:tc>
          <w:tcPr>
            <w:tcW w:type="dxa" w:w="2520"/>
            <w:vAlign w:val="center"/>
          </w:tcPr>
          <w:p>
            <w:pPr>
              <w:spacing w:after="40"/>
            </w:pPr>
            <w:r>
              <w:rPr>
                <w:sz w:val="16"/>
              </w:rPr>
              <w:t>Event-level; collect full historical record</w:t>
            </w:r>
          </w:p>
        </w:tc>
        <w:tc>
          <w:tcPr>
            <w:tcW w:type="dxa" w:w="2520"/>
            <w:vAlign w:val="center"/>
          </w:tcPr>
          <w:p>
            <w:pPr>
              <w:spacing w:after="40"/>
            </w:pPr>
            <w:r>
              <w:rPr>
                <w:sz w:val="16"/>
              </w:rPr>
              <w:t>Distinguish decision date from minutes publication date</w:t>
            </w:r>
          </w:p>
        </w:tc>
      </w:tr>
      <w:tr>
        <w:tc>
          <w:tcPr>
            <w:tcW w:type="dxa" w:w="2520"/>
            <w:vAlign w:val="center"/>
          </w:tcPr>
          <w:p>
            <w:pPr>
              <w:spacing w:after="40"/>
            </w:pPr>
            <w:r>
              <w:rPr>
                <w:sz w:val="16"/>
              </w:rPr>
              <w:t>Money-market rates</w:t>
            </w:r>
          </w:p>
        </w:tc>
        <w:tc>
          <w:tcPr>
            <w:tcW w:type="dxa" w:w="2520"/>
            <w:vAlign w:val="center"/>
          </w:tcPr>
          <w:p>
            <w:pPr>
              <w:spacing w:after="40"/>
            </w:pPr>
            <w:r>
              <w:rPr>
                <w:sz w:val="16"/>
              </w:rPr>
              <w:t>Date/time, instrument, rate, source, unit, market/session definition</w:t>
            </w:r>
          </w:p>
        </w:tc>
        <w:tc>
          <w:tcPr>
            <w:tcW w:type="dxa" w:w="2520"/>
            <w:vAlign w:val="center"/>
          </w:tcPr>
          <w:p>
            <w:pPr>
              <w:spacing w:after="40"/>
            </w:pPr>
            <w:r>
              <w:rPr>
                <w:sz w:val="16"/>
              </w:rPr>
              <w:t>Daily/intraday if required</w:t>
            </w:r>
          </w:p>
        </w:tc>
        <w:tc>
          <w:tcPr>
            <w:tcW w:type="dxa" w:w="2520"/>
            <w:vAlign w:val="center"/>
          </w:tcPr>
          <w:p>
            <w:pPr>
              <w:spacing w:after="40"/>
            </w:pPr>
            <w:r>
              <w:rPr>
                <w:sz w:val="16"/>
              </w:rPr>
              <w:t>Benchmark changes, holiday gaps, quote conventions</w:t>
            </w:r>
          </w:p>
        </w:tc>
      </w:tr>
      <w:tr>
        <w:tc>
          <w:tcPr>
            <w:tcW w:type="dxa" w:w="2520"/>
            <w:vAlign w:val="center"/>
          </w:tcPr>
          <w:p>
            <w:pPr>
              <w:spacing w:after="40"/>
            </w:pPr>
            <w:r>
              <w:rPr>
                <w:sz w:val="16"/>
              </w:rPr>
              <w:t>System liquidity</w:t>
            </w:r>
          </w:p>
        </w:tc>
        <w:tc>
          <w:tcPr>
            <w:tcW w:type="dxa" w:w="2520"/>
            <w:vAlign w:val="center"/>
          </w:tcPr>
          <w:p>
            <w:pPr>
              <w:spacing w:after="40"/>
            </w:pPr>
            <w:r>
              <w:rPr>
                <w:sz w:val="16"/>
              </w:rPr>
              <w:t>RBI injection/absorption operations, net liquidity series, CRR, OMO details, operation dates/amounts</w:t>
            </w:r>
          </w:p>
        </w:tc>
        <w:tc>
          <w:tcPr>
            <w:tcW w:type="dxa" w:w="2520"/>
            <w:vAlign w:val="center"/>
          </w:tcPr>
          <w:p>
            <w:pPr>
              <w:spacing w:after="40"/>
            </w:pPr>
            <w:r>
              <w:rPr>
                <w:sz w:val="16"/>
              </w:rPr>
              <w:t>Daily/weekly/event-level depending series</w:t>
            </w:r>
          </w:p>
        </w:tc>
        <w:tc>
          <w:tcPr>
            <w:tcW w:type="dxa" w:w="2520"/>
            <w:vAlign w:val="center"/>
          </w:tcPr>
          <w:p>
            <w:pPr>
              <w:spacing w:after="40"/>
            </w:pPr>
            <w:r>
              <w:rPr>
                <w:sz w:val="16"/>
              </w:rPr>
              <w:t>Definitions differ; net liquidity can be revised or calculated from components</w:t>
            </w:r>
          </w:p>
        </w:tc>
      </w:tr>
      <w:tr>
        <w:tc>
          <w:tcPr>
            <w:tcW w:type="dxa" w:w="2520"/>
            <w:vAlign w:val="center"/>
          </w:tcPr>
          <w:p>
            <w:pPr>
              <w:spacing w:after="40"/>
            </w:pPr>
            <w:r>
              <w:rPr>
                <w:sz w:val="16"/>
              </w:rPr>
              <w:t>G-sec yields</w:t>
            </w:r>
          </w:p>
        </w:tc>
        <w:tc>
          <w:tcPr>
            <w:tcW w:type="dxa" w:w="2520"/>
            <w:vAlign w:val="center"/>
          </w:tcPr>
          <w:p>
            <w:pPr>
              <w:spacing w:after="40"/>
            </w:pPr>
            <w:r>
              <w:rPr>
                <w:sz w:val="16"/>
              </w:rPr>
              <w:t>Date, maturity, yield, source, timestamp, benchmark/security identifier</w:t>
            </w:r>
          </w:p>
        </w:tc>
        <w:tc>
          <w:tcPr>
            <w:tcW w:type="dxa" w:w="2520"/>
            <w:vAlign w:val="center"/>
          </w:tcPr>
          <w:p>
            <w:pPr>
              <w:spacing w:after="40"/>
            </w:pPr>
            <w:r>
              <w:rPr>
                <w:sz w:val="16"/>
              </w:rPr>
              <w:t>Daily</w:t>
            </w:r>
          </w:p>
        </w:tc>
        <w:tc>
          <w:tcPr>
            <w:tcW w:type="dxa" w:w="2520"/>
            <w:vAlign w:val="center"/>
          </w:tcPr>
          <w:p>
            <w:pPr>
              <w:spacing w:after="40"/>
            </w:pPr>
            <w:r>
              <w:rPr>
                <w:sz w:val="16"/>
              </w:rPr>
              <w:t>Benchmark switches, stale values, percent vs basis points</w:t>
            </w:r>
          </w:p>
        </w:tc>
      </w:tr>
      <w:tr>
        <w:tc>
          <w:tcPr>
            <w:tcW w:type="dxa" w:w="2520"/>
            <w:vAlign w:val="center"/>
          </w:tcPr>
          <w:p>
            <w:pPr>
              <w:spacing w:after="40"/>
            </w:pPr>
            <w:r>
              <w:rPr>
                <w:sz w:val="16"/>
              </w:rPr>
              <w:t>Auction/borrowing</w:t>
            </w:r>
          </w:p>
        </w:tc>
        <w:tc>
          <w:tcPr>
            <w:tcW w:type="dxa" w:w="2520"/>
            <w:vAlign w:val="center"/>
          </w:tcPr>
          <w:p>
            <w:pPr>
              <w:spacing w:after="40"/>
            </w:pPr>
            <w:r>
              <w:rPr>
                <w:sz w:val="16"/>
              </w:rPr>
              <w:t>Security, issue date, amount notified/accepted, cut-off yield, bid-cover, maturity, auction result time</w:t>
            </w:r>
          </w:p>
        </w:tc>
        <w:tc>
          <w:tcPr>
            <w:tcW w:type="dxa" w:w="2520"/>
            <w:vAlign w:val="center"/>
          </w:tcPr>
          <w:p>
            <w:pPr>
              <w:spacing w:after="40"/>
            </w:pPr>
            <w:r>
              <w:rPr>
                <w:sz w:val="16"/>
              </w:rPr>
              <w:t>Event-level</w:t>
            </w:r>
          </w:p>
        </w:tc>
        <w:tc>
          <w:tcPr>
            <w:tcW w:type="dxa" w:w="2520"/>
            <w:vAlign w:val="center"/>
          </w:tcPr>
          <w:p>
            <w:pPr>
              <w:spacing w:after="40"/>
            </w:pPr>
            <w:r>
              <w:rPr>
                <w:sz w:val="16"/>
              </w:rPr>
              <w:t>Distinguish planned issuance from accepted issuance</w:t>
            </w:r>
          </w:p>
        </w:tc>
      </w:tr>
      <w:tr>
        <w:tc>
          <w:tcPr>
            <w:tcW w:type="dxa" w:w="2520"/>
            <w:vAlign w:val="center"/>
          </w:tcPr>
          <w:p>
            <w:pPr>
              <w:spacing w:after="40"/>
            </w:pPr>
            <w:r>
              <w:rPr>
                <w:sz w:val="16"/>
              </w:rPr>
              <w:t>Fiscal accounts</w:t>
            </w:r>
          </w:p>
        </w:tc>
        <w:tc>
          <w:tcPr>
            <w:tcW w:type="dxa" w:w="2520"/>
            <w:vAlign w:val="center"/>
          </w:tcPr>
          <w:p>
            <w:pPr>
              <w:spacing w:after="40"/>
            </w:pPr>
            <w:r>
              <w:rPr>
                <w:sz w:val="16"/>
              </w:rPr>
              <w:t>Period, receipt/expenditure category, actual/BE/RE, amount, unit, release date</w:t>
            </w:r>
          </w:p>
        </w:tc>
        <w:tc>
          <w:tcPr>
            <w:tcW w:type="dxa" w:w="2520"/>
            <w:vAlign w:val="center"/>
          </w:tcPr>
          <w:p>
            <w:pPr>
              <w:spacing w:after="40"/>
            </w:pPr>
            <w:r>
              <w:rPr>
                <w:sz w:val="16"/>
              </w:rPr>
              <w:t>Monthly and annual</w:t>
            </w:r>
          </w:p>
        </w:tc>
        <w:tc>
          <w:tcPr>
            <w:tcW w:type="dxa" w:w="2520"/>
            <w:vAlign w:val="center"/>
          </w:tcPr>
          <w:p>
            <w:pPr>
              <w:spacing w:after="40"/>
            </w:pPr>
            <w:r>
              <w:rPr>
                <w:sz w:val="16"/>
              </w:rPr>
              <w:t>Nominal values, fiscal-year periods, revised estimates</w:t>
            </w:r>
          </w:p>
        </w:tc>
      </w:tr>
      <w:tr>
        <w:tc>
          <w:tcPr>
            <w:tcW w:type="dxa" w:w="2520"/>
            <w:vAlign w:val="center"/>
          </w:tcPr>
          <w:p>
            <w:pPr>
              <w:spacing w:after="40"/>
            </w:pPr>
            <w:r>
              <w:rPr>
                <w:sz w:val="16"/>
              </w:rPr>
              <w:t>Policy events</w:t>
            </w:r>
          </w:p>
        </w:tc>
        <w:tc>
          <w:tcPr>
            <w:tcW w:type="dxa" w:w="2520"/>
            <w:vAlign w:val="center"/>
          </w:tcPr>
          <w:p>
            <w:pPr>
              <w:spacing w:after="40"/>
            </w:pPr>
            <w:r>
              <w:rPr>
                <w:sz w:val="16"/>
              </w:rPr>
              <w:t>Authority, event type, announced time, affected sector/rule, effective date, source URL</w:t>
            </w:r>
          </w:p>
        </w:tc>
        <w:tc>
          <w:tcPr>
            <w:tcW w:type="dxa" w:w="2520"/>
            <w:vAlign w:val="center"/>
          </w:tcPr>
          <w:p>
            <w:pPr>
              <w:spacing w:after="40"/>
            </w:pPr>
            <w:r>
              <w:rPr>
                <w:sz w:val="16"/>
              </w:rPr>
              <w:t>Event-level</w:t>
            </w:r>
          </w:p>
        </w:tc>
        <w:tc>
          <w:tcPr>
            <w:tcW w:type="dxa" w:w="2520"/>
            <w:vAlign w:val="center"/>
          </w:tcPr>
          <w:p>
            <w:pPr>
              <w:spacing w:after="40"/>
            </w:pPr>
            <w:r>
              <w:rPr>
                <w:sz w:val="16"/>
              </w:rPr>
              <w:t>Announcement vs effective date, amendments and court/stay changes</w:t>
            </w:r>
          </w:p>
        </w:tc>
      </w:tr>
      <w:tr>
        <w:tc>
          <w:tcPr>
            <w:tcW w:type="dxa" w:w="2520"/>
            <w:vAlign w:val="center"/>
          </w:tcPr>
          <w:p>
            <w:pPr>
              <w:spacing w:after="40"/>
            </w:pPr>
            <w:r>
              <w:rPr>
                <w:sz w:val="16"/>
              </w:rPr>
              <w:t>Expectations/consensus</w:t>
            </w:r>
          </w:p>
        </w:tc>
        <w:tc>
          <w:tcPr>
            <w:tcW w:type="dxa" w:w="2520"/>
            <w:vAlign w:val="center"/>
          </w:tcPr>
          <w:p>
            <w:pPr>
              <w:spacing w:after="40"/>
            </w:pPr>
            <w:r>
              <w:rPr>
                <w:sz w:val="16"/>
              </w:rPr>
              <w:t>Pre-event expected rate change, source, capture time, dispersion if available</w:t>
            </w:r>
          </w:p>
        </w:tc>
        <w:tc>
          <w:tcPr>
            <w:tcW w:type="dxa" w:w="2520"/>
            <w:vAlign w:val="center"/>
          </w:tcPr>
          <w:p>
            <w:pPr>
              <w:spacing w:after="40"/>
            </w:pPr>
            <w:r>
              <w:rPr>
                <w:sz w:val="16"/>
              </w:rPr>
              <w:t>Event-level</w:t>
            </w:r>
          </w:p>
        </w:tc>
        <w:tc>
          <w:tcPr>
            <w:tcW w:type="dxa" w:w="2520"/>
            <w:vAlign w:val="center"/>
          </w:tcPr>
          <w:p>
            <w:pPr>
              <w:spacing w:after="40"/>
            </w:pPr>
            <w:r>
              <w:rPr>
                <w:sz w:val="16"/>
              </w:rPr>
              <w:t>No post-event revisions or reconstructed expectations without evidence</w:t>
            </w:r>
          </w:p>
        </w:tc>
      </w:tr>
    </w:tbl>
    <w:p/>
    <w:p>
      <w:r>
        <w:t>Minimum metadata: observation_period, event_time, published_at, available_at, retrieved_at, source_url, series_id, unit, provisional/final status, vintage/version, and methodology notes.</w:t>
      </w:r>
    </w:p>
    <w:p>
      <w:pPr>
        <w:pStyle w:val="Heading1"/>
      </w:pPr>
      <w:r>
        <w:t>6. Candidate Features and Mathematical Definitions</w:t>
      </w:r>
    </w:p>
    <w:p>
      <w:r>
        <w:t>Let r_t be a rate or yield recorded in percentage points; let A_t be a monetary amount; and let event_t represent a policy announcement. Use only data available by the prediction timestamp.</w:t>
      </w:r>
    </w:p>
    <w:p>
      <w:pPr>
        <w:pStyle w:val="Heading2"/>
      </w:pPr>
      <w:r>
        <w:t>6.1 Rate and yield features</w:t>
      </w:r>
    </w:p>
    <w:p>
      <w:pPr>
        <w:pStyle w:val="ListBullet"/>
        <w:spacing w:after="40"/>
      </w:pPr>
      <w:r>
        <w:t>Rate change in basis points: Δr_bp = (r_t − r_(t−1)) × 100, when r is stored in percentage points. Example: 6.50% to 6.25% gives −25 bp.</w:t>
      </w:r>
    </w:p>
    <w:p>
      <w:pPr>
        <w:pStyle w:val="ListBullet"/>
        <w:spacing w:after="40"/>
      </w:pPr>
      <w:r>
        <w:t>Daily yield change: Δy_bp = (y_t − y_(t−1)) × 100. Keep units explicit; a 0.10 percentage-point move equals 10 basis points.</w:t>
      </w:r>
    </w:p>
    <w:p>
      <w:pPr>
        <w:pStyle w:val="ListBullet"/>
        <w:spacing w:after="40"/>
      </w:pPr>
      <w:r>
        <w:t>Yield-curve slope: slope_10y2y = y_10y − y_2y. A change in slope is Δslope_t = slope_t − slope_(t−1).</w:t>
      </w:r>
    </w:p>
    <w:p>
      <w:pPr>
        <w:pStyle w:val="ListBullet"/>
        <w:spacing w:after="40"/>
      </w:pPr>
      <w:r>
        <w:t>Short-rate spread: spread_t = overnight_rate_t − repo_rate_t, with both rates in the same unit and correctly aligned dates.</w:t>
      </w:r>
    </w:p>
    <w:p>
      <w:pPr>
        <w:pStyle w:val="ListBullet"/>
        <w:spacing w:after="40"/>
      </w:pPr>
      <w:r>
        <w:t>Rolling yield volatility: standard deviation of daily yield changes over the previous k valid observations; define whether the measure is in percentage points or basis points.</w:t>
      </w:r>
    </w:p>
    <w:p>
      <w:pPr>
        <w:pStyle w:val="Heading2"/>
      </w:pPr>
      <w:r>
        <w:t>6.2 Policy decision and surprise features</w:t>
      </w:r>
    </w:p>
    <w:p>
      <w:pPr>
        <w:pStyle w:val="ListBullet"/>
        <w:spacing w:after="40"/>
      </w:pPr>
      <w:r>
        <w:t>Decision change: repo_change_bp = (new_repo_rate − previous_repo_rate) × 100.</w:t>
      </w:r>
    </w:p>
    <w:p>
      <w:pPr>
        <w:pStyle w:val="ListBullet"/>
        <w:spacing w:after="40"/>
      </w:pPr>
      <w:r>
        <w:t>Expected decision: store the pre-announcement consensus in basis points; do not infer it from the post-announcement market move.</w:t>
      </w:r>
    </w:p>
    <w:p>
      <w:pPr>
        <w:pStyle w:val="ListBullet"/>
        <w:spacing w:after="40"/>
      </w:pPr>
      <w:r>
        <w:t>Policy surprise: surprise_bp = actual_change_bp − expected_change_bp. Example: actual hold = 0 bp and expected cut = −25 bp, so surprise = +25 bp (less accommodative than expected).</w:t>
      </w:r>
    </w:p>
    <w:p>
      <w:pPr>
        <w:pStyle w:val="ListBullet"/>
        <w:spacing w:after="40"/>
      </w:pPr>
      <w:r>
        <w:t>Stance change: categorical variable for a change in officially stated stance. Preserve the original wording and publish timestamp; do not assume categories are ordinal unless a justified mapping is defined.</w:t>
      </w:r>
    </w:p>
    <w:p>
      <w:pPr>
        <w:pStyle w:val="ListBullet"/>
        <w:spacing w:after="40"/>
      </w:pPr>
      <w:r>
        <w:t>Event window return: R_event = (index_price_after / index_price_before) − 1, with explicit windows such as pre-announcement close to post-announcement close. This is descriptive, not proof of causation.</w:t>
      </w:r>
    </w:p>
    <w:p>
      <w:pPr>
        <w:pStyle w:val="Heading2"/>
      </w:pPr>
      <w:r>
        <w:t>6.3 Fiscal features</w:t>
      </w:r>
    </w:p>
    <w:p>
      <w:pPr>
        <w:pStyle w:val="ListBullet"/>
        <w:spacing w:after="40"/>
      </w:pPr>
      <w:r>
        <w:t>Fiscal deficit ratio: fiscal_deficit / nominal_GDP × 100, only when numerator and denominator periods/definitions are compatible.</w:t>
      </w:r>
    </w:p>
    <w:p>
      <w:pPr>
        <w:pStyle w:val="ListBullet"/>
        <w:spacing w:after="40"/>
      </w:pPr>
      <w:r>
        <w:t>Monthly fiscal execution ratio: cumulative actual expenditure or deficit through month m / budget estimate for the full fiscal year × 100. This is a progress measure, not a year-end forecast.</w:t>
      </w:r>
    </w:p>
    <w:p>
      <w:pPr>
        <w:pStyle w:val="ListBullet"/>
        <w:spacing w:after="40"/>
      </w:pPr>
      <w:r>
        <w:t>Capex growth: (capex_t / capex_(t−12) − 1) × 100 for comparable monthly periods; distinguish central government, state government and public-sector entities.</w:t>
      </w:r>
    </w:p>
    <w:p>
      <w:pPr>
        <w:pStyle w:val="ListBullet"/>
        <w:spacing w:after="40"/>
      </w:pPr>
      <w:r>
        <w:t>Borrowing deviation: actual accepted borrowing − scheduled/notified borrowing, with amounts in consistent units.</w:t>
      </w:r>
    </w:p>
    <w:p>
      <w:pPr>
        <w:pStyle w:val="ListBullet"/>
        <w:spacing w:after="40"/>
      </w:pPr>
      <w:r>
        <w:t>Tax receipt growth: (tax_receipts_t / tax_receipts_(t−12) − 1) × 100; flag tax-rate changes and calendar effects.</w:t>
      </w:r>
    </w:p>
    <w:p>
      <w:pPr>
        <w:pStyle w:val="Heading2"/>
      </w:pPr>
      <w:r>
        <w:t>6.4 Liquidity and interaction features</w:t>
      </w:r>
    </w:p>
    <w:p>
      <w:pPr>
        <w:pStyle w:val="ListBullet"/>
        <w:spacing w:after="40"/>
      </w:pPr>
      <w:r>
        <w:t>Net liquidity change: liquidity_t − liquidity_(t−1), only if the underlying series has a stable definition and release timing.</w:t>
      </w:r>
    </w:p>
    <w:p>
      <w:pPr>
        <w:pStyle w:val="ListBullet"/>
        <w:spacing w:after="40"/>
      </w:pPr>
      <w:r>
        <w:t>Liquidity z-score: (liquidity_t − training_mean) / training_standard_deviation; calculate parameters using training data only.</w:t>
      </w:r>
    </w:p>
    <w:p>
      <w:pPr>
        <w:pStyle w:val="ListBullet"/>
        <w:spacing w:after="40"/>
      </w:pPr>
      <w:r>
        <w:t>Policy–inflation interaction: standardised policy-rate change × standardised inflation surprise, using values available at the same decision time.</w:t>
      </w:r>
    </w:p>
    <w:p>
      <w:pPr>
        <w:pStyle w:val="ListBullet"/>
        <w:spacing w:after="40"/>
      </w:pPr>
      <w:r>
        <w:t>Yield differential: Indian 10-year G-sec yield − US 10-year Treasury yield, with both observation timestamps aligned and both yields expressed in percentage points.</w:t>
      </w:r>
    </w:p>
    <w:p>
      <w:pPr>
        <w:pStyle w:val="ListBullet"/>
        <w:spacing w:after="40"/>
      </w:pPr>
      <w:r>
        <w:t>Event flag: 1 on a known scheduled event date only if the date was public before the prediction timestamp; use separate flags for decision, statement, minutes and budget events.</w:t>
      </w:r>
    </w:p>
    <w:p>
      <w:pPr>
        <w:pStyle w:val="Heading1"/>
      </w:pPr>
      <w:r>
        <w:t>7. Worked Examples (Illustrative Only)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Input</w:t>
            </w:r>
          </w:p>
        </w:tc>
        <w:tc>
          <w:tcPr>
            <w:tcW w:type="dxa" w:w="3360"/>
            <w:shd w:fill="D9EAF2"/>
          </w:tcPr>
          <w:p>
            <w:r>
              <w:rPr>
                <w:b/>
                <w:sz w:val="16"/>
              </w:rPr>
              <w:t>Calculation</w:t>
            </w:r>
          </w:p>
        </w:tc>
        <w:tc>
          <w:tcPr>
            <w:tcW w:type="dxa" w:w="3360"/>
            <w:shd w:fill="D9EAF2"/>
          </w:tcPr>
          <w:p>
            <w:r>
              <w:rPr>
                <w:b/>
                <w:sz w:val="16"/>
              </w:rPr>
              <w:t>Interpretation</w:t>
            </w:r>
          </w:p>
        </w:tc>
      </w:tr>
      <w:tr>
        <w:tc>
          <w:tcPr>
            <w:tcW w:type="dxa" w:w="3360"/>
            <w:vAlign w:val="center"/>
          </w:tcPr>
          <w:p>
            <w:pPr>
              <w:spacing w:after="40"/>
            </w:pPr>
            <w:r>
              <w:rPr>
                <w:sz w:val="16"/>
              </w:rPr>
              <w:t>Repo changes from 6.50% to 6.25%</w:t>
            </w:r>
          </w:p>
        </w:tc>
        <w:tc>
          <w:tcPr>
            <w:tcW w:type="dxa" w:w="3360"/>
            <w:vAlign w:val="center"/>
          </w:tcPr>
          <w:p>
            <w:pPr>
              <w:spacing w:after="40"/>
            </w:pPr>
            <w:r>
              <w:rPr>
                <w:sz w:val="16"/>
              </w:rPr>
              <w:t>(6.25 − 6.50) × 100 = −25 bp</w:t>
            </w:r>
          </w:p>
        </w:tc>
        <w:tc>
          <w:tcPr>
            <w:tcW w:type="dxa" w:w="3360"/>
            <w:vAlign w:val="center"/>
          </w:tcPr>
          <w:p>
            <w:pPr>
              <w:spacing w:after="40"/>
            </w:pPr>
            <w:r>
              <w:rPr>
                <w:sz w:val="16"/>
              </w:rPr>
              <w:t>A 25-basis-point cut; the market response depends on prior expectations and guidance.</w:t>
            </w:r>
          </w:p>
        </w:tc>
      </w:tr>
      <w:tr>
        <w:tc>
          <w:tcPr>
            <w:tcW w:type="dxa" w:w="3360"/>
            <w:vAlign w:val="center"/>
          </w:tcPr>
          <w:p>
            <w:pPr>
              <w:spacing w:after="40"/>
            </w:pPr>
            <w:r>
              <w:rPr>
                <w:sz w:val="16"/>
              </w:rPr>
              <w:t>Actual rate change is 0 bp; expected change is −25 bp</w:t>
            </w:r>
          </w:p>
        </w:tc>
        <w:tc>
          <w:tcPr>
            <w:tcW w:type="dxa" w:w="3360"/>
            <w:vAlign w:val="center"/>
          </w:tcPr>
          <w:p>
            <w:pPr>
              <w:spacing w:after="40"/>
            </w:pPr>
            <w:r>
              <w:rPr>
                <w:sz w:val="16"/>
              </w:rPr>
              <w:t>0 − (−25) = +25 bp surprise</w:t>
            </w:r>
          </w:p>
        </w:tc>
        <w:tc>
          <w:tcPr>
            <w:tcW w:type="dxa" w:w="3360"/>
            <w:vAlign w:val="center"/>
          </w:tcPr>
          <w:p>
            <w:pPr>
              <w:spacing w:after="40"/>
            </w:pPr>
            <w:r>
              <w:rPr>
                <w:sz w:val="16"/>
              </w:rPr>
              <w:t>The decision is 25 bp less accommodative than expected under this convention.</w:t>
            </w:r>
          </w:p>
        </w:tc>
      </w:tr>
      <w:tr>
        <w:tc>
          <w:tcPr>
            <w:tcW w:type="dxa" w:w="3360"/>
            <w:vAlign w:val="center"/>
          </w:tcPr>
          <w:p>
            <w:pPr>
              <w:spacing w:after="40"/>
            </w:pPr>
            <w:r>
              <w:rPr>
                <w:sz w:val="16"/>
              </w:rPr>
              <w:t>10-year G-sec yield moves from 6.80% to 6.92%</w:t>
            </w:r>
          </w:p>
        </w:tc>
        <w:tc>
          <w:tcPr>
            <w:tcW w:type="dxa" w:w="3360"/>
            <w:vAlign w:val="center"/>
          </w:tcPr>
          <w:p>
            <w:pPr>
              <w:spacing w:after="40"/>
            </w:pPr>
            <w:r>
              <w:rPr>
                <w:sz w:val="16"/>
              </w:rPr>
              <w:t>(6.92 − 6.80) × 100 = +12 bp</w:t>
            </w:r>
          </w:p>
        </w:tc>
        <w:tc>
          <w:tcPr>
            <w:tcW w:type="dxa" w:w="3360"/>
            <w:vAlign w:val="center"/>
          </w:tcPr>
          <w:p>
            <w:pPr>
              <w:spacing w:after="40"/>
            </w:pPr>
            <w:r>
              <w:rPr>
                <w:sz w:val="16"/>
              </w:rPr>
              <w:t>Yield increased 12 basis points; the cause cannot be identified from the move alone.</w:t>
            </w:r>
          </w:p>
        </w:tc>
      </w:tr>
      <w:tr>
        <w:tc>
          <w:tcPr>
            <w:tcW w:type="dxa" w:w="3360"/>
            <w:vAlign w:val="center"/>
          </w:tcPr>
          <w:p>
            <w:pPr>
              <w:spacing w:after="40"/>
            </w:pPr>
            <w:r>
              <w:rPr>
                <w:sz w:val="16"/>
              </w:rPr>
              <w:t>Cumulative fiscal deficit ₹5.5 lakh crore; full-year BE ₹16 lakh crore</w:t>
            </w:r>
          </w:p>
        </w:tc>
        <w:tc>
          <w:tcPr>
            <w:tcW w:type="dxa" w:w="3360"/>
            <w:vAlign w:val="center"/>
          </w:tcPr>
          <w:p>
            <w:pPr>
              <w:spacing w:after="40"/>
            </w:pPr>
            <w:r>
              <w:rPr>
                <w:sz w:val="16"/>
              </w:rPr>
              <w:t>5.5 / 16 × 100 = 34.375%</w:t>
            </w:r>
          </w:p>
        </w:tc>
        <w:tc>
          <w:tcPr>
            <w:tcW w:type="dxa" w:w="3360"/>
            <w:vAlign w:val="center"/>
          </w:tcPr>
          <w:p>
            <w:pPr>
              <w:spacing w:after="40"/>
            </w:pPr>
            <w:r>
              <w:rPr>
                <w:sz w:val="16"/>
              </w:rPr>
              <w:t>About 34.4% of the budgeted full-year deficit has accrued by that reporting point, subject to definitions.</w:t>
            </w:r>
          </w:p>
        </w:tc>
      </w:tr>
      <w:tr>
        <w:tc>
          <w:tcPr>
            <w:tcW w:type="dxa" w:w="3360"/>
            <w:vAlign w:val="center"/>
          </w:tcPr>
          <w:p>
            <w:pPr>
              <w:spacing w:after="40"/>
            </w:pPr>
            <w:r>
              <w:rPr>
                <w:sz w:val="16"/>
              </w:rPr>
              <w:t>Actual capex this month ₹1.2 lakh crore vs ₹1.0 lakh crore a year earlier</w:t>
            </w:r>
          </w:p>
        </w:tc>
        <w:tc>
          <w:tcPr>
            <w:tcW w:type="dxa" w:w="3360"/>
            <w:vAlign w:val="center"/>
          </w:tcPr>
          <w:p>
            <w:pPr>
              <w:spacing w:after="40"/>
            </w:pPr>
            <w:r>
              <w:rPr>
                <w:sz w:val="16"/>
              </w:rPr>
              <w:t>(1.2 / 1.0 − 1) × 100 = 20%</w:t>
            </w:r>
          </w:p>
        </w:tc>
        <w:tc>
          <w:tcPr>
            <w:tcW w:type="dxa" w:w="3360"/>
            <w:vAlign w:val="center"/>
          </w:tcPr>
          <w:p>
            <w:pPr>
              <w:spacing w:after="40"/>
            </w:pPr>
            <w:r>
              <w:rPr>
                <w:sz w:val="16"/>
              </w:rPr>
              <w:t>Nominal year-over-year growth of 20%; check comparability and any one-off spending.</w:t>
            </w:r>
          </w:p>
        </w:tc>
      </w:tr>
    </w:tbl>
    <w:p/>
    <w:p>
      <w:r>
        <w:t>Figures are invented for explanation, not current policy or market readings.</w:t>
      </w:r>
    </w:p>
    <w:p>
      <w:pPr>
        <w:pStyle w:val="Heading1"/>
      </w:pPr>
      <w:r>
        <w:t>8. Candidate Dataset Columns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Column</w:t>
            </w:r>
          </w:p>
        </w:tc>
        <w:tc>
          <w:tcPr>
            <w:tcW w:type="dxa" w:w="2520"/>
            <w:shd w:fill="D9EAF2"/>
          </w:tcPr>
          <w:p>
            <w:r>
              <w:rPr>
                <w:b/>
                <w:sz w:val="16"/>
              </w:rPr>
              <w:t>Definition</w:t>
            </w:r>
          </w:p>
        </w:tc>
        <w:tc>
          <w:tcPr>
            <w:tcW w:type="dxa" w:w="2520"/>
            <w:shd w:fill="D9EAF2"/>
          </w:tcPr>
          <w:p>
            <w:r>
              <w:rPr>
                <w:b/>
                <w:sz w:val="16"/>
              </w:rPr>
              <w:t>Frequency/lag</w:t>
            </w:r>
          </w:p>
        </w:tc>
        <w:tc>
          <w:tcPr>
            <w:tcW w:type="dxa" w:w="2520"/>
            <w:shd w:fill="D9EAF2"/>
          </w:tcPr>
          <w:p>
            <w:r>
              <w:rPr>
                <w:b/>
                <w:sz w:val="16"/>
              </w:rPr>
              <w:t>Caveat</w:t>
            </w:r>
          </w:p>
        </w:tc>
      </w:tr>
      <w:tr>
        <w:tc>
          <w:tcPr>
            <w:tcW w:type="dxa" w:w="2520"/>
            <w:vAlign w:val="center"/>
          </w:tcPr>
          <w:p>
            <w:pPr>
              <w:spacing w:after="40"/>
            </w:pPr>
            <w:r>
              <w:rPr>
                <w:sz w:val="16"/>
              </w:rPr>
              <w:t>repo_rate</w:t>
            </w:r>
          </w:p>
        </w:tc>
        <w:tc>
          <w:tcPr>
            <w:tcW w:type="dxa" w:w="2520"/>
            <w:vAlign w:val="center"/>
          </w:tcPr>
          <w:p>
            <w:pPr>
              <w:spacing w:after="40"/>
            </w:pPr>
            <w:r>
              <w:rPr>
                <w:sz w:val="16"/>
              </w:rPr>
              <w:t>Latest RBI repo rate known at prediction time</w:t>
            </w:r>
          </w:p>
        </w:tc>
        <w:tc>
          <w:tcPr>
            <w:tcW w:type="dxa" w:w="2520"/>
            <w:vAlign w:val="center"/>
          </w:tcPr>
          <w:p>
            <w:pPr>
              <w:spacing w:after="40"/>
            </w:pPr>
            <w:r>
              <w:rPr>
                <w:sz w:val="16"/>
              </w:rPr>
              <w:t>Stepwise/event-driven</w:t>
            </w:r>
          </w:p>
        </w:tc>
        <w:tc>
          <w:tcPr>
            <w:tcW w:type="dxa" w:w="2520"/>
            <w:vAlign w:val="center"/>
          </w:tcPr>
          <w:p>
            <w:pPr>
              <w:spacing w:after="40"/>
            </w:pPr>
            <w:r>
              <w:rPr>
                <w:sz w:val="16"/>
              </w:rPr>
              <w:t>Do not backfill new rate before announcement</w:t>
            </w:r>
          </w:p>
        </w:tc>
      </w:tr>
      <w:tr>
        <w:tc>
          <w:tcPr>
            <w:tcW w:type="dxa" w:w="2520"/>
            <w:vAlign w:val="center"/>
          </w:tcPr>
          <w:p>
            <w:pPr>
              <w:spacing w:after="40"/>
            </w:pPr>
            <w:r>
              <w:rPr>
                <w:sz w:val="16"/>
              </w:rPr>
              <w:t>repo_change_bp</w:t>
            </w:r>
          </w:p>
        </w:tc>
        <w:tc>
          <w:tcPr>
            <w:tcW w:type="dxa" w:w="2520"/>
            <w:vAlign w:val="center"/>
          </w:tcPr>
          <w:p>
            <w:pPr>
              <w:spacing w:after="40"/>
            </w:pPr>
            <w:r>
              <w:rPr>
                <w:sz w:val="16"/>
              </w:rPr>
              <w:t>Change at policy decision</w:t>
            </w:r>
          </w:p>
        </w:tc>
        <w:tc>
          <w:tcPr>
            <w:tcW w:type="dxa" w:w="2520"/>
            <w:vAlign w:val="center"/>
          </w:tcPr>
          <w:p>
            <w:pPr>
              <w:spacing w:after="40"/>
            </w:pPr>
            <w:r>
              <w:rPr>
                <w:sz w:val="16"/>
              </w:rPr>
              <w:t>Event-level</w:t>
            </w:r>
          </w:p>
        </w:tc>
        <w:tc>
          <w:tcPr>
            <w:tcW w:type="dxa" w:w="2520"/>
            <w:vAlign w:val="center"/>
          </w:tcPr>
          <w:p>
            <w:pPr>
              <w:spacing w:after="40"/>
            </w:pPr>
            <w:r>
              <w:rPr>
                <w:sz w:val="16"/>
              </w:rPr>
              <w:t>Correct sign and units</w:t>
            </w:r>
          </w:p>
        </w:tc>
      </w:tr>
      <w:tr>
        <w:tc>
          <w:tcPr>
            <w:tcW w:type="dxa" w:w="2520"/>
            <w:vAlign w:val="center"/>
          </w:tcPr>
          <w:p>
            <w:pPr>
              <w:spacing w:after="40"/>
            </w:pPr>
            <w:r>
              <w:rPr>
                <w:sz w:val="16"/>
              </w:rPr>
              <w:t>policy_stance_category</w:t>
            </w:r>
          </w:p>
        </w:tc>
        <w:tc>
          <w:tcPr>
            <w:tcW w:type="dxa" w:w="2520"/>
            <w:vAlign w:val="center"/>
          </w:tcPr>
          <w:p>
            <w:pPr>
              <w:spacing w:after="40"/>
            </w:pPr>
            <w:r>
              <w:rPr>
                <w:sz w:val="16"/>
              </w:rPr>
              <w:t>Officially stated stance</w:t>
            </w:r>
          </w:p>
        </w:tc>
        <w:tc>
          <w:tcPr>
            <w:tcW w:type="dxa" w:w="2520"/>
            <w:vAlign w:val="center"/>
          </w:tcPr>
          <w:p>
            <w:pPr>
              <w:spacing w:after="40"/>
            </w:pPr>
            <w:r>
              <w:rPr>
                <w:sz w:val="16"/>
              </w:rPr>
              <w:t>Decision/event-level</w:t>
            </w:r>
          </w:p>
        </w:tc>
        <w:tc>
          <w:tcPr>
            <w:tcW w:type="dxa" w:w="2520"/>
            <w:vAlign w:val="center"/>
          </w:tcPr>
          <w:p>
            <w:pPr>
              <w:spacing w:after="40"/>
            </w:pPr>
            <w:r>
              <w:rPr>
                <w:sz w:val="16"/>
              </w:rPr>
              <w:t>Version exact wording and category map</w:t>
            </w:r>
          </w:p>
        </w:tc>
      </w:tr>
      <w:tr>
        <w:tc>
          <w:tcPr>
            <w:tcW w:type="dxa" w:w="2520"/>
            <w:vAlign w:val="center"/>
          </w:tcPr>
          <w:p>
            <w:pPr>
              <w:spacing w:after="40"/>
            </w:pPr>
            <w:r>
              <w:rPr>
                <w:sz w:val="16"/>
              </w:rPr>
              <w:t>policy_surprise_bp</w:t>
            </w:r>
          </w:p>
        </w:tc>
        <w:tc>
          <w:tcPr>
            <w:tcW w:type="dxa" w:w="2520"/>
            <w:vAlign w:val="center"/>
          </w:tcPr>
          <w:p>
            <w:pPr>
              <w:spacing w:after="40"/>
            </w:pPr>
            <w:r>
              <w:rPr>
                <w:sz w:val="16"/>
              </w:rPr>
              <w:t>Actual minus pre-event expected rate change</w:t>
            </w:r>
          </w:p>
        </w:tc>
        <w:tc>
          <w:tcPr>
            <w:tcW w:type="dxa" w:w="2520"/>
            <w:vAlign w:val="center"/>
          </w:tcPr>
          <w:p>
            <w:pPr>
              <w:spacing w:after="40"/>
            </w:pPr>
            <w:r>
              <w:rPr>
                <w:sz w:val="16"/>
              </w:rPr>
              <w:t>Event-level</w:t>
            </w:r>
          </w:p>
        </w:tc>
        <w:tc>
          <w:tcPr>
            <w:tcW w:type="dxa" w:w="2520"/>
            <w:vAlign w:val="center"/>
          </w:tcPr>
          <w:p>
            <w:pPr>
              <w:spacing w:after="40"/>
            </w:pPr>
            <w:r>
              <w:rPr>
                <w:sz w:val="16"/>
              </w:rPr>
              <w:t>Only if timestamped consensus exists</w:t>
            </w:r>
          </w:p>
        </w:tc>
      </w:tr>
      <w:tr>
        <w:tc>
          <w:tcPr>
            <w:tcW w:type="dxa" w:w="2520"/>
            <w:vAlign w:val="center"/>
          </w:tcPr>
          <w:p>
            <w:pPr>
              <w:spacing w:after="40"/>
            </w:pPr>
            <w:r>
              <w:rPr>
                <w:sz w:val="16"/>
              </w:rPr>
              <w:t>sdf_repo_spread_bp</w:t>
            </w:r>
          </w:p>
        </w:tc>
        <w:tc>
          <w:tcPr>
            <w:tcW w:type="dxa" w:w="2520"/>
            <w:vAlign w:val="center"/>
          </w:tcPr>
          <w:p>
            <w:pPr>
              <w:spacing w:after="40"/>
            </w:pPr>
            <w:r>
              <w:rPr>
                <w:sz w:val="16"/>
              </w:rPr>
              <w:t>SDF/repo rate spread</w:t>
            </w:r>
          </w:p>
        </w:tc>
        <w:tc>
          <w:tcPr>
            <w:tcW w:type="dxa" w:w="2520"/>
            <w:vAlign w:val="center"/>
          </w:tcPr>
          <w:p>
            <w:pPr>
              <w:spacing w:after="40"/>
            </w:pPr>
            <w:r>
              <w:rPr>
                <w:sz w:val="16"/>
              </w:rPr>
              <w:t>Event-level/when updated</w:t>
            </w:r>
          </w:p>
        </w:tc>
        <w:tc>
          <w:tcPr>
            <w:tcW w:type="dxa" w:w="2520"/>
            <w:vAlign w:val="center"/>
          </w:tcPr>
          <w:p>
            <w:pPr>
              <w:spacing w:after="40"/>
            </w:pPr>
            <w:r>
              <w:rPr>
                <w:sz w:val="16"/>
              </w:rPr>
              <w:t>Verify instrument definition and current framework</w:t>
            </w:r>
          </w:p>
        </w:tc>
      </w:tr>
      <w:tr>
        <w:tc>
          <w:tcPr>
            <w:tcW w:type="dxa" w:w="2520"/>
            <w:vAlign w:val="center"/>
          </w:tcPr>
          <w:p>
            <w:pPr>
              <w:spacing w:after="40"/>
            </w:pPr>
            <w:r>
              <w:rPr>
                <w:sz w:val="16"/>
              </w:rPr>
              <w:t>overnight_minus_repo_bp</w:t>
            </w:r>
          </w:p>
        </w:tc>
        <w:tc>
          <w:tcPr>
            <w:tcW w:type="dxa" w:w="2520"/>
            <w:vAlign w:val="center"/>
          </w:tcPr>
          <w:p>
            <w:pPr>
              <w:spacing w:after="40"/>
            </w:pPr>
            <w:r>
              <w:rPr>
                <w:sz w:val="16"/>
              </w:rPr>
              <w:t>Overnight money-market rate minus repo</w:t>
            </w:r>
          </w:p>
        </w:tc>
        <w:tc>
          <w:tcPr>
            <w:tcW w:type="dxa" w:w="2520"/>
            <w:vAlign w:val="center"/>
          </w:tcPr>
          <w:p>
            <w:pPr>
              <w:spacing w:after="40"/>
            </w:pPr>
            <w:r>
              <w:rPr>
                <w:sz w:val="16"/>
              </w:rPr>
              <w:t>Daily</w:t>
            </w:r>
          </w:p>
        </w:tc>
        <w:tc>
          <w:tcPr>
            <w:tcW w:type="dxa" w:w="2520"/>
            <w:vAlign w:val="center"/>
          </w:tcPr>
          <w:p>
            <w:pPr>
              <w:spacing w:after="40"/>
            </w:pPr>
            <w:r>
              <w:rPr>
                <w:sz w:val="16"/>
              </w:rPr>
              <w:t>Market timing and benchmark changes</w:t>
            </w:r>
          </w:p>
        </w:tc>
      </w:tr>
      <w:tr>
        <w:tc>
          <w:tcPr>
            <w:tcW w:type="dxa" w:w="2520"/>
            <w:vAlign w:val="center"/>
          </w:tcPr>
          <w:p>
            <w:pPr>
              <w:spacing w:after="40"/>
            </w:pPr>
            <w:r>
              <w:rPr>
                <w:sz w:val="16"/>
              </w:rPr>
              <w:t>gsec_10y_yield</w:t>
            </w:r>
          </w:p>
        </w:tc>
        <w:tc>
          <w:tcPr>
            <w:tcW w:type="dxa" w:w="2520"/>
            <w:vAlign w:val="center"/>
          </w:tcPr>
          <w:p>
            <w:pPr>
              <w:spacing w:after="40"/>
            </w:pPr>
            <w:r>
              <w:rPr>
                <w:sz w:val="16"/>
              </w:rPr>
              <w:t>10-year benchmark G-sec yield</w:t>
            </w:r>
          </w:p>
        </w:tc>
        <w:tc>
          <w:tcPr>
            <w:tcW w:type="dxa" w:w="2520"/>
            <w:vAlign w:val="center"/>
          </w:tcPr>
          <w:p>
            <w:pPr>
              <w:spacing w:after="40"/>
            </w:pPr>
            <w:r>
              <w:rPr>
                <w:sz w:val="16"/>
              </w:rPr>
              <w:t>Daily</w:t>
            </w:r>
          </w:p>
        </w:tc>
        <w:tc>
          <w:tcPr>
            <w:tcW w:type="dxa" w:w="2520"/>
            <w:vAlign w:val="center"/>
          </w:tcPr>
          <w:p>
            <w:pPr>
              <w:spacing w:after="40"/>
            </w:pPr>
            <w:r>
              <w:rPr>
                <w:sz w:val="16"/>
              </w:rPr>
              <w:t>Benchmark/security switches</w:t>
            </w:r>
          </w:p>
        </w:tc>
      </w:tr>
      <w:tr>
        <w:tc>
          <w:tcPr>
            <w:tcW w:type="dxa" w:w="2520"/>
            <w:vAlign w:val="center"/>
          </w:tcPr>
          <w:p>
            <w:pPr>
              <w:spacing w:after="40"/>
            </w:pPr>
            <w:r>
              <w:rPr>
                <w:sz w:val="16"/>
              </w:rPr>
              <w:t>gsec_10y_change_bp</w:t>
            </w:r>
          </w:p>
        </w:tc>
        <w:tc>
          <w:tcPr>
            <w:tcW w:type="dxa" w:w="2520"/>
            <w:vAlign w:val="center"/>
          </w:tcPr>
          <w:p>
            <w:pPr>
              <w:spacing w:after="40"/>
            </w:pPr>
            <w:r>
              <w:rPr>
                <w:sz w:val="16"/>
              </w:rPr>
              <w:t>Daily change in 10-year yield</w:t>
            </w:r>
          </w:p>
        </w:tc>
        <w:tc>
          <w:tcPr>
            <w:tcW w:type="dxa" w:w="2520"/>
            <w:vAlign w:val="center"/>
          </w:tcPr>
          <w:p>
            <w:pPr>
              <w:spacing w:after="40"/>
            </w:pPr>
            <w:r>
              <w:rPr>
                <w:sz w:val="16"/>
              </w:rPr>
              <w:t>Daily</w:t>
            </w:r>
          </w:p>
        </w:tc>
        <w:tc>
          <w:tcPr>
            <w:tcW w:type="dxa" w:w="2520"/>
            <w:vAlign w:val="center"/>
          </w:tcPr>
          <w:p>
            <w:pPr>
              <w:spacing w:after="40"/>
            </w:pPr>
            <w:r>
              <w:rPr>
                <w:sz w:val="16"/>
              </w:rPr>
              <w:t>Use valid prior observation</w:t>
            </w:r>
          </w:p>
        </w:tc>
      </w:tr>
      <w:tr>
        <w:tc>
          <w:tcPr>
            <w:tcW w:type="dxa" w:w="2520"/>
            <w:vAlign w:val="center"/>
          </w:tcPr>
          <w:p>
            <w:pPr>
              <w:spacing w:after="40"/>
            </w:pPr>
            <w:r>
              <w:rPr>
                <w:sz w:val="16"/>
              </w:rPr>
              <w:t>gsec_10y2y_slope_bp</w:t>
            </w:r>
          </w:p>
        </w:tc>
        <w:tc>
          <w:tcPr>
            <w:tcW w:type="dxa" w:w="2520"/>
            <w:vAlign w:val="center"/>
          </w:tcPr>
          <w:p>
            <w:pPr>
              <w:spacing w:after="40"/>
            </w:pPr>
            <w:r>
              <w:rPr>
                <w:sz w:val="16"/>
              </w:rPr>
              <w:t>10-year minus 2-year yield</w:t>
            </w:r>
          </w:p>
        </w:tc>
        <w:tc>
          <w:tcPr>
            <w:tcW w:type="dxa" w:w="2520"/>
            <w:vAlign w:val="center"/>
          </w:tcPr>
          <w:p>
            <w:pPr>
              <w:spacing w:after="40"/>
            </w:pPr>
            <w:r>
              <w:rPr>
                <w:sz w:val="16"/>
              </w:rPr>
              <w:t>Daily</w:t>
            </w:r>
          </w:p>
        </w:tc>
        <w:tc>
          <w:tcPr>
            <w:tcW w:type="dxa" w:w="2520"/>
            <w:vAlign w:val="center"/>
          </w:tcPr>
          <w:p>
            <w:pPr>
              <w:spacing w:after="40"/>
            </w:pPr>
            <w:r>
              <w:rPr>
                <w:sz w:val="16"/>
              </w:rPr>
              <w:t>Maturity series and timestamps must match</w:t>
            </w:r>
          </w:p>
        </w:tc>
      </w:tr>
      <w:tr>
        <w:tc>
          <w:tcPr>
            <w:tcW w:type="dxa" w:w="2520"/>
            <w:vAlign w:val="center"/>
          </w:tcPr>
          <w:p>
            <w:pPr>
              <w:spacing w:after="40"/>
            </w:pPr>
            <w:r>
              <w:rPr>
                <w:sz w:val="16"/>
              </w:rPr>
              <w:t>system_liquidity_net</w:t>
            </w:r>
          </w:p>
        </w:tc>
        <w:tc>
          <w:tcPr>
            <w:tcW w:type="dxa" w:w="2520"/>
            <w:vAlign w:val="center"/>
          </w:tcPr>
          <w:p>
            <w:pPr>
              <w:spacing w:after="40"/>
            </w:pPr>
            <w:r>
              <w:rPr>
                <w:sz w:val="16"/>
              </w:rPr>
              <w:t>Defined RBI/system liquidity measure</w:t>
            </w:r>
          </w:p>
        </w:tc>
        <w:tc>
          <w:tcPr>
            <w:tcW w:type="dxa" w:w="2520"/>
            <w:vAlign w:val="center"/>
          </w:tcPr>
          <w:p>
            <w:pPr>
              <w:spacing w:after="40"/>
            </w:pPr>
            <w:r>
              <w:rPr>
                <w:sz w:val="16"/>
              </w:rPr>
              <w:t>Daily/weekly as available</w:t>
            </w:r>
          </w:p>
        </w:tc>
        <w:tc>
          <w:tcPr>
            <w:tcW w:type="dxa" w:w="2520"/>
            <w:vAlign w:val="center"/>
          </w:tcPr>
          <w:p>
            <w:pPr>
              <w:spacing w:after="40"/>
            </w:pPr>
            <w:r>
              <w:rPr>
                <w:sz w:val="16"/>
              </w:rPr>
              <w:t>Definition and release timing</w:t>
            </w:r>
          </w:p>
        </w:tc>
      </w:tr>
      <w:tr>
        <w:tc>
          <w:tcPr>
            <w:tcW w:type="dxa" w:w="2520"/>
            <w:vAlign w:val="center"/>
          </w:tcPr>
          <w:p>
            <w:pPr>
              <w:spacing w:after="40"/>
            </w:pPr>
            <w:r>
              <w:rPr>
                <w:sz w:val="16"/>
              </w:rPr>
              <w:t>crr_change_bp</w:t>
            </w:r>
          </w:p>
        </w:tc>
        <w:tc>
          <w:tcPr>
            <w:tcW w:type="dxa" w:w="2520"/>
            <w:vAlign w:val="center"/>
          </w:tcPr>
          <w:p>
            <w:pPr>
              <w:spacing w:after="40"/>
            </w:pPr>
            <w:r>
              <w:rPr>
                <w:sz w:val="16"/>
              </w:rPr>
              <w:t>CRR change in basis points</w:t>
            </w:r>
          </w:p>
        </w:tc>
        <w:tc>
          <w:tcPr>
            <w:tcW w:type="dxa" w:w="2520"/>
            <w:vAlign w:val="center"/>
          </w:tcPr>
          <w:p>
            <w:pPr>
              <w:spacing w:after="40"/>
            </w:pPr>
            <w:r>
              <w:rPr>
                <w:sz w:val="16"/>
              </w:rPr>
              <w:t>Event-level</w:t>
            </w:r>
          </w:p>
        </w:tc>
        <w:tc>
          <w:tcPr>
            <w:tcW w:type="dxa" w:w="2520"/>
            <w:vAlign w:val="center"/>
          </w:tcPr>
          <w:p>
            <w:pPr>
              <w:spacing w:after="40"/>
            </w:pPr>
            <w:r>
              <w:rPr>
                <w:sz w:val="16"/>
              </w:rPr>
              <w:t>Policy announcement vs effective date</w:t>
            </w:r>
          </w:p>
        </w:tc>
      </w:tr>
      <w:tr>
        <w:tc>
          <w:tcPr>
            <w:tcW w:type="dxa" w:w="2520"/>
            <w:vAlign w:val="center"/>
          </w:tcPr>
          <w:p>
            <w:pPr>
              <w:spacing w:after="40"/>
            </w:pPr>
            <w:r>
              <w:rPr>
                <w:sz w:val="16"/>
              </w:rPr>
              <w:t>omo_net_amount</w:t>
            </w:r>
          </w:p>
        </w:tc>
        <w:tc>
          <w:tcPr>
            <w:tcW w:type="dxa" w:w="2520"/>
            <w:vAlign w:val="center"/>
          </w:tcPr>
          <w:p>
            <w:pPr>
              <w:spacing w:after="40"/>
            </w:pPr>
            <w:r>
              <w:rPr>
                <w:sz w:val="16"/>
              </w:rPr>
              <w:t>Net liquidity injection/absorption from OMO</w:t>
            </w:r>
          </w:p>
        </w:tc>
        <w:tc>
          <w:tcPr>
            <w:tcW w:type="dxa" w:w="2520"/>
            <w:vAlign w:val="center"/>
          </w:tcPr>
          <w:p>
            <w:pPr>
              <w:spacing w:after="40"/>
            </w:pPr>
            <w:r>
              <w:rPr>
                <w:sz w:val="16"/>
              </w:rPr>
              <w:t>Event-level</w:t>
            </w:r>
          </w:p>
        </w:tc>
        <w:tc>
          <w:tcPr>
            <w:tcW w:type="dxa" w:w="2520"/>
            <w:vAlign w:val="center"/>
          </w:tcPr>
          <w:p>
            <w:pPr>
              <w:spacing w:after="40"/>
            </w:pPr>
            <w:r>
              <w:rPr>
                <w:sz w:val="16"/>
              </w:rPr>
              <w:t>State sign convention and unit</w:t>
            </w:r>
          </w:p>
        </w:tc>
      </w:tr>
      <w:tr>
        <w:tc>
          <w:tcPr>
            <w:tcW w:type="dxa" w:w="2520"/>
            <w:vAlign w:val="center"/>
          </w:tcPr>
          <w:p>
            <w:pPr>
              <w:spacing w:after="40"/>
            </w:pPr>
            <w:r>
              <w:rPr>
                <w:sz w:val="16"/>
              </w:rPr>
              <w:t>gsec_auction_cutoff_yield</w:t>
            </w:r>
          </w:p>
        </w:tc>
        <w:tc>
          <w:tcPr>
            <w:tcW w:type="dxa" w:w="2520"/>
            <w:vAlign w:val="center"/>
          </w:tcPr>
          <w:p>
            <w:pPr>
              <w:spacing w:after="40"/>
            </w:pPr>
            <w:r>
              <w:rPr>
                <w:sz w:val="16"/>
              </w:rPr>
              <w:t>Auction cut-off yield</w:t>
            </w:r>
          </w:p>
        </w:tc>
        <w:tc>
          <w:tcPr>
            <w:tcW w:type="dxa" w:w="2520"/>
            <w:vAlign w:val="center"/>
          </w:tcPr>
          <w:p>
            <w:pPr>
              <w:spacing w:after="40"/>
            </w:pPr>
            <w:r>
              <w:rPr>
                <w:sz w:val="16"/>
              </w:rPr>
              <w:t>Auction event</w:t>
            </w:r>
          </w:p>
        </w:tc>
        <w:tc>
          <w:tcPr>
            <w:tcW w:type="dxa" w:w="2520"/>
            <w:vAlign w:val="center"/>
          </w:tcPr>
          <w:p>
            <w:pPr>
              <w:spacing w:after="40"/>
            </w:pPr>
            <w:r>
              <w:rPr>
                <w:sz w:val="16"/>
              </w:rPr>
              <w:t>Not interchangeable with daily benchmark yield</w:t>
            </w:r>
          </w:p>
        </w:tc>
      </w:tr>
      <w:tr>
        <w:tc>
          <w:tcPr>
            <w:tcW w:type="dxa" w:w="2520"/>
            <w:vAlign w:val="center"/>
          </w:tcPr>
          <w:p>
            <w:pPr>
              <w:spacing w:after="40"/>
            </w:pPr>
            <w:r>
              <w:rPr>
                <w:sz w:val="16"/>
              </w:rPr>
              <w:t>gsec_auction_bid_cover</w:t>
            </w:r>
          </w:p>
        </w:tc>
        <w:tc>
          <w:tcPr>
            <w:tcW w:type="dxa" w:w="2520"/>
            <w:vAlign w:val="center"/>
          </w:tcPr>
          <w:p>
            <w:pPr>
              <w:spacing w:after="40"/>
            </w:pPr>
            <w:r>
              <w:rPr>
                <w:sz w:val="16"/>
              </w:rPr>
              <w:t>Bids divided by notified/accepted amount per source definition</w:t>
            </w:r>
          </w:p>
        </w:tc>
        <w:tc>
          <w:tcPr>
            <w:tcW w:type="dxa" w:w="2520"/>
            <w:vAlign w:val="center"/>
          </w:tcPr>
          <w:p>
            <w:pPr>
              <w:spacing w:after="40"/>
            </w:pPr>
            <w:r>
              <w:rPr>
                <w:sz w:val="16"/>
              </w:rPr>
              <w:t>Auction event</w:t>
            </w:r>
          </w:p>
        </w:tc>
        <w:tc>
          <w:tcPr>
            <w:tcW w:type="dxa" w:w="2520"/>
            <w:vAlign w:val="center"/>
          </w:tcPr>
          <w:p>
            <w:pPr>
              <w:spacing w:after="40"/>
            </w:pPr>
            <w:r>
              <w:rPr>
                <w:sz w:val="16"/>
              </w:rPr>
              <w:t>Exact provider definition required</w:t>
            </w:r>
          </w:p>
        </w:tc>
      </w:tr>
      <w:tr>
        <w:tc>
          <w:tcPr>
            <w:tcW w:type="dxa" w:w="2520"/>
            <w:vAlign w:val="center"/>
          </w:tcPr>
          <w:p>
            <w:pPr>
              <w:spacing w:after="40"/>
            </w:pPr>
            <w:r>
              <w:rPr>
                <w:sz w:val="16"/>
              </w:rPr>
              <w:t>fiscal_deficit_cum</w:t>
            </w:r>
          </w:p>
        </w:tc>
        <w:tc>
          <w:tcPr>
            <w:tcW w:type="dxa" w:w="2520"/>
            <w:vAlign w:val="center"/>
          </w:tcPr>
          <w:p>
            <w:pPr>
              <w:spacing w:after="40"/>
            </w:pPr>
            <w:r>
              <w:rPr>
                <w:sz w:val="16"/>
              </w:rPr>
              <w:t>Cumulative fiscal deficit</w:t>
            </w:r>
          </w:p>
        </w:tc>
        <w:tc>
          <w:tcPr>
            <w:tcW w:type="dxa" w:w="2520"/>
            <w:vAlign w:val="center"/>
          </w:tcPr>
          <w:p>
            <w:pPr>
              <w:spacing w:after="40"/>
            </w:pPr>
            <w:r>
              <w:rPr>
                <w:sz w:val="16"/>
              </w:rPr>
              <w:t>Monthly release</w:t>
            </w:r>
          </w:p>
        </w:tc>
        <w:tc>
          <w:tcPr>
            <w:tcW w:type="dxa" w:w="2520"/>
            <w:vAlign w:val="center"/>
          </w:tcPr>
          <w:p>
            <w:pPr>
              <w:spacing w:after="40"/>
            </w:pPr>
            <w:r>
              <w:rPr>
                <w:sz w:val="16"/>
              </w:rPr>
              <w:t>Use period and release date separately</w:t>
            </w:r>
          </w:p>
        </w:tc>
      </w:tr>
      <w:tr>
        <w:tc>
          <w:tcPr>
            <w:tcW w:type="dxa" w:w="2520"/>
            <w:vAlign w:val="center"/>
          </w:tcPr>
          <w:p>
            <w:pPr>
              <w:spacing w:after="40"/>
            </w:pPr>
            <w:r>
              <w:rPr>
                <w:sz w:val="16"/>
              </w:rPr>
              <w:t>capex_yoy</w:t>
            </w:r>
          </w:p>
        </w:tc>
        <w:tc>
          <w:tcPr>
            <w:tcW w:type="dxa" w:w="2520"/>
            <w:vAlign w:val="center"/>
          </w:tcPr>
          <w:p>
            <w:pPr>
              <w:spacing w:after="40"/>
            </w:pPr>
            <w:r>
              <w:rPr>
                <w:sz w:val="16"/>
              </w:rPr>
              <w:t>Comparable monthly capex growth</w:t>
            </w:r>
          </w:p>
        </w:tc>
        <w:tc>
          <w:tcPr>
            <w:tcW w:type="dxa" w:w="2520"/>
            <w:vAlign w:val="center"/>
          </w:tcPr>
          <w:p>
            <w:pPr>
              <w:spacing w:after="40"/>
            </w:pPr>
            <w:r>
              <w:rPr>
                <w:sz w:val="16"/>
              </w:rPr>
              <w:t>Monthly release</w:t>
            </w:r>
          </w:p>
        </w:tc>
        <w:tc>
          <w:tcPr>
            <w:tcW w:type="dxa" w:w="2520"/>
            <w:vAlign w:val="center"/>
          </w:tcPr>
          <w:p>
            <w:pPr>
              <w:spacing w:after="40"/>
            </w:pPr>
            <w:r>
              <w:rPr>
                <w:sz w:val="16"/>
              </w:rPr>
              <w:t>Actual vs BE/RE and nominal amount</w:t>
            </w:r>
          </w:p>
        </w:tc>
      </w:tr>
      <w:tr>
        <w:tc>
          <w:tcPr>
            <w:tcW w:type="dxa" w:w="2520"/>
            <w:vAlign w:val="center"/>
          </w:tcPr>
          <w:p>
            <w:pPr>
              <w:spacing w:after="40"/>
            </w:pPr>
            <w:r>
              <w:rPr>
                <w:sz w:val="16"/>
              </w:rPr>
              <w:t>tax_receipts_yoy</w:t>
            </w:r>
          </w:p>
        </w:tc>
        <w:tc>
          <w:tcPr>
            <w:tcW w:type="dxa" w:w="2520"/>
            <w:vAlign w:val="center"/>
          </w:tcPr>
          <w:p>
            <w:pPr>
              <w:spacing w:after="40"/>
            </w:pPr>
            <w:r>
              <w:rPr>
                <w:sz w:val="16"/>
              </w:rPr>
              <w:t>Comparable tax receipt growth</w:t>
            </w:r>
          </w:p>
        </w:tc>
        <w:tc>
          <w:tcPr>
            <w:tcW w:type="dxa" w:w="2520"/>
            <w:vAlign w:val="center"/>
          </w:tcPr>
          <w:p>
            <w:pPr>
              <w:spacing w:after="40"/>
            </w:pPr>
            <w:r>
              <w:rPr>
                <w:sz w:val="16"/>
              </w:rPr>
              <w:t>Monthly release</w:t>
            </w:r>
          </w:p>
        </w:tc>
        <w:tc>
          <w:tcPr>
            <w:tcW w:type="dxa" w:w="2520"/>
            <w:vAlign w:val="center"/>
          </w:tcPr>
          <w:p>
            <w:pPr>
              <w:spacing w:after="40"/>
            </w:pPr>
            <w:r>
              <w:rPr>
                <w:sz w:val="16"/>
              </w:rPr>
              <w:t>Tax structure and calendar effects</w:t>
            </w:r>
          </w:p>
        </w:tc>
      </w:tr>
      <w:tr>
        <w:tc>
          <w:tcPr>
            <w:tcW w:type="dxa" w:w="2520"/>
            <w:vAlign w:val="center"/>
          </w:tcPr>
          <w:p>
            <w:pPr>
              <w:spacing w:after="40"/>
            </w:pPr>
            <w:r>
              <w:rPr>
                <w:sz w:val="16"/>
              </w:rPr>
              <w:t>gross_borrowing_plan</w:t>
            </w:r>
          </w:p>
        </w:tc>
        <w:tc>
          <w:tcPr>
            <w:tcW w:type="dxa" w:w="2520"/>
            <w:vAlign w:val="center"/>
          </w:tcPr>
          <w:p>
            <w:pPr>
              <w:spacing w:after="40"/>
            </w:pPr>
            <w:r>
              <w:rPr>
                <w:sz w:val="16"/>
              </w:rPr>
              <w:t>Announced gross borrowing plan</w:t>
            </w:r>
          </w:p>
        </w:tc>
        <w:tc>
          <w:tcPr>
            <w:tcW w:type="dxa" w:w="2520"/>
            <w:vAlign w:val="center"/>
          </w:tcPr>
          <w:p>
            <w:pPr>
              <w:spacing w:after="40"/>
            </w:pPr>
            <w:r>
              <w:rPr>
                <w:sz w:val="16"/>
              </w:rPr>
              <w:t>Budget/issuance calendar</w:t>
            </w:r>
          </w:p>
        </w:tc>
        <w:tc>
          <w:tcPr>
            <w:tcW w:type="dxa" w:w="2520"/>
            <w:vAlign w:val="center"/>
          </w:tcPr>
          <w:p>
            <w:pPr>
              <w:spacing w:after="40"/>
            </w:pPr>
            <w:r>
              <w:rPr>
                <w:sz w:val="16"/>
              </w:rPr>
              <w:t>Plan may be revised</w:t>
            </w:r>
          </w:p>
        </w:tc>
      </w:tr>
      <w:tr>
        <w:tc>
          <w:tcPr>
            <w:tcW w:type="dxa" w:w="2520"/>
            <w:vAlign w:val="center"/>
          </w:tcPr>
          <w:p>
            <w:pPr>
              <w:spacing w:after="40"/>
            </w:pPr>
            <w:r>
              <w:rPr>
                <w:sz w:val="16"/>
              </w:rPr>
              <w:t>borrowing_deviation</w:t>
            </w:r>
          </w:p>
        </w:tc>
        <w:tc>
          <w:tcPr>
            <w:tcW w:type="dxa" w:w="2520"/>
            <w:vAlign w:val="center"/>
          </w:tcPr>
          <w:p>
            <w:pPr>
              <w:spacing w:after="40"/>
            </w:pPr>
            <w:r>
              <w:rPr>
                <w:sz w:val="16"/>
              </w:rPr>
              <w:t>Accepted minus scheduled/notified borrowing</w:t>
            </w:r>
          </w:p>
        </w:tc>
        <w:tc>
          <w:tcPr>
            <w:tcW w:type="dxa" w:w="2520"/>
            <w:vAlign w:val="center"/>
          </w:tcPr>
          <w:p>
            <w:pPr>
              <w:spacing w:after="40"/>
            </w:pPr>
            <w:r>
              <w:rPr>
                <w:sz w:val="16"/>
              </w:rPr>
              <w:t>Auction event</w:t>
            </w:r>
          </w:p>
        </w:tc>
        <w:tc>
          <w:tcPr>
            <w:tcW w:type="dxa" w:w="2520"/>
            <w:vAlign w:val="center"/>
          </w:tcPr>
          <w:p>
            <w:pPr>
              <w:spacing w:after="40"/>
            </w:pPr>
            <w:r>
              <w:rPr>
                <w:sz w:val="16"/>
              </w:rPr>
              <w:t>Use consistent amount basis</w:t>
            </w:r>
          </w:p>
        </w:tc>
      </w:tr>
      <w:tr>
        <w:tc>
          <w:tcPr>
            <w:tcW w:type="dxa" w:w="2520"/>
            <w:vAlign w:val="center"/>
          </w:tcPr>
          <w:p>
            <w:pPr>
              <w:spacing w:after="40"/>
            </w:pPr>
            <w:r>
              <w:rPr>
                <w:sz w:val="16"/>
              </w:rPr>
              <w:t>policy_event_flag</w:t>
            </w:r>
          </w:p>
        </w:tc>
        <w:tc>
          <w:tcPr>
            <w:tcW w:type="dxa" w:w="2520"/>
            <w:vAlign w:val="center"/>
          </w:tcPr>
          <w:p>
            <w:pPr>
              <w:spacing w:after="40"/>
            </w:pPr>
            <w:r>
              <w:rPr>
                <w:sz w:val="16"/>
              </w:rPr>
              <w:t>Known scheduled policy event flag</w:t>
            </w:r>
          </w:p>
        </w:tc>
        <w:tc>
          <w:tcPr>
            <w:tcW w:type="dxa" w:w="2520"/>
            <w:vAlign w:val="center"/>
          </w:tcPr>
          <w:p>
            <w:pPr>
              <w:spacing w:after="40"/>
            </w:pPr>
            <w:r>
              <w:rPr>
                <w:sz w:val="16"/>
              </w:rPr>
              <w:t>Before event only</w:t>
            </w:r>
          </w:p>
        </w:tc>
        <w:tc>
          <w:tcPr>
            <w:tcW w:type="dxa" w:w="2520"/>
            <w:vAlign w:val="center"/>
          </w:tcPr>
          <w:p>
            <w:pPr>
              <w:spacing w:after="40"/>
            </w:pPr>
            <w:r>
              <w:rPr>
                <w:sz w:val="16"/>
              </w:rPr>
              <w:t>Unscheduled events need actual publication timestamp</w:t>
            </w:r>
          </w:p>
        </w:tc>
      </w:tr>
      <w:tr>
        <w:tc>
          <w:tcPr>
            <w:tcW w:type="dxa" w:w="2520"/>
            <w:vAlign w:val="center"/>
          </w:tcPr>
          <w:p>
            <w:pPr>
              <w:spacing w:after="40"/>
            </w:pPr>
            <w:r>
              <w:rPr>
                <w:sz w:val="16"/>
              </w:rPr>
              <w:t>budget_event_flag</w:t>
            </w:r>
          </w:p>
        </w:tc>
        <w:tc>
          <w:tcPr>
            <w:tcW w:type="dxa" w:w="2520"/>
            <w:vAlign w:val="center"/>
          </w:tcPr>
          <w:p>
            <w:pPr>
              <w:spacing w:after="40"/>
            </w:pPr>
            <w:r>
              <w:rPr>
                <w:sz w:val="16"/>
              </w:rPr>
              <w:t>Known Budget presentation/event flag</w:t>
            </w:r>
          </w:p>
        </w:tc>
        <w:tc>
          <w:tcPr>
            <w:tcW w:type="dxa" w:w="2520"/>
            <w:vAlign w:val="center"/>
          </w:tcPr>
          <w:p>
            <w:pPr>
              <w:spacing w:after="40"/>
            </w:pPr>
            <w:r>
              <w:rPr>
                <w:sz w:val="16"/>
              </w:rPr>
              <w:t>Before event only</w:t>
            </w:r>
          </w:p>
        </w:tc>
        <w:tc>
          <w:tcPr>
            <w:tcW w:type="dxa" w:w="2520"/>
            <w:vAlign w:val="center"/>
          </w:tcPr>
          <w:p>
            <w:pPr>
              <w:spacing w:after="40"/>
            </w:pPr>
            <w:r>
              <w:rPr>
                <w:sz w:val="16"/>
              </w:rPr>
              <w:t>Separate speech time and document release time</w:t>
            </w:r>
          </w:p>
        </w:tc>
      </w:tr>
      <w:tr>
        <w:tc>
          <w:tcPr>
            <w:tcW w:type="dxa" w:w="2520"/>
            <w:vAlign w:val="center"/>
          </w:tcPr>
          <w:p>
            <w:pPr>
              <w:spacing w:after="40"/>
            </w:pPr>
            <w:r>
              <w:rPr>
                <w:sz w:val="16"/>
              </w:rPr>
              <w:t>policy_text_tone</w:t>
            </w:r>
          </w:p>
        </w:tc>
        <w:tc>
          <w:tcPr>
            <w:tcW w:type="dxa" w:w="2520"/>
            <w:vAlign w:val="center"/>
          </w:tcPr>
          <w:p>
            <w:pPr>
              <w:spacing w:after="40"/>
            </w:pPr>
            <w:r>
              <w:rPr>
                <w:sz w:val="16"/>
              </w:rPr>
              <w:t>Predefined text feature from statement/minutes</w:t>
            </w:r>
          </w:p>
        </w:tc>
        <w:tc>
          <w:tcPr>
            <w:tcW w:type="dxa" w:w="2520"/>
            <w:vAlign w:val="center"/>
          </w:tcPr>
          <w:p>
            <w:pPr>
              <w:spacing w:after="40"/>
            </w:pPr>
            <w:r>
              <w:rPr>
                <w:sz w:val="16"/>
              </w:rPr>
              <w:t>After text is public</w:t>
            </w:r>
          </w:p>
        </w:tc>
        <w:tc>
          <w:tcPr>
            <w:tcW w:type="dxa" w:w="2520"/>
            <w:vAlign w:val="center"/>
          </w:tcPr>
          <w:p>
            <w:pPr>
              <w:spacing w:after="40"/>
            </w:pPr>
            <w:r>
              <w:rPr>
                <w:sz w:val="16"/>
              </w:rPr>
              <w:t>Requires fixed model/version and leakage controls</w:t>
            </w:r>
          </w:p>
        </w:tc>
      </w:tr>
    </w:tbl>
    <w:p/>
    <w:p>
      <w:r>
        <w:t>A sensible first model should start with a few simple fields—repo rate/change, overnight-rate spread, 10-year G-sec yield/change, and scheduled policy-event flags—then add liquidity and fiscal features after verifying data access and timing.</w:t>
      </w:r>
    </w:p>
    <w:p>
      <w:pPr>
        <w:pStyle w:val="Heading1"/>
      </w:pPr>
      <w:r>
        <w:t>9. Data Sources and Access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Source</w:t>
            </w:r>
          </w:p>
        </w:tc>
        <w:tc>
          <w:tcPr>
            <w:tcW w:type="dxa" w:w="2520"/>
            <w:shd w:fill="D9EAF2"/>
          </w:tcPr>
          <w:p>
            <w:r>
              <w:rPr>
                <w:b/>
                <w:sz w:val="16"/>
              </w:rPr>
              <w:t>Useful for</w:t>
            </w:r>
          </w:p>
        </w:tc>
        <w:tc>
          <w:tcPr>
            <w:tcW w:type="dxa" w:w="2520"/>
            <w:shd w:fill="D9EAF2"/>
          </w:tcPr>
          <w:p>
            <w:r>
              <w:rPr>
                <w:b/>
                <w:sz w:val="16"/>
              </w:rPr>
              <w:t>Strengths</w:t>
            </w:r>
          </w:p>
        </w:tc>
        <w:tc>
          <w:tcPr>
            <w:tcW w:type="dxa" w:w="2520"/>
            <w:shd w:fill="D9EAF2"/>
          </w:tcPr>
          <w:p>
            <w:r>
              <w:rPr>
                <w:b/>
                <w:sz w:val="16"/>
              </w:rPr>
              <w:t>Limitations / checks</w:t>
            </w:r>
          </w:p>
        </w:tc>
      </w:tr>
      <w:tr>
        <w:tc>
          <w:tcPr>
            <w:tcW w:type="dxa" w:w="2520"/>
            <w:vAlign w:val="center"/>
          </w:tcPr>
          <w:p>
            <w:pPr>
              <w:spacing w:after="40"/>
            </w:pPr>
            <w:r>
              <w:rPr>
                <w:sz w:val="16"/>
              </w:rPr>
              <w:t>RBI — Monetary Policy</w:t>
            </w:r>
          </w:p>
        </w:tc>
        <w:tc>
          <w:tcPr>
            <w:tcW w:type="dxa" w:w="2520"/>
            <w:vAlign w:val="center"/>
          </w:tcPr>
          <w:p>
            <w:pPr>
              <w:spacing w:after="40"/>
            </w:pPr>
            <w:r>
              <w:rPr>
                <w:sz w:val="16"/>
              </w:rPr>
              <w:t>https://www.rbi.org.in/Scripts/BS_PressReleaseDisplay.aspx</w:t>
            </w:r>
          </w:p>
        </w:tc>
        <w:tc>
          <w:tcPr>
            <w:tcW w:type="dxa" w:w="2520"/>
            <w:vAlign w:val="center"/>
          </w:tcPr>
          <w:p>
            <w:pPr>
              <w:spacing w:after="40"/>
            </w:pPr>
            <w:r>
              <w:rPr>
                <w:sz w:val="16"/>
              </w:rPr>
              <w:t>Official monetary-policy resolutions, statements, minutes and related releases</w:t>
            </w:r>
          </w:p>
        </w:tc>
        <w:tc>
          <w:tcPr>
            <w:tcW w:type="dxa" w:w="2520"/>
            <w:vAlign w:val="center"/>
          </w:tcPr>
          <w:p>
            <w:pPr>
              <w:spacing w:after="40"/>
            </w:pPr>
            <w:r>
              <w:rPr>
                <w:sz w:val="16"/>
              </w:rPr>
              <w:t>Pages and document formats differ by year; decision, statement and minutes dates are not the same.</w:t>
            </w:r>
          </w:p>
        </w:tc>
      </w:tr>
      <w:tr>
        <w:tc>
          <w:tcPr>
            <w:tcW w:type="dxa" w:w="2520"/>
            <w:vAlign w:val="center"/>
          </w:tcPr>
          <w:p>
            <w:pPr>
              <w:spacing w:after="40"/>
            </w:pPr>
            <w:r>
              <w:rPr>
                <w:sz w:val="16"/>
              </w:rPr>
              <w:t>RBI Database on Indian Economy (DBIE)</w:t>
            </w:r>
          </w:p>
        </w:tc>
        <w:tc>
          <w:tcPr>
            <w:tcW w:type="dxa" w:w="2520"/>
            <w:vAlign w:val="center"/>
          </w:tcPr>
          <w:p>
            <w:pPr>
              <w:spacing w:after="40"/>
            </w:pPr>
            <w:r>
              <w:rPr>
                <w:sz w:val="16"/>
              </w:rPr>
              <w:t>https://dbie.rbi.org.in/</w:t>
            </w:r>
          </w:p>
        </w:tc>
        <w:tc>
          <w:tcPr>
            <w:tcW w:type="dxa" w:w="2520"/>
            <w:vAlign w:val="center"/>
          </w:tcPr>
          <w:p>
            <w:pPr>
              <w:spacing w:after="40"/>
            </w:pPr>
            <w:r>
              <w:rPr>
                <w:sz w:val="16"/>
              </w:rPr>
              <w:t>Official time series for rates, banking, liquidity and other economic/financial data</w:t>
            </w:r>
          </w:p>
        </w:tc>
        <w:tc>
          <w:tcPr>
            <w:tcW w:type="dxa" w:w="2520"/>
            <w:vAlign w:val="center"/>
          </w:tcPr>
          <w:p>
            <w:pPr>
              <w:spacing w:after="40"/>
            </w:pPr>
            <w:r>
              <w:rPr>
                <w:sz w:val="16"/>
              </w:rPr>
              <w:t>Check series-specific frequency, unit, definition, update time and revisions.</w:t>
            </w:r>
          </w:p>
        </w:tc>
      </w:tr>
      <w:tr>
        <w:tc>
          <w:tcPr>
            <w:tcW w:type="dxa" w:w="2520"/>
            <w:vAlign w:val="center"/>
          </w:tcPr>
          <w:p>
            <w:pPr>
              <w:spacing w:after="40"/>
            </w:pPr>
            <w:r>
              <w:rPr>
                <w:sz w:val="16"/>
              </w:rPr>
              <w:t>RBI Weekly Statistical Supplement</w:t>
            </w:r>
          </w:p>
        </w:tc>
        <w:tc>
          <w:tcPr>
            <w:tcW w:type="dxa" w:w="2520"/>
            <w:vAlign w:val="center"/>
          </w:tcPr>
          <w:p>
            <w:pPr>
              <w:spacing w:after="40"/>
            </w:pPr>
            <w:r>
              <w:rPr>
                <w:sz w:val="16"/>
              </w:rPr>
              <w:t>https://www.rbi.org.in/Scripts/WeeklyStatisticalSupplement.aspx</w:t>
            </w:r>
          </w:p>
        </w:tc>
        <w:tc>
          <w:tcPr>
            <w:tcW w:type="dxa" w:w="2520"/>
            <w:vAlign w:val="center"/>
          </w:tcPr>
          <w:p>
            <w:pPr>
              <w:spacing w:after="40"/>
            </w:pPr>
            <w:r>
              <w:rPr>
                <w:sz w:val="16"/>
              </w:rPr>
              <w:t>Weekly balance-sheet and monetary/financial context</w:t>
            </w:r>
          </w:p>
        </w:tc>
        <w:tc>
          <w:tcPr>
            <w:tcW w:type="dxa" w:w="2520"/>
            <w:vAlign w:val="center"/>
          </w:tcPr>
          <w:p>
            <w:pPr>
              <w:spacing w:after="40"/>
            </w:pPr>
            <w:r>
              <w:rPr>
                <w:sz w:val="16"/>
              </w:rPr>
              <w:t>Weekly frequency is not suitable for every short-horizon target; values may be published after the reference date.</w:t>
            </w:r>
          </w:p>
        </w:tc>
      </w:tr>
      <w:tr>
        <w:tc>
          <w:tcPr>
            <w:tcW w:type="dxa" w:w="2520"/>
            <w:vAlign w:val="center"/>
          </w:tcPr>
          <w:p>
            <w:pPr>
              <w:spacing w:after="40"/>
            </w:pPr>
            <w:r>
              <w:rPr>
                <w:sz w:val="16"/>
              </w:rPr>
              <w:t>CCIL</w:t>
            </w:r>
          </w:p>
        </w:tc>
        <w:tc>
          <w:tcPr>
            <w:tcW w:type="dxa" w:w="2520"/>
            <w:vAlign w:val="center"/>
          </w:tcPr>
          <w:p>
            <w:pPr>
              <w:spacing w:after="40"/>
            </w:pPr>
            <w:r>
              <w:rPr>
                <w:sz w:val="16"/>
              </w:rPr>
              <w:t>https://www.ccilindia.com/</w:t>
            </w:r>
          </w:p>
        </w:tc>
        <w:tc>
          <w:tcPr>
            <w:tcW w:type="dxa" w:w="2520"/>
            <w:vAlign w:val="center"/>
          </w:tcPr>
          <w:p>
            <w:pPr>
              <w:spacing w:after="40"/>
            </w:pPr>
            <w:r>
              <w:rPr>
                <w:sz w:val="16"/>
              </w:rPr>
              <w:t>Indian money-market and government-securities market information, depending on product</w:t>
            </w:r>
          </w:p>
        </w:tc>
        <w:tc>
          <w:tcPr>
            <w:tcW w:type="dxa" w:w="2520"/>
            <w:vAlign w:val="center"/>
          </w:tcPr>
          <w:p>
            <w:pPr>
              <w:spacing w:after="40"/>
            </w:pPr>
            <w:r>
              <w:rPr>
                <w:sz w:val="16"/>
              </w:rPr>
              <w:t>Data access, historical depth and redistribution terms may vary; verify current product details.</w:t>
            </w:r>
          </w:p>
        </w:tc>
      </w:tr>
      <w:tr>
        <w:tc>
          <w:tcPr>
            <w:tcW w:type="dxa" w:w="2520"/>
            <w:vAlign w:val="center"/>
          </w:tcPr>
          <w:p>
            <w:pPr>
              <w:spacing w:after="40"/>
            </w:pPr>
            <w:r>
              <w:rPr>
                <w:sz w:val="16"/>
              </w:rPr>
              <w:t>NSE Data &amp; Analytics</w:t>
            </w:r>
          </w:p>
        </w:tc>
        <w:tc>
          <w:tcPr>
            <w:tcW w:type="dxa" w:w="2520"/>
            <w:vAlign w:val="center"/>
          </w:tcPr>
          <w:p>
            <w:pPr>
              <w:spacing w:after="40"/>
            </w:pPr>
            <w:r>
              <w:rPr>
                <w:sz w:val="16"/>
              </w:rPr>
              <w:t>https://www.nse.in/static/nse-data-and-analytics/data-information-vending</w:t>
            </w:r>
          </w:p>
        </w:tc>
        <w:tc>
          <w:tcPr>
            <w:tcW w:type="dxa" w:w="2520"/>
            <w:vAlign w:val="center"/>
          </w:tcPr>
          <w:p>
            <w:pPr>
              <w:spacing w:after="40"/>
            </w:pPr>
            <w:r>
              <w:rPr>
                <w:sz w:val="16"/>
              </w:rPr>
              <w:t>Market data product and licensing information for NSE data</w:t>
            </w:r>
          </w:p>
        </w:tc>
        <w:tc>
          <w:tcPr>
            <w:tcW w:type="dxa" w:w="2520"/>
            <w:vAlign w:val="center"/>
          </w:tcPr>
          <w:p>
            <w:pPr>
              <w:spacing w:after="40"/>
            </w:pPr>
            <w:r>
              <w:rPr>
                <w:sz w:val="16"/>
              </w:rPr>
              <w:t>Some historical/real-time products are commercial; official site does not imply free unlimited API.</w:t>
            </w:r>
          </w:p>
        </w:tc>
      </w:tr>
      <w:tr>
        <w:tc>
          <w:tcPr>
            <w:tcW w:type="dxa" w:w="2520"/>
            <w:vAlign w:val="center"/>
          </w:tcPr>
          <w:p>
            <w:pPr>
              <w:spacing w:after="40"/>
            </w:pPr>
            <w:r>
              <w:rPr>
                <w:sz w:val="16"/>
              </w:rPr>
              <w:t>Ministry of Finance — Budget</w:t>
            </w:r>
          </w:p>
        </w:tc>
        <w:tc>
          <w:tcPr>
            <w:tcW w:type="dxa" w:w="2520"/>
            <w:vAlign w:val="center"/>
          </w:tcPr>
          <w:p>
            <w:pPr>
              <w:spacing w:after="40"/>
            </w:pPr>
            <w:r>
              <w:rPr>
                <w:sz w:val="16"/>
              </w:rPr>
              <w:t>https://www.indiabudget.gov.in/</w:t>
            </w:r>
          </w:p>
        </w:tc>
        <w:tc>
          <w:tcPr>
            <w:tcW w:type="dxa" w:w="2520"/>
            <w:vAlign w:val="center"/>
          </w:tcPr>
          <w:p>
            <w:pPr>
              <w:spacing w:after="40"/>
            </w:pPr>
            <w:r>
              <w:rPr>
                <w:sz w:val="16"/>
              </w:rPr>
              <w:t>Budget documents, fiscal estimates, receipts, expenditure, borrowing and tax proposals</w:t>
            </w:r>
          </w:p>
        </w:tc>
        <w:tc>
          <w:tcPr>
            <w:tcW w:type="dxa" w:w="2520"/>
            <w:vAlign w:val="center"/>
          </w:tcPr>
          <w:p>
            <w:pPr>
              <w:spacing w:after="40"/>
            </w:pPr>
            <w:r>
              <w:rPr>
                <w:sz w:val="16"/>
              </w:rPr>
              <w:t>Budget estimates, revised estimates and actuals must be separate vintages; documents have multiple release times.</w:t>
            </w:r>
          </w:p>
        </w:tc>
      </w:tr>
      <w:tr>
        <w:tc>
          <w:tcPr>
            <w:tcW w:type="dxa" w:w="2520"/>
            <w:vAlign w:val="center"/>
          </w:tcPr>
          <w:p>
            <w:pPr>
              <w:spacing w:after="40"/>
            </w:pPr>
            <w:r>
              <w:rPr>
                <w:sz w:val="16"/>
              </w:rPr>
              <w:t>Controller General of Accounts (CGA)</w:t>
            </w:r>
          </w:p>
        </w:tc>
        <w:tc>
          <w:tcPr>
            <w:tcW w:type="dxa" w:w="2520"/>
            <w:vAlign w:val="center"/>
          </w:tcPr>
          <w:p>
            <w:pPr>
              <w:spacing w:after="40"/>
            </w:pPr>
            <w:r>
              <w:rPr>
                <w:sz w:val="16"/>
              </w:rPr>
              <w:t>https://cga.nic.in/</w:t>
            </w:r>
          </w:p>
        </w:tc>
        <w:tc>
          <w:tcPr>
            <w:tcW w:type="dxa" w:w="2520"/>
            <w:vAlign w:val="center"/>
          </w:tcPr>
          <w:p>
            <w:pPr>
              <w:spacing w:after="40"/>
            </w:pPr>
            <w:r>
              <w:rPr>
                <w:sz w:val="16"/>
              </w:rPr>
              <w:t>Monthly accounts of Union Government receipts and expenditure</w:t>
            </w:r>
          </w:p>
        </w:tc>
        <w:tc>
          <w:tcPr>
            <w:tcW w:type="dxa" w:w="2520"/>
            <w:vAlign w:val="center"/>
          </w:tcPr>
          <w:p>
            <w:pPr>
              <w:spacing w:after="40"/>
            </w:pPr>
            <w:r>
              <w:rPr>
                <w:sz w:val="16"/>
              </w:rPr>
              <w:t>Monthly fiscal data are published with a lag and may be revised; preserve publication dates.</w:t>
            </w:r>
          </w:p>
        </w:tc>
      </w:tr>
      <w:tr>
        <w:tc>
          <w:tcPr>
            <w:tcW w:type="dxa" w:w="2520"/>
            <w:vAlign w:val="center"/>
          </w:tcPr>
          <w:p>
            <w:pPr>
              <w:spacing w:after="40"/>
            </w:pPr>
            <w:r>
              <w:rPr>
                <w:sz w:val="16"/>
              </w:rPr>
              <w:t>GST Council</w:t>
            </w:r>
          </w:p>
        </w:tc>
        <w:tc>
          <w:tcPr>
            <w:tcW w:type="dxa" w:w="2520"/>
            <w:vAlign w:val="center"/>
          </w:tcPr>
          <w:p>
            <w:pPr>
              <w:spacing w:after="40"/>
            </w:pPr>
            <w:r>
              <w:rPr>
                <w:sz w:val="16"/>
              </w:rPr>
              <w:t>https://gstcouncil.gov.in/</w:t>
            </w:r>
          </w:p>
        </w:tc>
        <w:tc>
          <w:tcPr>
            <w:tcW w:type="dxa" w:w="2520"/>
            <w:vAlign w:val="center"/>
          </w:tcPr>
          <w:p>
            <w:pPr>
              <w:spacing w:after="40"/>
            </w:pPr>
            <w:r>
              <w:rPr>
                <w:sz w:val="16"/>
              </w:rPr>
              <w:t>GST Council meeting recommendations and policy decisions</w:t>
            </w:r>
          </w:p>
        </w:tc>
        <w:tc>
          <w:tcPr>
            <w:tcW w:type="dxa" w:w="2520"/>
            <w:vAlign w:val="center"/>
          </w:tcPr>
          <w:p>
            <w:pPr>
              <w:spacing w:after="40"/>
            </w:pPr>
            <w:r>
              <w:rPr>
                <w:sz w:val="16"/>
              </w:rPr>
              <w:t>Recommendation, notification and effective date can differ; check subsequent official notifications.</w:t>
            </w:r>
          </w:p>
        </w:tc>
      </w:tr>
      <w:tr>
        <w:tc>
          <w:tcPr>
            <w:tcW w:type="dxa" w:w="2520"/>
            <w:vAlign w:val="center"/>
          </w:tcPr>
          <w:p>
            <w:pPr>
              <w:spacing w:after="40"/>
            </w:pPr>
            <w:r>
              <w:rPr>
                <w:sz w:val="16"/>
              </w:rPr>
              <w:t>CBIC</w:t>
            </w:r>
          </w:p>
        </w:tc>
        <w:tc>
          <w:tcPr>
            <w:tcW w:type="dxa" w:w="2520"/>
            <w:vAlign w:val="center"/>
          </w:tcPr>
          <w:p>
            <w:pPr>
              <w:spacing w:after="40"/>
            </w:pPr>
            <w:r>
              <w:rPr>
                <w:sz w:val="16"/>
              </w:rPr>
              <w:t>https://www.cbic.gov.in/</w:t>
            </w:r>
          </w:p>
        </w:tc>
        <w:tc>
          <w:tcPr>
            <w:tcW w:type="dxa" w:w="2520"/>
            <w:vAlign w:val="center"/>
          </w:tcPr>
          <w:p>
            <w:pPr>
              <w:spacing w:after="40"/>
            </w:pPr>
            <w:r>
              <w:rPr>
                <w:sz w:val="16"/>
              </w:rPr>
              <w:t>Official customs/excise/GST notifications and tax changes</w:t>
            </w:r>
          </w:p>
        </w:tc>
        <w:tc>
          <w:tcPr>
            <w:tcW w:type="dxa" w:w="2520"/>
            <w:vAlign w:val="center"/>
          </w:tcPr>
          <w:p>
            <w:pPr>
              <w:spacing w:after="40"/>
            </w:pPr>
            <w:r>
              <w:rPr>
                <w:sz w:val="16"/>
              </w:rPr>
              <w:t>Rules may be amended or effective on a later date; parse notification and effective date separately.</w:t>
            </w:r>
          </w:p>
        </w:tc>
      </w:tr>
      <w:tr>
        <w:tc>
          <w:tcPr>
            <w:tcW w:type="dxa" w:w="2520"/>
            <w:vAlign w:val="center"/>
          </w:tcPr>
          <w:p>
            <w:pPr>
              <w:spacing w:after="40"/>
            </w:pPr>
            <w:r>
              <w:rPr>
                <w:sz w:val="16"/>
              </w:rPr>
              <w:t>PIB</w:t>
            </w:r>
          </w:p>
        </w:tc>
        <w:tc>
          <w:tcPr>
            <w:tcW w:type="dxa" w:w="2520"/>
            <w:vAlign w:val="center"/>
          </w:tcPr>
          <w:p>
            <w:pPr>
              <w:spacing w:after="40"/>
            </w:pPr>
            <w:r>
              <w:rPr>
                <w:sz w:val="16"/>
              </w:rPr>
              <w:t>https://pib.gov.in/</w:t>
            </w:r>
          </w:p>
        </w:tc>
        <w:tc>
          <w:tcPr>
            <w:tcW w:type="dxa" w:w="2520"/>
            <w:vAlign w:val="center"/>
          </w:tcPr>
          <w:p>
            <w:pPr>
              <w:spacing w:after="40"/>
            </w:pPr>
            <w:r>
              <w:rPr>
                <w:sz w:val="16"/>
              </w:rPr>
              <w:t>Official timestamped policy announcements and government summaries</w:t>
            </w:r>
          </w:p>
        </w:tc>
        <w:tc>
          <w:tcPr>
            <w:tcW w:type="dxa" w:w="2520"/>
            <w:vAlign w:val="center"/>
          </w:tcPr>
          <w:p>
            <w:pPr>
              <w:spacing w:after="40"/>
            </w:pPr>
            <w:r>
              <w:rPr>
                <w:sz w:val="16"/>
              </w:rPr>
              <w:t>Use original document/notification as the source of truth where legal or effective details matter.</w:t>
            </w:r>
          </w:p>
        </w:tc>
      </w:tr>
      <w:tr>
        <w:tc>
          <w:tcPr>
            <w:tcW w:type="dxa" w:w="2520"/>
            <w:vAlign w:val="center"/>
          </w:tcPr>
          <w:p>
            <w:pPr>
              <w:spacing w:after="40"/>
            </w:pPr>
            <w:r>
              <w:rPr>
                <w:sz w:val="16"/>
              </w:rPr>
              <w:t>FRED / US Treasury</w:t>
            </w:r>
          </w:p>
        </w:tc>
        <w:tc>
          <w:tcPr>
            <w:tcW w:type="dxa" w:w="2520"/>
            <w:vAlign w:val="center"/>
          </w:tcPr>
          <w:p>
            <w:pPr>
              <w:spacing w:after="40"/>
            </w:pPr>
            <w:r>
              <w:rPr>
                <w:sz w:val="16"/>
              </w:rPr>
              <w:t>https://fred.stlouisfed.org/ and https://home.treasury.gov/resource-center/data-chart-center/interest-rates</w:t>
            </w:r>
          </w:p>
        </w:tc>
        <w:tc>
          <w:tcPr>
            <w:tcW w:type="dxa" w:w="2520"/>
            <w:vAlign w:val="center"/>
          </w:tcPr>
          <w:p>
            <w:pPr>
              <w:spacing w:after="40"/>
            </w:pPr>
            <w:r>
              <w:rPr>
                <w:sz w:val="16"/>
              </w:rPr>
              <w:t>Global rates for cross-asset comparison</w:t>
            </w:r>
          </w:p>
        </w:tc>
        <w:tc>
          <w:tcPr>
            <w:tcW w:type="dxa" w:w="2520"/>
            <w:vAlign w:val="center"/>
          </w:tcPr>
          <w:p>
            <w:pPr>
              <w:spacing w:after="40"/>
            </w:pPr>
            <w:r>
              <w:rPr>
                <w:sz w:val="16"/>
              </w:rPr>
              <w:t>This is supporting global data, not a substitute for Indian policy and G-sec data.</w:t>
            </w:r>
          </w:p>
        </w:tc>
      </w:tr>
    </w:tbl>
    <w:p/>
    <w:p>
      <w:r>
        <w:t>Access rule: verify exact series, history depth, timestamps, API limits, retention rights and commercial-use terms before committing to a vendor. For event features, archive the original release and the time it became public.</w:t>
      </w:r>
    </w:p>
    <w:p>
      <w:pPr>
        <w:pStyle w:val="Heading1"/>
      </w:pPr>
      <w:r>
        <w:t>10. Publication Timing and Leakage Prevention</w:t>
      </w:r>
    </w:p>
    <w:p>
      <w:pPr>
        <w:pStyle w:val="ListBullet"/>
        <w:spacing w:after="40"/>
      </w:pPr>
      <w:r>
        <w:t>Separate the decision date, announcement timestamp, effective date and minutes publication date. These can all differ.</w:t>
      </w:r>
    </w:p>
    <w:p>
      <w:pPr>
        <w:pStyle w:val="ListBullet"/>
        <w:spacing w:after="40"/>
      </w:pPr>
      <w:r>
        <w:t>Store observation period, published_at, available_at and retrieved_at independently. Convert to UTC for joins but retain the source timezone.</w:t>
      </w:r>
    </w:p>
    <w:p>
      <w:pPr>
        <w:pStyle w:val="ListBullet"/>
        <w:spacing w:after="40"/>
      </w:pPr>
      <w:r>
        <w:t>Do not apply a new repo rate to days before the decision announcement. If the effective date is later, preserve both announcement and effective-date variables.</w:t>
      </w:r>
    </w:p>
    <w:p>
      <w:pPr>
        <w:pStyle w:val="ListBullet"/>
        <w:spacing w:after="40"/>
      </w:pPr>
      <w:r>
        <w:t>Budget speech, explanatory memorandum, notification and implementation date can differ. Create event-specific timestamps rather than one generic 'Budget date'.</w:t>
      </w:r>
    </w:p>
    <w:p>
      <w:pPr>
        <w:pStyle w:val="ListBullet"/>
        <w:spacing w:after="40"/>
      </w:pPr>
      <w:r>
        <w:t>Fiscal actuals describe past periods and may be published later. Join them by publication time, not by the month or fiscal year they describe.</w:t>
      </w:r>
    </w:p>
    <w:p>
      <w:pPr>
        <w:pStyle w:val="ListBullet"/>
        <w:spacing w:after="40"/>
      </w:pPr>
      <w:r>
        <w:t>Do not calculate policy surprise from a consensus captured after the event. Keep a pre-event expectation snapshot with source and timestamp.</w:t>
      </w:r>
    </w:p>
    <w:p>
      <w:pPr>
        <w:pStyle w:val="ListBullet"/>
        <w:spacing w:after="40"/>
      </w:pPr>
      <w:r>
        <w:t>Market yields may move before the policy decision because expectations change. Avoid claiming the rate decision caused a pre-announcement move.</w:t>
      </w:r>
    </w:p>
    <w:p>
      <w:pPr>
        <w:pStyle w:val="ListBullet"/>
        <w:spacing w:after="40"/>
      </w:pPr>
      <w:r>
        <w:t>Treat revised fiscal numbers and updated borrowing calendars as new vintages, not silent replacements.</w:t>
      </w:r>
    </w:p>
    <w:p>
      <w:pPr>
        <w:pStyle w:val="ListBullet"/>
        <w:spacing w:after="40"/>
      </w:pPr>
      <w:r>
        <w:t>Use backward-looking transformations; fit standardisation and feature-selection parameters on training data only.</w:t>
      </w:r>
    </w:p>
    <w:p>
      <w:pPr>
        <w:pStyle w:val="ListBullet"/>
        <w:spacing w:after="40"/>
      </w:pPr>
      <w:r>
        <w:t>Use chronological train/validation/test splits and walk-forward evaluation; keep the final test set untouched until definitions are frozen.</w:t>
      </w:r>
    </w:p>
    <w:p>
      <w:pPr>
        <w:pStyle w:val="ListBullet"/>
        <w:spacing w:after="40"/>
      </w:pPr>
      <w:r>
        <w:t>Store unscheduled announcements using the actual public release timestamp. A later news article's timestamp is not necessarily the first availability time.</w:t>
      </w:r>
    </w:p>
    <w:p>
      <w:pPr>
        <w:pStyle w:val="Heading2"/>
      </w:pPr>
      <w:r>
        <w:t>10.1 Example</w:t>
      </w:r>
    </w:p>
    <w:p>
      <w:r>
        <w:t>Suppose the RBI announces a decision at 10:00 IST on a policy day. A model making a prediction at 09:00 IST may use the known scheduled-event flag and the previous repo rate, but it cannot use the new decision, statement language or post-announcement market reaction. A prediction at 10:30 IST may use the public decision if it was actually released by then, but should not use minutes published weeks later.</w:t>
      </w:r>
    </w:p>
    <w:p>
      <w:pPr>
        <w:pStyle w:val="Heading2"/>
      </w:pPr>
      <w:r>
        <w:t>10.2 Suggested event-vintage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rPr>
                <w:b/>
                <w:sz w:val="16"/>
              </w:rPr>
              <w:t>Field</w:t>
            </w:r>
          </w:p>
        </w:tc>
        <w:tc>
          <w:tcPr>
            <w:tcW w:type="dxa" w:w="5040"/>
            <w:shd w:fill="D9EAF2"/>
          </w:tcPr>
          <w:p>
            <w:r>
              <w:rPr>
                <w:b/>
                <w:sz w:val="16"/>
              </w:rPr>
              <w:t>Purpose</w:t>
            </w:r>
          </w:p>
        </w:tc>
      </w:tr>
      <w:tr>
        <w:tc>
          <w:tcPr>
            <w:tcW w:type="dxa" w:w="5040"/>
            <w:vAlign w:val="center"/>
          </w:tcPr>
          <w:p>
            <w:pPr>
              <w:spacing w:after="40"/>
            </w:pPr>
            <w:r>
              <w:rPr>
                <w:sz w:val="16"/>
              </w:rPr>
              <w:t>event_id</w:t>
            </w:r>
          </w:p>
        </w:tc>
        <w:tc>
          <w:tcPr>
            <w:tcW w:type="dxa" w:w="5040"/>
            <w:vAlign w:val="center"/>
          </w:tcPr>
          <w:p>
            <w:pPr>
              <w:spacing w:after="40"/>
            </w:pPr>
            <w:r>
              <w:rPr>
                <w:sz w:val="16"/>
              </w:rPr>
              <w:t>Stable ID for decision, notification, auction or release</w:t>
            </w:r>
          </w:p>
        </w:tc>
      </w:tr>
      <w:tr>
        <w:tc>
          <w:tcPr>
            <w:tcW w:type="dxa" w:w="5040"/>
            <w:vAlign w:val="center"/>
          </w:tcPr>
          <w:p>
            <w:pPr>
              <w:spacing w:after="40"/>
            </w:pPr>
            <w:r>
              <w:rPr>
                <w:sz w:val="16"/>
              </w:rPr>
              <w:t>authority / event_type</w:t>
            </w:r>
          </w:p>
        </w:tc>
        <w:tc>
          <w:tcPr>
            <w:tcW w:type="dxa" w:w="5040"/>
            <w:vAlign w:val="center"/>
          </w:tcPr>
          <w:p>
            <w:pPr>
              <w:spacing w:after="40"/>
            </w:pPr>
            <w:r>
              <w:rPr>
                <w:sz w:val="16"/>
              </w:rPr>
              <w:t>RBI MPC, Budget, CGA release, tax notification, auction, etc.</w:t>
            </w:r>
          </w:p>
        </w:tc>
      </w:tr>
      <w:tr>
        <w:tc>
          <w:tcPr>
            <w:tcW w:type="dxa" w:w="5040"/>
            <w:vAlign w:val="center"/>
          </w:tcPr>
          <w:p>
            <w:pPr>
              <w:spacing w:after="40"/>
            </w:pPr>
            <w:r>
              <w:rPr>
                <w:sz w:val="16"/>
              </w:rPr>
              <w:t>scheduled_at_utc</w:t>
            </w:r>
          </w:p>
        </w:tc>
        <w:tc>
          <w:tcPr>
            <w:tcW w:type="dxa" w:w="5040"/>
            <w:vAlign w:val="center"/>
          </w:tcPr>
          <w:p>
            <w:pPr>
              <w:spacing w:after="40"/>
            </w:pPr>
            <w:r>
              <w:rPr>
                <w:sz w:val="16"/>
              </w:rPr>
              <w:t>Expected time, if announced in advance</w:t>
            </w:r>
          </w:p>
        </w:tc>
      </w:tr>
      <w:tr>
        <w:tc>
          <w:tcPr>
            <w:tcW w:type="dxa" w:w="5040"/>
            <w:vAlign w:val="center"/>
          </w:tcPr>
          <w:p>
            <w:pPr>
              <w:spacing w:after="40"/>
            </w:pPr>
            <w:r>
              <w:rPr>
                <w:sz w:val="16"/>
              </w:rPr>
              <w:t>published_at_utc</w:t>
            </w:r>
          </w:p>
        </w:tc>
        <w:tc>
          <w:tcPr>
            <w:tcW w:type="dxa" w:w="5040"/>
            <w:vAlign w:val="center"/>
          </w:tcPr>
          <w:p>
            <w:pPr>
              <w:spacing w:after="40"/>
            </w:pPr>
            <w:r>
              <w:rPr>
                <w:sz w:val="16"/>
              </w:rPr>
              <w:t>Time the official material became public</w:t>
            </w:r>
          </w:p>
        </w:tc>
      </w:tr>
      <w:tr>
        <w:tc>
          <w:tcPr>
            <w:tcW w:type="dxa" w:w="5040"/>
            <w:vAlign w:val="center"/>
          </w:tcPr>
          <w:p>
            <w:pPr>
              <w:spacing w:after="40"/>
            </w:pPr>
            <w:r>
              <w:rPr>
                <w:sz w:val="16"/>
              </w:rPr>
              <w:t>effective_at_utc</w:t>
            </w:r>
          </w:p>
        </w:tc>
        <w:tc>
          <w:tcPr>
            <w:tcW w:type="dxa" w:w="5040"/>
            <w:vAlign w:val="center"/>
          </w:tcPr>
          <w:p>
            <w:pPr>
              <w:spacing w:after="40"/>
            </w:pPr>
            <w:r>
              <w:rPr>
                <w:sz w:val="16"/>
              </w:rPr>
              <w:t>Time the change takes effect, if applicable</w:t>
            </w:r>
          </w:p>
        </w:tc>
      </w:tr>
      <w:tr>
        <w:tc>
          <w:tcPr>
            <w:tcW w:type="dxa" w:w="5040"/>
            <w:vAlign w:val="center"/>
          </w:tcPr>
          <w:p>
            <w:pPr>
              <w:spacing w:after="40"/>
            </w:pPr>
            <w:r>
              <w:rPr>
                <w:sz w:val="16"/>
              </w:rPr>
              <w:t>available_at_utc</w:t>
            </w:r>
          </w:p>
        </w:tc>
        <w:tc>
          <w:tcPr>
            <w:tcW w:type="dxa" w:w="5040"/>
            <w:vAlign w:val="center"/>
          </w:tcPr>
          <w:p>
            <w:pPr>
              <w:spacing w:after="40"/>
            </w:pPr>
            <w:r>
              <w:rPr>
                <w:sz w:val="16"/>
              </w:rPr>
              <w:t>Time the pipeline could have used the information</w:t>
            </w:r>
          </w:p>
        </w:tc>
      </w:tr>
      <w:tr>
        <w:tc>
          <w:tcPr>
            <w:tcW w:type="dxa" w:w="5040"/>
            <w:vAlign w:val="center"/>
          </w:tcPr>
          <w:p>
            <w:pPr>
              <w:spacing w:after="40"/>
            </w:pPr>
            <w:r>
              <w:rPr>
                <w:sz w:val="16"/>
              </w:rPr>
              <w:t>value_before / value_after</w:t>
            </w:r>
          </w:p>
        </w:tc>
        <w:tc>
          <w:tcPr>
            <w:tcW w:type="dxa" w:w="5040"/>
            <w:vAlign w:val="center"/>
          </w:tcPr>
          <w:p>
            <w:pPr>
              <w:spacing w:after="40"/>
            </w:pPr>
            <w:r>
              <w:rPr>
                <w:sz w:val="16"/>
              </w:rPr>
              <w:t>Prior and new rate/rule/value where applicable</w:t>
            </w:r>
          </w:p>
        </w:tc>
      </w:tr>
      <w:tr>
        <w:tc>
          <w:tcPr>
            <w:tcW w:type="dxa" w:w="5040"/>
            <w:vAlign w:val="center"/>
          </w:tcPr>
          <w:p>
            <w:pPr>
              <w:spacing w:after="40"/>
            </w:pPr>
            <w:r>
              <w:rPr>
                <w:sz w:val="16"/>
              </w:rPr>
              <w:t>expectation_value / source_time</w:t>
            </w:r>
          </w:p>
        </w:tc>
        <w:tc>
          <w:tcPr>
            <w:tcW w:type="dxa" w:w="5040"/>
            <w:vAlign w:val="center"/>
          </w:tcPr>
          <w:p>
            <w:pPr>
              <w:spacing w:after="40"/>
            </w:pPr>
            <w:r>
              <w:rPr>
                <w:sz w:val="16"/>
              </w:rPr>
              <w:t>Pre-event consensus, if available</w:t>
            </w:r>
          </w:p>
        </w:tc>
      </w:tr>
      <w:tr>
        <w:tc>
          <w:tcPr>
            <w:tcW w:type="dxa" w:w="5040"/>
            <w:vAlign w:val="center"/>
          </w:tcPr>
          <w:p>
            <w:pPr>
              <w:spacing w:after="40"/>
            </w:pPr>
            <w:r>
              <w:rPr>
                <w:sz w:val="16"/>
              </w:rPr>
              <w:t>revision_or_version</w:t>
            </w:r>
          </w:p>
        </w:tc>
        <w:tc>
          <w:tcPr>
            <w:tcW w:type="dxa" w:w="5040"/>
            <w:vAlign w:val="center"/>
          </w:tcPr>
          <w:p>
            <w:pPr>
              <w:spacing w:after="40"/>
            </w:pPr>
            <w:r>
              <w:rPr>
                <w:sz w:val="16"/>
              </w:rPr>
              <w:t>Original, amended, revised or superseded document</w:t>
            </w:r>
          </w:p>
        </w:tc>
      </w:tr>
      <w:tr>
        <w:tc>
          <w:tcPr>
            <w:tcW w:type="dxa" w:w="5040"/>
            <w:vAlign w:val="center"/>
          </w:tcPr>
          <w:p>
            <w:pPr>
              <w:spacing w:after="40"/>
            </w:pPr>
            <w:r>
              <w:rPr>
                <w:sz w:val="16"/>
              </w:rPr>
              <w:t>source_url</w:t>
            </w:r>
          </w:p>
        </w:tc>
        <w:tc>
          <w:tcPr>
            <w:tcW w:type="dxa" w:w="5040"/>
            <w:vAlign w:val="center"/>
          </w:tcPr>
          <w:p>
            <w:pPr>
              <w:spacing w:after="40"/>
            </w:pPr>
            <w:r>
              <w:rPr>
                <w:sz w:val="16"/>
              </w:rPr>
              <w:t>Official release or notification</w:t>
            </w:r>
          </w:p>
        </w:tc>
      </w:tr>
    </w:tbl>
    <w:p/>
    <w:p>
      <w:pPr>
        <w:pStyle w:val="Heading1"/>
      </w:pPr>
      <w:r>
        <w:t>11. Suggested Data Architecture</w:t>
      </w:r>
    </w:p>
    <w:p>
      <w:pPr>
        <w:pStyle w:val="ListNumber"/>
        <w:spacing w:after="60"/>
      </w:pPr>
      <w:r>
        <w:t>Raw ingestion: archive official release pages, PDFs, tables, market-rate files and metadata with retrieval timestamps.</w:t>
      </w:r>
    </w:p>
    <w:p>
      <w:pPr>
        <w:pStyle w:val="ListNumber"/>
        <w:spacing w:after="60"/>
      </w:pPr>
      <w:r>
        <w:t>Policy event registry: one record per decision/announcement with scheduled, publication and effective timestamps.</w:t>
      </w:r>
    </w:p>
    <w:p>
      <w:pPr>
        <w:pStyle w:val="ListNumber"/>
        <w:spacing w:after="60"/>
      </w:pPr>
      <w:r>
        <w:t>Time-series registry: define instrument, units, frequency, market/session, source, methodology and revision behaviour.</w:t>
      </w:r>
    </w:p>
    <w:p>
      <w:pPr>
        <w:pStyle w:val="ListNumber"/>
        <w:spacing w:after="60"/>
      </w:pPr>
      <w:r>
        <w:t>Normalisation: standardise rates to percentage points, changes to basis points, monetary values to explicit units, and all timestamps to UTC.</w:t>
      </w:r>
    </w:p>
    <w:p>
      <w:pPr>
        <w:pStyle w:val="ListNumber"/>
        <w:spacing w:after="60"/>
      </w:pPr>
      <w:r>
        <w:t>Feature layer: calculate rate changes, spreads, rolling volatility, fiscal ratios, execution ratios and event flags using only as-of information.</w:t>
      </w:r>
    </w:p>
    <w:p>
      <w:pPr>
        <w:pStyle w:val="ListNumber"/>
        <w:spacing w:after="60"/>
      </w:pPr>
      <w:r>
        <w:t>As-of join: for every model prediction time, retrieve the latest eligible observation published before that time.</w:t>
      </w:r>
    </w:p>
    <w:p>
      <w:pPr>
        <w:pStyle w:val="ListNumber"/>
        <w:spacing w:after="60"/>
      </w:pPr>
      <w:r>
        <w:t>Experiment tracking: save source versions, features, target, split dates, model and metrics for reproducibility.</w:t>
      </w:r>
    </w:p>
    <w:p>
      <w:pPr>
        <w:pStyle w:val="ListNumber"/>
        <w:spacing w:after="60"/>
      </w:pPr>
      <w:r>
        <w:t>Monitoring: alert on changed policy frameworks, series definition changes, stale feeds, revisions, missing release records and unusual jumps.</w:t>
      </w:r>
    </w:p>
    <w:p>
      <w:pPr>
        <w:pStyle w:val="Heading1"/>
      </w:pPr>
      <w:r>
        <w:t>12. Evaluation Plan</w:t>
      </w:r>
    </w:p>
    <w:p>
      <w:pPr>
        <w:pStyle w:val="ListNumber"/>
        <w:spacing w:after="60"/>
      </w:pPr>
      <w:r>
        <w:t>Define the prediction target and timestamp before selecting policy features.</w:t>
      </w:r>
    </w:p>
    <w:p>
      <w:pPr>
        <w:pStyle w:val="ListNumber"/>
        <w:spacing w:after="60"/>
      </w:pPr>
      <w:r>
        <w:t>Create a baseline using lagged Indian market returns and a small set of existing features.</w:t>
      </w:r>
    </w:p>
    <w:p>
      <w:pPr>
        <w:pStyle w:val="ListNumber"/>
        <w:spacing w:after="60"/>
      </w:pPr>
      <w:r>
        <w:t>Add repo rate and policy-event flags; measure incremental out-of-sample value.</w:t>
      </w:r>
    </w:p>
    <w:p>
      <w:pPr>
        <w:pStyle w:val="ListNumber"/>
        <w:spacing w:after="60"/>
      </w:pPr>
      <w:r>
        <w:t>Add overnight-rate spread and G-sec yields; then liquidity; then fiscal features.</w:t>
      </w:r>
    </w:p>
    <w:p>
      <w:pPr>
        <w:pStyle w:val="ListNumber"/>
        <w:spacing w:after="60"/>
      </w:pPr>
      <w:r>
        <w:t>Evaluate event-day and non-event-day performance separately, with event windows fixed in advance.</w:t>
      </w:r>
    </w:p>
    <w:p>
      <w:pPr>
        <w:pStyle w:val="ListNumber"/>
        <w:spacing w:after="60"/>
      </w:pPr>
      <w:r>
        <w:t>Use chronological or walk-forward validation; compare against simple benchmarks.</w:t>
      </w:r>
    </w:p>
    <w:p>
      <w:pPr>
        <w:pStyle w:val="ListNumber"/>
        <w:spacing w:after="60"/>
      </w:pPr>
      <w:r>
        <w:t>Test across easing, tightening, pause and high-volatility periods without defining regimes using future knowledge.</w:t>
      </w:r>
    </w:p>
    <w:p>
      <w:pPr>
        <w:pStyle w:val="ListNumber"/>
        <w:spacing w:after="60"/>
      </w:pPr>
      <w:r>
        <w:t>Measure incremental value beyond inflation, global-market, sentiment, technical and fundamental features.</w:t>
      </w:r>
    </w:p>
    <w:p>
      <w:pPr>
        <w:pStyle w:val="ListNumber"/>
        <w:spacing w:after="60"/>
      </w:pPr>
      <w:r>
        <w:t>Use robust metrics appropriate to the target and account for transaction costs and slippage before any tradability claim.</w:t>
      </w:r>
    </w:p>
    <w:p>
      <w:pPr>
        <w:pStyle w:val="ListNumber"/>
        <w:spacing w:after="60"/>
      </w:pPr>
      <w:r>
        <w:t>Treat feature importance and event-window correlations as associations, not causal proof.</w:t>
      </w:r>
    </w:p>
    <w:p>
      <w:pPr>
        <w:pStyle w:val="Heading1"/>
      </w:pPr>
      <w:r>
        <w:t>13. Likely Blockers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sz w:val="16"/>
              </w:rPr>
              <w:t>Blocker</w:t>
            </w:r>
          </w:p>
        </w:tc>
        <w:tc>
          <w:tcPr>
            <w:tcW w:type="dxa" w:w="3360"/>
            <w:shd w:fill="D9EAF2"/>
          </w:tcPr>
          <w:p>
            <w:r>
              <w:rPr>
                <w:b/>
                <w:sz w:val="16"/>
              </w:rPr>
              <w:t>Why it matters</w:t>
            </w:r>
          </w:p>
        </w:tc>
        <w:tc>
          <w:tcPr>
            <w:tcW w:type="dxa" w:w="3360"/>
            <w:shd w:fill="D9EAF2"/>
          </w:tcPr>
          <w:p>
            <w:r>
              <w:rPr>
                <w:b/>
                <w:sz w:val="16"/>
              </w:rPr>
              <w:t>Mitigation</w:t>
            </w:r>
          </w:p>
        </w:tc>
      </w:tr>
      <w:tr>
        <w:tc>
          <w:tcPr>
            <w:tcW w:type="dxa" w:w="3360"/>
            <w:vAlign w:val="center"/>
          </w:tcPr>
          <w:p>
            <w:pPr>
              <w:spacing w:after="40"/>
            </w:pPr>
            <w:r>
              <w:rPr>
                <w:sz w:val="16"/>
              </w:rPr>
              <w:t>No historical expectation data</w:t>
            </w:r>
          </w:p>
        </w:tc>
        <w:tc>
          <w:tcPr>
            <w:tcW w:type="dxa" w:w="3360"/>
            <w:vAlign w:val="center"/>
          </w:tcPr>
          <w:p>
            <w:pPr>
              <w:spacing w:after="40"/>
            </w:pPr>
            <w:r>
              <w:rPr>
                <w:sz w:val="16"/>
              </w:rPr>
              <w:t>Surprise feature cannot be reconstructed reliably</w:t>
            </w:r>
          </w:p>
        </w:tc>
        <w:tc>
          <w:tcPr>
            <w:tcW w:type="dxa" w:w="3360"/>
            <w:vAlign w:val="center"/>
          </w:tcPr>
          <w:p>
            <w:pPr>
              <w:spacing w:after="40"/>
            </w:pPr>
            <w:r>
              <w:rPr>
                <w:sz w:val="16"/>
              </w:rPr>
              <w:t>Use actual decision features first; add surprise only with timestamped consensus.</w:t>
            </w:r>
          </w:p>
        </w:tc>
      </w:tr>
      <w:tr>
        <w:tc>
          <w:tcPr>
            <w:tcW w:type="dxa" w:w="3360"/>
            <w:vAlign w:val="center"/>
          </w:tcPr>
          <w:p>
            <w:pPr>
              <w:spacing w:after="40"/>
            </w:pPr>
            <w:r>
              <w:rPr>
                <w:sz w:val="16"/>
              </w:rPr>
              <w:t>Announcement/effective date mismatch</w:t>
            </w:r>
          </w:p>
        </w:tc>
        <w:tc>
          <w:tcPr>
            <w:tcW w:type="dxa" w:w="3360"/>
            <w:vAlign w:val="center"/>
          </w:tcPr>
          <w:p>
            <w:pPr>
              <w:spacing w:after="40"/>
            </w:pPr>
            <w:r>
              <w:rPr>
                <w:sz w:val="16"/>
              </w:rPr>
              <w:t>Feature can be placed on the wrong day</w:t>
            </w:r>
          </w:p>
        </w:tc>
        <w:tc>
          <w:tcPr>
            <w:tcW w:type="dxa" w:w="3360"/>
            <w:vAlign w:val="center"/>
          </w:tcPr>
          <w:p>
            <w:pPr>
              <w:spacing w:after="40"/>
            </w:pPr>
            <w:r>
              <w:rPr>
                <w:sz w:val="16"/>
              </w:rPr>
              <w:t>Store both timestamps and use the relevant one for each modelling question.</w:t>
            </w:r>
          </w:p>
        </w:tc>
      </w:tr>
      <w:tr>
        <w:tc>
          <w:tcPr>
            <w:tcW w:type="dxa" w:w="3360"/>
            <w:vAlign w:val="center"/>
          </w:tcPr>
          <w:p>
            <w:pPr>
              <w:spacing w:after="40"/>
            </w:pPr>
            <w:r>
              <w:rPr>
                <w:sz w:val="16"/>
              </w:rPr>
              <w:t>Policy regime changes</w:t>
            </w:r>
          </w:p>
        </w:tc>
        <w:tc>
          <w:tcPr>
            <w:tcW w:type="dxa" w:w="3360"/>
            <w:vAlign w:val="center"/>
          </w:tcPr>
          <w:p>
            <w:pPr>
              <w:spacing w:after="40"/>
            </w:pPr>
            <w:r>
              <w:rPr>
                <w:sz w:val="16"/>
              </w:rPr>
              <w:t>Instrument definitions and transmission channels change</w:t>
            </w:r>
          </w:p>
        </w:tc>
        <w:tc>
          <w:tcPr>
            <w:tcW w:type="dxa" w:w="3360"/>
            <w:vAlign w:val="center"/>
          </w:tcPr>
          <w:p>
            <w:pPr>
              <w:spacing w:after="40"/>
            </w:pPr>
            <w:r>
              <w:rPr>
                <w:sz w:val="16"/>
              </w:rPr>
              <w:t>Version definitions and evaluate separate regimes.</w:t>
            </w:r>
          </w:p>
        </w:tc>
      </w:tr>
      <w:tr>
        <w:tc>
          <w:tcPr>
            <w:tcW w:type="dxa" w:w="3360"/>
            <w:vAlign w:val="center"/>
          </w:tcPr>
          <w:p>
            <w:pPr>
              <w:spacing w:after="40"/>
            </w:pPr>
            <w:r>
              <w:rPr>
                <w:sz w:val="16"/>
              </w:rPr>
              <w:t>Market yield confounding</w:t>
            </w:r>
          </w:p>
        </w:tc>
        <w:tc>
          <w:tcPr>
            <w:tcW w:type="dxa" w:w="3360"/>
            <w:vAlign w:val="center"/>
          </w:tcPr>
          <w:p>
            <w:pPr>
              <w:spacing w:after="40"/>
            </w:pPr>
            <w:r>
              <w:rPr>
                <w:sz w:val="16"/>
              </w:rPr>
              <w:t>Yield moves reflect global rates, inflation and supply as well as policy</w:t>
            </w:r>
          </w:p>
        </w:tc>
        <w:tc>
          <w:tcPr>
            <w:tcW w:type="dxa" w:w="3360"/>
            <w:vAlign w:val="center"/>
          </w:tcPr>
          <w:p>
            <w:pPr>
              <w:spacing w:after="40"/>
            </w:pPr>
            <w:r>
              <w:rPr>
                <w:sz w:val="16"/>
              </w:rPr>
              <w:t>Use related global/macro features and avoid causal claims.</w:t>
            </w:r>
          </w:p>
        </w:tc>
      </w:tr>
      <w:tr>
        <w:tc>
          <w:tcPr>
            <w:tcW w:type="dxa" w:w="3360"/>
            <w:vAlign w:val="center"/>
          </w:tcPr>
          <w:p>
            <w:pPr>
              <w:spacing w:after="40"/>
            </w:pPr>
            <w:r>
              <w:rPr>
                <w:sz w:val="16"/>
              </w:rPr>
              <w:t>Fiscal revisions</w:t>
            </w:r>
          </w:p>
        </w:tc>
        <w:tc>
          <w:tcPr>
            <w:tcW w:type="dxa" w:w="3360"/>
            <w:vAlign w:val="center"/>
          </w:tcPr>
          <w:p>
            <w:pPr>
              <w:spacing w:after="40"/>
            </w:pPr>
            <w:r>
              <w:rPr>
                <w:sz w:val="16"/>
              </w:rPr>
              <w:t>Current historical tables may not match the original release</w:t>
            </w:r>
          </w:p>
        </w:tc>
        <w:tc>
          <w:tcPr>
            <w:tcW w:type="dxa" w:w="3360"/>
            <w:vAlign w:val="center"/>
          </w:tcPr>
          <w:p>
            <w:pPr>
              <w:spacing w:after="40"/>
            </w:pPr>
            <w:r>
              <w:rPr>
                <w:sz w:val="16"/>
              </w:rPr>
              <w:t>Preserve first-release vintages or flag revised-history limitation.</w:t>
            </w:r>
          </w:p>
        </w:tc>
      </w:tr>
      <w:tr>
        <w:tc>
          <w:tcPr>
            <w:tcW w:type="dxa" w:w="3360"/>
            <w:vAlign w:val="center"/>
          </w:tcPr>
          <w:p>
            <w:pPr>
              <w:spacing w:after="40"/>
            </w:pPr>
            <w:r>
              <w:rPr>
                <w:sz w:val="16"/>
              </w:rPr>
              <w:t>Fiscal-year vs calendar-month mismatch</w:t>
            </w:r>
          </w:p>
        </w:tc>
        <w:tc>
          <w:tcPr>
            <w:tcW w:type="dxa" w:w="3360"/>
            <w:vAlign w:val="center"/>
          </w:tcPr>
          <w:p>
            <w:pPr>
              <w:spacing w:after="40"/>
            </w:pPr>
            <w:r>
              <w:rPr>
                <w:sz w:val="16"/>
              </w:rPr>
              <w:t>Ratios and growth calculations can be invalid</w:t>
            </w:r>
          </w:p>
        </w:tc>
        <w:tc>
          <w:tcPr>
            <w:tcW w:type="dxa" w:w="3360"/>
            <w:vAlign w:val="center"/>
          </w:tcPr>
          <w:p>
            <w:pPr>
              <w:spacing w:after="40"/>
            </w:pPr>
            <w:r>
              <w:rPr>
                <w:sz w:val="16"/>
              </w:rPr>
              <w:t>Use a fiscal calendar table and compare like-for-like periods.</w:t>
            </w:r>
          </w:p>
        </w:tc>
      </w:tr>
      <w:tr>
        <w:tc>
          <w:tcPr>
            <w:tcW w:type="dxa" w:w="3360"/>
            <w:vAlign w:val="center"/>
          </w:tcPr>
          <w:p>
            <w:pPr>
              <w:spacing w:after="40"/>
            </w:pPr>
            <w:r>
              <w:rPr>
                <w:sz w:val="16"/>
              </w:rPr>
              <w:t>Text features unstable</w:t>
            </w:r>
          </w:p>
        </w:tc>
        <w:tc>
          <w:tcPr>
            <w:tcW w:type="dxa" w:w="3360"/>
            <w:vAlign w:val="center"/>
          </w:tcPr>
          <w:p>
            <w:pPr>
              <w:spacing w:after="40"/>
            </w:pPr>
            <w:r>
              <w:rPr>
                <w:sz w:val="16"/>
              </w:rPr>
              <w:t>Model can learn release style or post-event information</w:t>
            </w:r>
          </w:p>
        </w:tc>
        <w:tc>
          <w:tcPr>
            <w:tcW w:type="dxa" w:w="3360"/>
            <w:vAlign w:val="center"/>
          </w:tcPr>
          <w:p>
            <w:pPr>
              <w:spacing w:after="40"/>
            </w:pPr>
            <w:r>
              <w:rPr>
                <w:sz w:val="16"/>
              </w:rPr>
              <w:t>Version NLP pipeline, freeze vocabulary/model and timestamp text availability.</w:t>
            </w:r>
          </w:p>
        </w:tc>
      </w:tr>
      <w:tr>
        <w:tc>
          <w:tcPr>
            <w:tcW w:type="dxa" w:w="3360"/>
            <w:vAlign w:val="center"/>
          </w:tcPr>
          <w:p>
            <w:pPr>
              <w:spacing w:after="40"/>
            </w:pPr>
            <w:r>
              <w:rPr>
                <w:sz w:val="16"/>
              </w:rPr>
              <w:t>Paid market data</w:t>
            </w:r>
          </w:p>
        </w:tc>
        <w:tc>
          <w:tcPr>
            <w:tcW w:type="dxa" w:w="3360"/>
            <w:vAlign w:val="center"/>
          </w:tcPr>
          <w:p>
            <w:pPr>
              <w:spacing w:after="40"/>
            </w:pPr>
            <w:r>
              <w:rPr>
                <w:sz w:val="16"/>
              </w:rPr>
              <w:t>Historical intraday or redistribution rights may cost money</w:t>
            </w:r>
          </w:p>
        </w:tc>
        <w:tc>
          <w:tcPr>
            <w:tcW w:type="dxa" w:w="3360"/>
            <w:vAlign w:val="center"/>
          </w:tcPr>
          <w:p>
            <w:pPr>
              <w:spacing w:after="40"/>
            </w:pPr>
            <w:r>
              <w:rPr>
                <w:sz w:val="16"/>
              </w:rPr>
              <w:t>Start with public official data where adequate; verify licences early.</w:t>
            </w:r>
          </w:p>
        </w:tc>
      </w:tr>
      <w:tr>
        <w:tc>
          <w:tcPr>
            <w:tcW w:type="dxa" w:w="3360"/>
            <w:vAlign w:val="center"/>
          </w:tcPr>
          <w:p>
            <w:pPr>
              <w:spacing w:after="40"/>
            </w:pPr>
            <w:r>
              <w:rPr>
                <w:sz w:val="16"/>
              </w:rPr>
              <w:t>Sparse event sample</w:t>
            </w:r>
          </w:p>
        </w:tc>
        <w:tc>
          <w:tcPr>
            <w:tcW w:type="dxa" w:w="3360"/>
            <w:vAlign w:val="center"/>
          </w:tcPr>
          <w:p>
            <w:pPr>
              <w:spacing w:after="40"/>
            </w:pPr>
            <w:r>
              <w:rPr>
                <w:sz w:val="16"/>
              </w:rPr>
              <w:t>Only a limited number of MPC/Budget events exist</w:t>
            </w:r>
          </w:p>
        </w:tc>
        <w:tc>
          <w:tcPr>
            <w:tcW w:type="dxa" w:w="3360"/>
            <w:vAlign w:val="center"/>
          </w:tcPr>
          <w:p>
            <w:pPr>
              <w:spacing w:after="40"/>
            </w:pPr>
            <w:r>
              <w:rPr>
                <w:sz w:val="16"/>
              </w:rPr>
              <w:t>Keep models simple and use cautious event-study designs.</w:t>
            </w:r>
          </w:p>
        </w:tc>
      </w:tr>
      <w:tr>
        <w:tc>
          <w:tcPr>
            <w:tcW w:type="dxa" w:w="3360"/>
            <w:vAlign w:val="center"/>
          </w:tcPr>
          <w:p>
            <w:pPr>
              <w:spacing w:after="40"/>
            </w:pPr>
            <w:r>
              <w:rPr>
                <w:sz w:val="16"/>
              </w:rPr>
              <w:t>Overlapping macro factors</w:t>
            </w:r>
          </w:p>
        </w:tc>
        <w:tc>
          <w:tcPr>
            <w:tcW w:type="dxa" w:w="3360"/>
            <w:vAlign w:val="center"/>
          </w:tcPr>
          <w:p>
            <w:pPr>
              <w:spacing w:after="40"/>
            </w:pPr>
            <w:r>
              <w:rPr>
                <w:sz w:val="16"/>
              </w:rPr>
              <w:t>Rates, inflation, yields and currency are correlated</w:t>
            </w:r>
          </w:p>
        </w:tc>
        <w:tc>
          <w:tcPr>
            <w:tcW w:type="dxa" w:w="3360"/>
            <w:vAlign w:val="center"/>
          </w:tcPr>
          <w:p>
            <w:pPr>
              <w:spacing w:after="40"/>
            </w:pPr>
            <w:r>
              <w:rPr>
                <w:sz w:val="16"/>
              </w:rPr>
              <w:t>Use staged ablations and out-of-sample testing.</w:t>
            </w:r>
          </w:p>
        </w:tc>
      </w:tr>
    </w:tbl>
    <w:p/>
    <w:p>
      <w:pPr>
        <w:pStyle w:val="Heading1"/>
      </w:pPr>
      <w:r>
        <w:t>14. Recommended Initial Shortlist</w:t>
      </w:r>
    </w:p>
    <w:p>
      <w:r>
        <w:t>These are candidates to investigate, not an empirically validated ranking.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2"/>
          </w:tcPr>
          <w:p>
            <w:r>
              <w:rPr>
                <w:b/>
                <w:sz w:val="16"/>
              </w:rPr>
              <w:t>Priority</w:t>
            </w:r>
          </w:p>
        </w:tc>
        <w:tc>
          <w:tcPr>
            <w:tcW w:type="dxa" w:w="2520"/>
            <w:shd w:fill="D9EAF2"/>
          </w:tcPr>
          <w:p>
            <w:r>
              <w:rPr>
                <w:b/>
                <w:sz w:val="16"/>
              </w:rPr>
              <w:t>Candidate</w:t>
            </w:r>
          </w:p>
        </w:tc>
        <w:tc>
          <w:tcPr>
            <w:tcW w:type="dxa" w:w="2520"/>
            <w:shd w:fill="D9EAF2"/>
          </w:tcPr>
          <w:p>
            <w:r>
              <w:rPr>
                <w:b/>
                <w:sz w:val="16"/>
              </w:rPr>
              <w:t>Why start here</w:t>
            </w:r>
          </w:p>
        </w:tc>
        <w:tc>
          <w:tcPr>
            <w:tcW w:type="dxa" w:w="2520"/>
            <w:shd w:fill="D9EAF2"/>
          </w:tcPr>
          <w:p>
            <w:r>
              <w:rPr>
                <w:b/>
                <w:sz w:val="16"/>
              </w:rPr>
              <w:t>Caution</w:t>
            </w:r>
          </w:p>
        </w:tc>
      </w:tr>
      <w:tr>
        <w:tc>
          <w:tcPr>
            <w:tcW w:type="dxa" w:w="2520"/>
            <w:vAlign w:val="center"/>
          </w:tcPr>
          <w:p>
            <w:pPr>
              <w:spacing w:after="40"/>
            </w:pPr>
            <w:r>
              <w:rPr>
                <w:sz w:val="16"/>
              </w:rPr>
              <w:t>1</w:t>
            </w:r>
          </w:p>
        </w:tc>
        <w:tc>
          <w:tcPr>
            <w:tcW w:type="dxa" w:w="2520"/>
            <w:vAlign w:val="center"/>
          </w:tcPr>
          <w:p>
            <w:pPr>
              <w:spacing w:after="40"/>
            </w:pPr>
            <w:r>
              <w:rPr>
                <w:sz w:val="16"/>
              </w:rPr>
              <w:t>Repo rate and decision-change basis points</w:t>
            </w:r>
          </w:p>
        </w:tc>
        <w:tc>
          <w:tcPr>
            <w:tcW w:type="dxa" w:w="2520"/>
            <w:vAlign w:val="center"/>
          </w:tcPr>
          <w:p>
            <w:pPr>
              <w:spacing w:after="40"/>
            </w:pPr>
            <w:r>
              <w:rPr>
                <w:sz w:val="16"/>
              </w:rPr>
              <w:t>Clear, official and interpretable policy series</w:t>
            </w:r>
          </w:p>
        </w:tc>
        <w:tc>
          <w:tcPr>
            <w:tcW w:type="dxa" w:w="2520"/>
            <w:vAlign w:val="center"/>
          </w:tcPr>
          <w:p>
            <w:pPr>
              <w:spacing w:after="40"/>
            </w:pPr>
            <w:r>
              <w:rPr>
                <w:sz w:val="16"/>
              </w:rPr>
              <w:t>Low frequency; current level may be anticipated</w:t>
            </w:r>
          </w:p>
        </w:tc>
      </w:tr>
      <w:tr>
        <w:tc>
          <w:tcPr>
            <w:tcW w:type="dxa" w:w="2520"/>
            <w:vAlign w:val="center"/>
          </w:tcPr>
          <w:p>
            <w:pPr>
              <w:spacing w:after="40"/>
            </w:pPr>
            <w:r>
              <w:rPr>
                <w:sz w:val="16"/>
              </w:rPr>
              <w:t>2</w:t>
            </w:r>
          </w:p>
        </w:tc>
        <w:tc>
          <w:tcPr>
            <w:tcW w:type="dxa" w:w="2520"/>
            <w:vAlign w:val="center"/>
          </w:tcPr>
          <w:p>
            <w:pPr>
              <w:spacing w:after="40"/>
            </w:pPr>
            <w:r>
              <w:rPr>
                <w:sz w:val="16"/>
              </w:rPr>
              <w:t>Scheduled RBI policy-event flag</w:t>
            </w:r>
          </w:p>
        </w:tc>
        <w:tc>
          <w:tcPr>
            <w:tcW w:type="dxa" w:w="2520"/>
            <w:vAlign w:val="center"/>
          </w:tcPr>
          <w:p>
            <w:pPr>
              <w:spacing w:after="40"/>
            </w:pPr>
            <w:r>
              <w:rPr>
                <w:sz w:val="16"/>
              </w:rPr>
              <w:t>Captures known event timing and potential event risk</w:t>
            </w:r>
          </w:p>
        </w:tc>
        <w:tc>
          <w:tcPr>
            <w:tcW w:type="dxa" w:w="2520"/>
            <w:vAlign w:val="center"/>
          </w:tcPr>
          <w:p>
            <w:pPr>
              <w:spacing w:after="40"/>
            </w:pPr>
            <w:r>
              <w:rPr>
                <w:sz w:val="16"/>
              </w:rPr>
              <w:t>Only use if schedule was known at prediction time</w:t>
            </w:r>
          </w:p>
        </w:tc>
      </w:tr>
      <w:tr>
        <w:tc>
          <w:tcPr>
            <w:tcW w:type="dxa" w:w="2520"/>
            <w:vAlign w:val="center"/>
          </w:tcPr>
          <w:p>
            <w:pPr>
              <w:spacing w:after="40"/>
            </w:pPr>
            <w:r>
              <w:rPr>
                <w:sz w:val="16"/>
              </w:rPr>
              <w:t>3</w:t>
            </w:r>
          </w:p>
        </w:tc>
        <w:tc>
          <w:tcPr>
            <w:tcW w:type="dxa" w:w="2520"/>
            <w:vAlign w:val="center"/>
          </w:tcPr>
          <w:p>
            <w:pPr>
              <w:spacing w:after="40"/>
            </w:pPr>
            <w:r>
              <w:rPr>
                <w:sz w:val="16"/>
              </w:rPr>
              <w:t>10-year G-sec yield and daily change</w:t>
            </w:r>
          </w:p>
        </w:tc>
        <w:tc>
          <w:tcPr>
            <w:tcW w:type="dxa" w:w="2520"/>
            <w:vAlign w:val="center"/>
          </w:tcPr>
          <w:p>
            <w:pPr>
              <w:spacing w:after="40"/>
            </w:pPr>
            <w:r>
              <w:rPr>
                <w:sz w:val="16"/>
              </w:rPr>
              <w:t>Market-based discount-rate and financing-condition signal</w:t>
            </w:r>
          </w:p>
        </w:tc>
        <w:tc>
          <w:tcPr>
            <w:tcW w:type="dxa" w:w="2520"/>
            <w:vAlign w:val="center"/>
          </w:tcPr>
          <w:p>
            <w:pPr>
              <w:spacing w:after="40"/>
            </w:pPr>
            <w:r>
              <w:rPr>
                <w:sz w:val="16"/>
              </w:rPr>
              <w:t>Influenced by global rates, inflation and bond supply</w:t>
            </w:r>
          </w:p>
        </w:tc>
      </w:tr>
      <w:tr>
        <w:tc>
          <w:tcPr>
            <w:tcW w:type="dxa" w:w="2520"/>
            <w:vAlign w:val="center"/>
          </w:tcPr>
          <w:p>
            <w:pPr>
              <w:spacing w:after="40"/>
            </w:pPr>
            <w:r>
              <w:rPr>
                <w:sz w:val="16"/>
              </w:rPr>
              <w:t>4</w:t>
            </w:r>
          </w:p>
        </w:tc>
        <w:tc>
          <w:tcPr>
            <w:tcW w:type="dxa" w:w="2520"/>
            <w:vAlign w:val="center"/>
          </w:tcPr>
          <w:p>
            <w:pPr>
              <w:spacing w:after="40"/>
            </w:pPr>
            <w:r>
              <w:rPr>
                <w:sz w:val="16"/>
              </w:rPr>
              <w:t>Overnight rate minus repo spread</w:t>
            </w:r>
          </w:p>
        </w:tc>
        <w:tc>
          <w:tcPr>
            <w:tcW w:type="dxa" w:w="2520"/>
            <w:vAlign w:val="center"/>
          </w:tcPr>
          <w:p>
            <w:pPr>
              <w:spacing w:after="40"/>
            </w:pPr>
            <w:r>
              <w:rPr>
                <w:sz w:val="16"/>
              </w:rPr>
              <w:t>Possible proxy for short-term funding/liquidity pressure</w:t>
            </w:r>
          </w:p>
        </w:tc>
        <w:tc>
          <w:tcPr>
            <w:tcW w:type="dxa" w:w="2520"/>
            <w:vAlign w:val="center"/>
          </w:tcPr>
          <w:p>
            <w:pPr>
              <w:spacing w:after="40"/>
            </w:pPr>
            <w:r>
              <w:rPr>
                <w:sz w:val="16"/>
              </w:rPr>
              <w:t>Ensure benchmark and timestamps are comparable</w:t>
            </w:r>
          </w:p>
        </w:tc>
      </w:tr>
      <w:tr>
        <w:tc>
          <w:tcPr>
            <w:tcW w:type="dxa" w:w="2520"/>
            <w:vAlign w:val="center"/>
          </w:tcPr>
          <w:p>
            <w:pPr>
              <w:spacing w:after="40"/>
            </w:pPr>
            <w:r>
              <w:rPr>
                <w:sz w:val="16"/>
              </w:rPr>
              <w:t>5</w:t>
            </w:r>
          </w:p>
        </w:tc>
        <w:tc>
          <w:tcPr>
            <w:tcW w:type="dxa" w:w="2520"/>
            <w:vAlign w:val="center"/>
          </w:tcPr>
          <w:p>
            <w:pPr>
              <w:spacing w:after="40"/>
            </w:pPr>
            <w:r>
              <w:rPr>
                <w:sz w:val="16"/>
              </w:rPr>
              <w:t>Policy surprise in bp</w:t>
            </w:r>
          </w:p>
        </w:tc>
        <w:tc>
          <w:tcPr>
            <w:tcW w:type="dxa" w:w="2520"/>
            <w:vAlign w:val="center"/>
          </w:tcPr>
          <w:p>
            <w:pPr>
              <w:spacing w:after="40"/>
            </w:pPr>
            <w:r>
              <w:rPr>
                <w:sz w:val="16"/>
              </w:rPr>
              <w:t>Directly represents deviation from expectations</w:t>
            </w:r>
          </w:p>
        </w:tc>
        <w:tc>
          <w:tcPr>
            <w:tcW w:type="dxa" w:w="2520"/>
            <w:vAlign w:val="center"/>
          </w:tcPr>
          <w:p>
            <w:pPr>
              <w:spacing w:after="40"/>
            </w:pPr>
            <w:r>
              <w:rPr>
                <w:sz w:val="16"/>
              </w:rPr>
              <w:t>Only after reliable pre-event expectations are found</w:t>
            </w:r>
          </w:p>
        </w:tc>
      </w:tr>
      <w:tr>
        <w:tc>
          <w:tcPr>
            <w:tcW w:type="dxa" w:w="2520"/>
            <w:vAlign w:val="center"/>
          </w:tcPr>
          <w:p>
            <w:pPr>
              <w:spacing w:after="40"/>
            </w:pPr>
            <w:r>
              <w:rPr>
                <w:sz w:val="16"/>
              </w:rPr>
              <w:t>6</w:t>
            </w:r>
          </w:p>
        </w:tc>
        <w:tc>
          <w:tcPr>
            <w:tcW w:type="dxa" w:w="2520"/>
            <w:vAlign w:val="center"/>
          </w:tcPr>
          <w:p>
            <w:pPr>
              <w:spacing w:after="40"/>
            </w:pPr>
            <w:r>
              <w:rPr>
                <w:sz w:val="16"/>
              </w:rPr>
              <w:t>System liquidity measure / change</w:t>
            </w:r>
          </w:p>
        </w:tc>
        <w:tc>
          <w:tcPr>
            <w:tcW w:type="dxa" w:w="2520"/>
            <w:vAlign w:val="center"/>
          </w:tcPr>
          <w:p>
            <w:pPr>
              <w:spacing w:after="40"/>
            </w:pPr>
            <w:r>
              <w:rPr>
                <w:sz w:val="16"/>
              </w:rPr>
              <w:t>Possible signal of funding conditions</w:t>
            </w:r>
          </w:p>
        </w:tc>
        <w:tc>
          <w:tcPr>
            <w:tcW w:type="dxa" w:w="2520"/>
            <w:vAlign w:val="center"/>
          </w:tcPr>
          <w:p>
            <w:pPr>
              <w:spacing w:after="40"/>
            </w:pPr>
            <w:r>
              <w:rPr>
                <w:sz w:val="16"/>
              </w:rPr>
              <w:t>Series definitions and release timing require careful validation</w:t>
            </w:r>
          </w:p>
        </w:tc>
      </w:tr>
      <w:tr>
        <w:tc>
          <w:tcPr>
            <w:tcW w:type="dxa" w:w="2520"/>
            <w:vAlign w:val="center"/>
          </w:tcPr>
          <w:p>
            <w:pPr>
              <w:spacing w:after="40"/>
            </w:pPr>
            <w:r>
              <w:rPr>
                <w:sz w:val="16"/>
              </w:rPr>
              <w:t>7</w:t>
            </w:r>
          </w:p>
        </w:tc>
        <w:tc>
          <w:tcPr>
            <w:tcW w:type="dxa" w:w="2520"/>
            <w:vAlign w:val="center"/>
          </w:tcPr>
          <w:p>
            <w:pPr>
              <w:spacing w:after="40"/>
            </w:pPr>
            <w:r>
              <w:rPr>
                <w:sz w:val="16"/>
              </w:rPr>
              <w:t>Monthly fiscal deficit and capex execution</w:t>
            </w:r>
          </w:p>
        </w:tc>
        <w:tc>
          <w:tcPr>
            <w:tcW w:type="dxa" w:w="2520"/>
            <w:vAlign w:val="center"/>
          </w:tcPr>
          <w:p>
            <w:pPr>
              <w:spacing w:after="40"/>
            </w:pPr>
            <w:r>
              <w:rPr>
                <w:sz w:val="16"/>
              </w:rPr>
              <w:t>Government borrowing/demand context</w:t>
            </w:r>
          </w:p>
        </w:tc>
        <w:tc>
          <w:tcPr>
            <w:tcW w:type="dxa" w:w="2520"/>
            <w:vAlign w:val="center"/>
          </w:tcPr>
          <w:p>
            <w:pPr>
              <w:spacing w:after="40"/>
            </w:pPr>
            <w:r>
              <w:rPr>
                <w:sz w:val="16"/>
              </w:rPr>
              <w:t>Lagged, cumulative, nominal and revised</w:t>
            </w:r>
          </w:p>
        </w:tc>
      </w:tr>
      <w:tr>
        <w:tc>
          <w:tcPr>
            <w:tcW w:type="dxa" w:w="2520"/>
            <w:vAlign w:val="center"/>
          </w:tcPr>
          <w:p>
            <w:pPr>
              <w:spacing w:after="40"/>
            </w:pPr>
            <w:r>
              <w:rPr>
                <w:sz w:val="16"/>
              </w:rPr>
              <w:t>8</w:t>
            </w:r>
          </w:p>
        </w:tc>
        <w:tc>
          <w:tcPr>
            <w:tcW w:type="dxa" w:w="2520"/>
            <w:vAlign w:val="center"/>
          </w:tcPr>
          <w:p>
            <w:pPr>
              <w:spacing w:after="40"/>
            </w:pPr>
            <w:r>
              <w:rPr>
                <w:sz w:val="16"/>
              </w:rPr>
              <w:t>Borrowing auction outcome</w:t>
            </w:r>
          </w:p>
        </w:tc>
        <w:tc>
          <w:tcPr>
            <w:tcW w:type="dxa" w:w="2520"/>
            <w:vAlign w:val="center"/>
          </w:tcPr>
          <w:p>
            <w:pPr>
              <w:spacing w:after="40"/>
            </w:pPr>
            <w:r>
              <w:rPr>
                <w:sz w:val="16"/>
              </w:rPr>
              <w:t>Bond supply/demand signal</w:t>
            </w:r>
          </w:p>
        </w:tc>
        <w:tc>
          <w:tcPr>
            <w:tcW w:type="dxa" w:w="2520"/>
            <w:vAlign w:val="center"/>
          </w:tcPr>
          <w:p>
            <w:pPr>
              <w:spacing w:after="40"/>
            </w:pPr>
            <w:r>
              <w:rPr>
                <w:sz w:val="16"/>
              </w:rPr>
              <w:t>Event-level, requires exact auction data and definition</w:t>
            </w:r>
          </w:p>
        </w:tc>
      </w:tr>
      <w:tr>
        <w:tc>
          <w:tcPr>
            <w:tcW w:type="dxa" w:w="2520"/>
            <w:vAlign w:val="center"/>
          </w:tcPr>
          <w:p>
            <w:pPr>
              <w:spacing w:after="40"/>
            </w:pPr>
            <w:r>
              <w:rPr>
                <w:sz w:val="16"/>
              </w:rPr>
              <w:t>Later</w:t>
            </w:r>
          </w:p>
        </w:tc>
        <w:tc>
          <w:tcPr>
            <w:tcW w:type="dxa" w:w="2520"/>
            <w:vAlign w:val="center"/>
          </w:tcPr>
          <w:p>
            <w:pPr>
              <w:spacing w:after="40"/>
            </w:pPr>
            <w:r>
              <w:rPr>
                <w:sz w:val="16"/>
              </w:rPr>
              <w:t>Policy-statement text features, sector-specific tax/regulatory flags</w:t>
            </w:r>
          </w:p>
        </w:tc>
        <w:tc>
          <w:tcPr>
            <w:tcW w:type="dxa" w:w="2520"/>
            <w:vAlign w:val="center"/>
          </w:tcPr>
          <w:p>
            <w:pPr>
              <w:spacing w:after="40"/>
            </w:pPr>
            <w:r>
              <w:rPr>
                <w:sz w:val="16"/>
              </w:rPr>
              <w:t>Potentially richer information</w:t>
            </w:r>
          </w:p>
        </w:tc>
        <w:tc>
          <w:tcPr>
            <w:tcW w:type="dxa" w:w="2520"/>
            <w:vAlign w:val="center"/>
          </w:tcPr>
          <w:p>
            <w:pPr>
              <w:spacing w:after="40"/>
            </w:pPr>
            <w:r>
              <w:rPr>
                <w:sz w:val="16"/>
              </w:rPr>
              <w:t>More complex coding, sparse events and validation burden</w:t>
            </w:r>
          </w:p>
        </w:tc>
      </w:tr>
    </w:tbl>
    <w:p/>
    <w:p>
      <w:r>
        <w:t>Recommended first experiment: repo rate, repo decision change, scheduled RBI event flag, 10-year G-sec yield/change, and overnight-rate spread. Add surprise and liquidity features only when the data are demonstrably available at the required timestamps.</w:t>
      </w:r>
    </w:p>
    <w:p>
      <w:pPr>
        <w:pStyle w:val="Heading1"/>
      </w:pPr>
      <w:r>
        <w:t>15. Mentor / Team-Lead Summary</w:t>
      </w:r>
    </w:p>
    <w:p>
      <w:r>
        <w:t>Objective: investigate whether Indian monetary-policy, liquidity, sovereign-yield and fiscal variables add incremental predictive information for stock-market outcomes. The candidate dimensions are RBI policy rates and communication, short-term money-market rates, system liquidity, G-sec yields and auctions, fiscal deficit/expenditure/borrowing, and tax/regulatory events.</w:t>
      </w:r>
    </w:p>
    <w:p>
      <w:r>
        <w:t>Candidate features include policy-rate changes in basis points, short-rate spreads, yield changes and curve slope, policy surprises, liquidity changes, fiscal execution ratios, borrowing deviations and known-in-advance event flags.</w:t>
      </w:r>
    </w:p>
    <w:p>
      <w:r>
        <w:t>Critical dependency: event-aware data engineering that stores scheduled, announcement, effective and publication timestamps separately. Historical expectations and revised fiscal data are major leakage risks.</w:t>
      </w:r>
    </w:p>
    <w:p>
      <w:r>
        <w:t>Execution plan: validate the official data sources and historical coverage, build a compact baseline, add feature groups sequentially, and use chronological/walk-forward tests. Compare incremental value against existing technical, inflation, fundamentals, sentiment, global-market and economic-growth categories.</w:t>
      </w:r>
    </w:p>
    <w:p>
      <w:r>
        <w:t>Main blockers: missing pre-event consensus, low event counts, policy-regime changes, fiscal revisions, market-yield confounding, inconsistent timestamps, and data licensing. No feature should be described as predictive until it survives out-of-sample testing.</w:t>
      </w:r>
    </w:p>
    <w:p>
      <w:pPr>
        <w:pStyle w:val="Heading1"/>
      </w:pPr>
      <w:r>
        <w:t>16. Research Checklist</w:t>
      </w:r>
    </w:p>
    <w:p>
      <w:pPr>
        <w:pStyle w:val="ListBullet"/>
        <w:spacing w:after="40"/>
      </w:pPr>
      <w:r>
        <w:t>☐ Target and prediction timestamp defined.</w:t>
      </w:r>
    </w:p>
    <w:p>
      <w:pPr>
        <w:pStyle w:val="ListBullet"/>
        <w:spacing w:after="40"/>
      </w:pPr>
      <w:r>
        <w:t>☐ Policy decision, publication and effective timestamps distinguished.</w:t>
      </w:r>
    </w:p>
    <w:p>
      <w:pPr>
        <w:pStyle w:val="ListBullet"/>
        <w:spacing w:after="40"/>
      </w:pPr>
      <w:r>
        <w:t>☐ Rates and yield units explicitly documented.</w:t>
      </w:r>
    </w:p>
    <w:p>
      <w:pPr>
        <w:pStyle w:val="ListBullet"/>
        <w:spacing w:after="40"/>
      </w:pPr>
      <w:r>
        <w:t>☐ Official source, history depth, update frequency and reuse terms checked.</w:t>
      </w:r>
    </w:p>
    <w:p>
      <w:pPr>
        <w:pStyle w:val="ListBullet"/>
        <w:spacing w:after="40"/>
      </w:pPr>
      <w:r>
        <w:t>☐ Fiscal observation periods and vintages stored separately.</w:t>
      </w:r>
    </w:p>
    <w:p>
      <w:pPr>
        <w:pStyle w:val="ListBullet"/>
        <w:spacing w:after="40"/>
      </w:pPr>
      <w:r>
        <w:t>☐ Consensus expectations are genuinely pre-event and timestamped.</w:t>
      </w:r>
    </w:p>
    <w:p>
      <w:pPr>
        <w:pStyle w:val="ListBullet"/>
        <w:spacing w:after="40"/>
      </w:pPr>
      <w:r>
        <w:t>☐ All transformations are backward-looking and training-only where appropriate.</w:t>
      </w:r>
    </w:p>
    <w:p>
      <w:pPr>
        <w:pStyle w:val="ListBullet"/>
        <w:spacing w:after="40"/>
      </w:pPr>
      <w:r>
        <w:t>☐ Event-day and non-event-day results are evaluated separately.</w:t>
      </w:r>
    </w:p>
    <w:p>
      <w:pPr>
        <w:pStyle w:val="ListBullet"/>
        <w:spacing w:after="40"/>
      </w:pPr>
      <w:r>
        <w:t>☐ Incremental value over other research categories is tested.</w:t>
      </w:r>
    </w:p>
    <w:p>
      <w:pPr>
        <w:pStyle w:val="ListBullet"/>
        <w:spacing w:after="40"/>
      </w:pPr>
      <w:r>
        <w:t>☐ Conclusions avoid unsupported causal or profitability claims.</w:t>
      </w:r>
    </w:p>
    <w:p>
      <w:pPr>
        <w:pStyle w:val="Heading1"/>
      </w:pPr>
      <w:r>
        <w:t>17. Sources and Further Reading</w:t>
      </w:r>
    </w:p>
    <w:p>
      <w:pPr>
        <w:pStyle w:val="ListBullet"/>
        <w:spacing w:after="80"/>
      </w:pPr>
      <w:r>
        <w:rPr>
          <w:b/>
        </w:rPr>
        <w:t xml:space="preserve">Reserve Bank of India — Monetary Policy — </w:t>
      </w:r>
      <w:r>
        <w:t>https://www.rbi.org.in/</w:t>
        <w:br/>
        <w:t>Official monetary-policy resolutions, statements, minutes and related announcements; locate the relevant historical release for each event.</w:t>
      </w:r>
    </w:p>
    <w:p>
      <w:pPr>
        <w:pStyle w:val="ListBullet"/>
        <w:spacing w:after="80"/>
      </w:pPr>
      <w:r>
        <w:rPr>
          <w:b/>
        </w:rPr>
        <w:t xml:space="preserve">RBI Database on Indian Economy (DBIE) — </w:t>
      </w:r>
      <w:r>
        <w:t>https://dbie.rbi.org.in/</w:t>
        <w:br/>
        <w:t>Official time-series database for rates, banking and financial conditions; check each series' metadata.</w:t>
      </w:r>
    </w:p>
    <w:p>
      <w:pPr>
        <w:pStyle w:val="ListBullet"/>
        <w:spacing w:after="80"/>
      </w:pPr>
      <w:r>
        <w:rPr>
          <w:b/>
        </w:rPr>
        <w:t xml:space="preserve">RBI Weekly Statistical Supplement — </w:t>
      </w:r>
      <w:r>
        <w:t>https://www.rbi.org.in/Scripts/WeeklyStatisticalSupplement.aspx</w:t>
        <w:br/>
        <w:t>Weekly statistical information; use publication timestamps and series definitions.</w:t>
      </w:r>
    </w:p>
    <w:p>
      <w:pPr>
        <w:pStyle w:val="ListBullet"/>
        <w:spacing w:after="80"/>
      </w:pPr>
      <w:r>
        <w:rPr>
          <w:b/>
        </w:rPr>
        <w:t xml:space="preserve">CCIL — </w:t>
      </w:r>
      <w:r>
        <w:t>https://www.ccilindia.com/</w:t>
        <w:br/>
        <w:t>Market infrastructure and government-securities/money-market information; verify product access and licence.</w:t>
      </w:r>
    </w:p>
    <w:p>
      <w:pPr>
        <w:pStyle w:val="ListBullet"/>
        <w:spacing w:after="80"/>
      </w:pPr>
      <w:r>
        <w:rPr>
          <w:b/>
        </w:rPr>
        <w:t xml:space="preserve">NSE Data &amp; Analytics — </w:t>
      </w:r>
      <w:r>
        <w:t>https://www.nse.in/static/nse-data-and-analytics/data-information-vending</w:t>
        <w:br/>
        <w:t>Official data product and licensing information.</w:t>
      </w:r>
    </w:p>
    <w:p>
      <w:pPr>
        <w:pStyle w:val="ListBullet"/>
        <w:spacing w:after="80"/>
      </w:pPr>
      <w:r>
        <w:rPr>
          <w:b/>
        </w:rPr>
        <w:t xml:space="preserve">Union Budget of India — </w:t>
      </w:r>
      <w:r>
        <w:t>https://www.indiabudget.gov.in/</w:t>
        <w:br/>
        <w:t>Budget documents, receipts/expenditure estimates, borrowing plans and tax proposals.</w:t>
      </w:r>
    </w:p>
    <w:p>
      <w:pPr>
        <w:pStyle w:val="ListBullet"/>
        <w:spacing w:after="80"/>
      </w:pPr>
      <w:r>
        <w:rPr>
          <w:b/>
        </w:rPr>
        <w:t xml:space="preserve">Controller General of Accounts — </w:t>
      </w:r>
      <w:r>
        <w:t>https://cga.nic.in/</w:t>
        <w:br/>
        <w:t>Monthly Union Government accounts and fiscal data.</w:t>
      </w:r>
    </w:p>
    <w:p>
      <w:pPr>
        <w:pStyle w:val="ListBullet"/>
        <w:spacing w:after="80"/>
      </w:pPr>
      <w:r>
        <w:rPr>
          <w:b/>
        </w:rPr>
        <w:t xml:space="preserve">GST Council — </w:t>
      </w:r>
      <w:r>
        <w:t>https://gstcouncil.gov.in/</w:t>
        <w:br/>
        <w:t>GST policy recommendations and meeting outcomes; confirm actual notification and effective date separately.</w:t>
      </w:r>
    </w:p>
    <w:p>
      <w:pPr>
        <w:pStyle w:val="ListBullet"/>
        <w:spacing w:after="80"/>
      </w:pPr>
      <w:r>
        <w:rPr>
          <w:b/>
        </w:rPr>
        <w:t xml:space="preserve">Central Board of Indirect Taxes and Customs — </w:t>
      </w:r>
      <w:r>
        <w:t>https://www.cbic.gov.in/</w:t>
        <w:br/>
        <w:t>Official tax and customs notifications, amendments and effective dates.</w:t>
      </w:r>
    </w:p>
    <w:p>
      <w:pPr>
        <w:pStyle w:val="ListBullet"/>
        <w:spacing w:after="80"/>
      </w:pPr>
      <w:r>
        <w:rPr>
          <w:b/>
        </w:rPr>
        <w:t xml:space="preserve">Press Information Bureau — </w:t>
      </w:r>
      <w:r>
        <w:t>https://pib.gov.in/</w:t>
        <w:br/>
        <w:t>Official announcements and release context; use underlying document where possible.</w:t>
      </w:r>
    </w:p>
    <w:p>
      <w:pPr>
        <w:pStyle w:val="ListBullet"/>
        <w:spacing w:after="80"/>
      </w:pPr>
      <w:r>
        <w:rPr>
          <w:b/>
        </w:rPr>
        <w:t xml:space="preserve">US Treasury interest-rate statistics — </w:t>
      </w:r>
      <w:r>
        <w:t>https://home.treasury.gov/resource-center/data-chart-center/interest-rates</w:t>
        <w:br/>
        <w:t>Official global benchmark rates for cross-asset comparison.</w:t>
      </w:r>
    </w:p>
    <w:p>
      <w:pPr>
        <w:pStyle w:val="Heading1"/>
      </w:pPr>
      <w:r>
        <w:t>Final Research Caveat</w:t>
      </w:r>
    </w:p>
    <w:p>
      <w:r>
        <w:t>Policy and fiscal indicators can be economically important without being useful for predicting the next trading session. Prices may anticipate decisions, and the direction of impact is conditional on the reason for a policy move and market expectations. Treat this document as a research blueprint; conclusions require correctly timestamped, out-of-sample tests.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Government Policy, Interest Rates &amp; Fiscal Indicators | Research document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