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Investor Positioning, Ownership &amp; Institutional Flows</w:t>
      </w:r>
    </w:p>
    <w:p>
      <w:pPr>
        <w:jc w:val="center"/>
      </w:pPr>
      <w:r>
        <w:t>Research dimensions, data requirements, formulas, sources, implementation plan, and risks for an Indian stock-market prediction project</w:t>
      </w:r>
    </w:p>
    <w:p>
      <w:r>
        <w:t>Prepared as a standalone research document | India-focused | Candidate features require empirical validation</w:t>
      </w:r>
    </w:p>
    <w:p>
      <w:pPr>
        <w:pStyle w:val="Heading1"/>
      </w:pPr>
      <w:r>
        <w:t>1. Executive Summary</w:t>
      </w:r>
    </w:p>
    <w:p>
      <w:r>
        <w:t>Investor positioning and ownership data describe who holds shares, how ownership is distributed, and how investor groups are changing their exposure. These variables may add context to a stock-prediction model, but they are not automatic buy/sell signals. Institutional purchases can reflect portfolio rebalancing, index changes, liquidity needs, hedging, or information; promoter ownership can reflect control and confidence but can also remain unchanged for long periods.</w:t>
      </w:r>
    </w:p>
    <w:p>
      <w:r>
        <w:t>The most important distinction is between a flow and a holding. A flow measures transactions over a period (for example, net purchases by a foreign investor group during a day or month). A holding measures ownership at a point in time (for example, a promoter group owning 52% at quarter-end). Flows are usually more timely but may be aggregated across the market; holdings are issuer-specific but commonly reported quarterly and with a delay.</w:t>
      </w:r>
    </w:p>
    <w:p>
      <w:r>
        <w:t>For a first Indian equities prototype, prioritize official FII/FPI and DII market-flow series as market-wide context, and company shareholding-pattern filings as issuer-level quarterly features. Add promoter pledging and mutual-fund ownership only after confirming consistent history and publication timestamps. Treat derivatives participant-position data as market-level positioning rather than a direct measure of short interest in a particular stock.</w:t>
      </w:r>
    </w:p>
    <w:p>
      <w:pPr>
        <w:pStyle w:val="Heading1"/>
      </w:pPr>
      <w:r>
        <w:t>2. What This Category Includes</w:t>
      </w:r>
    </w:p>
    <w:p>
      <w:pPr>
        <w:pStyle w:val="Heading2"/>
      </w:pPr>
      <w:r>
        <w:t>2.1 Research dimensions</w:t>
      </w:r>
    </w:p>
    <w:p>
      <w:pPr>
        <w:pStyle w:val="ListBullet"/>
      </w:pPr>
      <w:r>
        <w:t>Foreign investor flows: FII/FPI net purchases and sales, by available market segment and reporting period.</w:t>
      </w:r>
    </w:p>
    <w:p>
      <w:pPr>
        <w:pStyle w:val="ListBullet"/>
      </w:pPr>
      <w:r>
        <w:t>Domestic institutional flows: DII activity, including available aggregate institutional flow series; do not assume all reports provide identical investor classifications.</w:t>
      </w:r>
    </w:p>
    <w:p>
      <w:pPr>
        <w:pStyle w:val="ListBullet"/>
      </w:pPr>
      <w:r>
        <w:t>Ownership composition: promoter/promoter-group, public, institutional, mutual fund, insurance, foreign portfolio investor, and other reported categories where available.</w:t>
      </w:r>
    </w:p>
    <w:p>
      <w:pPr>
        <w:pStyle w:val="ListBullet"/>
      </w:pPr>
      <w:r>
        <w:t>Ownership concentration: largest holders, promoter stake, institutional concentration, and changes in concentration when filings permit reliable comparisons.</w:t>
      </w:r>
    </w:p>
    <w:p>
      <w:pPr>
        <w:pStyle w:val="ListBullet"/>
      </w:pPr>
      <w:r>
        <w:t>Promoter encumbrance: pledged or otherwise encumbered promoter shares, measured with the correct denominator.</w:t>
      </w:r>
    </w:p>
    <w:p>
      <w:pPr>
        <w:pStyle w:val="ListBullet"/>
      </w:pPr>
      <w:r>
        <w:t>Mutual-fund ownership: issuer-level fund holdings or aggregate industry flows, depending on the source.</w:t>
      </w:r>
    </w:p>
    <w:p>
      <w:pPr>
        <w:pStyle w:val="ListBullet"/>
      </w:pPr>
      <w:r>
        <w:t>Institutional participation changes: changes in number of reporting institutions or holders, where data are disclosed consistently.</w:t>
      </w:r>
    </w:p>
    <w:p>
      <w:pPr>
        <w:pStyle w:val="ListBullet"/>
      </w:pPr>
      <w:r>
        <w:t>Derivatives positioning: participant-wise futures/options open interest or long/short positioning at market level; not equivalent to issuer-specific short interest.</w:t>
      </w:r>
    </w:p>
    <w:p>
      <w:pPr>
        <w:pStyle w:val="ListBullet"/>
      </w:pPr>
      <w:r>
        <w:t>Ownership events: block deals, bulk deals, stake sales, preferential allotments, open offers, buybacks, and other events that change the shareholding base.</w:t>
      </w:r>
    </w:p>
    <w:p>
      <w:pPr>
        <w:pStyle w:val="ListBullet"/>
      </w:pPr>
      <w:r>
        <w:t>Index and mandate effects: index inclusion/deletion, rebalancing, and passive-flow effects, where reliable event dates and membership histories exist.</w:t>
      </w:r>
    </w:p>
    <w:p>
      <w:pPr>
        <w:pStyle w:val="Heading1"/>
      </w:pPr>
      <w:r>
        <w:t>3. How These Signals Could Relate to Stock Prices</w:t>
      </w:r>
    </w:p>
    <w:p>
      <w:pPr>
        <w:pStyle w:val="Heading2"/>
      </w:pPr>
      <w:r>
        <w:t>3.1 Potential mechanisms</w:t>
      </w:r>
    </w:p>
    <w:p>
      <w:pPr>
        <w:pStyle w:val="ListBullet"/>
      </w:pPr>
      <w:r>
        <w:t>Demand and supply: sustained net buying can absorb available supply, while large selling can increase near-term selling pressure.</w:t>
      </w:r>
    </w:p>
    <w:p>
      <w:pPr>
        <w:pStyle w:val="ListBullet"/>
      </w:pPr>
      <w:r>
        <w:t>Information and expectations: investors may change holdings after reassessing earnings, valuation, governance, or risk.</w:t>
      </w:r>
    </w:p>
    <w:p>
      <w:pPr>
        <w:pStyle w:val="ListBullet"/>
      </w:pPr>
      <w:r>
        <w:t>Ownership stability: a stable controlling stake may affect perceived governance and free float, but stability alone does not prove quality.</w:t>
      </w:r>
    </w:p>
    <w:p>
      <w:pPr>
        <w:pStyle w:val="ListBullet"/>
      </w:pPr>
      <w:r>
        <w:t>Free-float and liquidity: a smaller freely tradable share base can amplify price moves, spreads, and market impact.</w:t>
      </w:r>
    </w:p>
    <w:p>
      <w:pPr>
        <w:pStyle w:val="ListBullet"/>
      </w:pPr>
      <w:r>
        <w:t>Crowding and reversal: when many investors hold similar positions, adverse news can lead to synchronized exits.</w:t>
      </w:r>
    </w:p>
    <w:p>
      <w:pPr>
        <w:pStyle w:val="ListBullet"/>
      </w:pPr>
      <w:r>
        <w:t>Market-wide risk appetite: foreign flows may respond to global rates, currency movements, risk sentiment, and relative-market allocation.</w:t>
      </w:r>
    </w:p>
    <w:p>
      <w:pPr>
        <w:pStyle w:val="ListBullet"/>
      </w:pPr>
      <w:r>
        <w:t>Mechanical demand: passive funds may trade due to index changes, corporate actions, or benchmark weights rather than new fundamental information.</w:t>
      </w:r>
    </w:p>
    <w:p>
      <w:r>
        <w:t>These are hypotheses, not universal rules. Institutional ownership can rise before both positive and negative returns; the relationship may vary by market-cap segment, sector, volatility regime, and liquidity. Evaluate incremental predictive value against a baseline model.</w:t>
      </w:r>
    </w:p>
    <w:p>
      <w:pPr>
        <w:pStyle w:val="Heading1"/>
      </w:pPr>
      <w:r>
        <w:t>4. Flow Data vs Ownership Data</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Concept</w:t>
            </w:r>
          </w:p>
        </w:tc>
        <w:tc>
          <w:tcPr>
            <w:tcW w:type="dxa" w:w="2484"/>
          </w:tcPr>
          <w:p>
            <w:r>
              <w:t>Meaning</w:t>
            </w:r>
          </w:p>
        </w:tc>
        <w:tc>
          <w:tcPr>
            <w:tcW w:type="dxa" w:w="2484"/>
          </w:tcPr>
          <w:p>
            <w:r>
              <w:t>Typical granularity</w:t>
            </w:r>
          </w:p>
        </w:tc>
        <w:tc>
          <w:tcPr>
            <w:tcW w:type="dxa" w:w="2484"/>
          </w:tcPr>
          <w:p>
            <w:r>
              <w:t>Main limitation</w:t>
            </w:r>
          </w:p>
        </w:tc>
      </w:tr>
      <w:tr>
        <w:tc>
          <w:tcPr>
            <w:tcW w:type="dxa" w:w="2484"/>
          </w:tcPr>
          <w:p>
            <w:r>
              <w:t>Investor flow</w:t>
            </w:r>
          </w:p>
        </w:tc>
        <w:tc>
          <w:tcPr>
            <w:tcW w:type="dxa" w:w="2484"/>
          </w:tcPr>
          <w:p>
            <w:r>
              <w:t>Net purchases minus sales during a period</w:t>
            </w:r>
          </w:p>
        </w:tc>
        <w:tc>
          <w:tcPr>
            <w:tcW w:type="dxa" w:w="2484"/>
          </w:tcPr>
          <w:p>
            <w:r>
              <w:t>Daily/monthly, often market-wide</w:t>
            </w:r>
          </w:p>
        </w:tc>
        <w:tc>
          <w:tcPr>
            <w:tcW w:type="dxa" w:w="2484"/>
          </w:tcPr>
          <w:p>
            <w:r>
              <w:t>May not identify which individual stock was bought</w:t>
            </w:r>
          </w:p>
        </w:tc>
      </w:tr>
      <w:tr>
        <w:tc>
          <w:tcPr>
            <w:tcW w:type="dxa" w:w="2484"/>
          </w:tcPr>
          <w:p>
            <w:r>
              <w:t>Ownership/holding</w:t>
            </w:r>
          </w:p>
        </w:tc>
        <w:tc>
          <w:tcPr>
            <w:tcW w:type="dxa" w:w="2484"/>
          </w:tcPr>
          <w:p>
            <w:r>
              <w:t>Shares held or percentage owned at a date</w:t>
            </w:r>
          </w:p>
        </w:tc>
        <w:tc>
          <w:tcPr>
            <w:tcW w:type="dxa" w:w="2484"/>
          </w:tcPr>
          <w:p>
            <w:r>
              <w:t>Issuer-level, often quarterly</w:t>
            </w:r>
          </w:p>
        </w:tc>
        <w:tc>
          <w:tcPr>
            <w:tcW w:type="dxa" w:w="2484"/>
          </w:tcPr>
          <w:p>
            <w:r>
              <w:t>Publication lag and coarse frequency</w:t>
            </w:r>
          </w:p>
        </w:tc>
      </w:tr>
      <w:tr>
        <w:tc>
          <w:tcPr>
            <w:tcW w:type="dxa" w:w="2484"/>
          </w:tcPr>
          <w:p>
            <w:r>
              <w:t>Pledge/encumbrance</w:t>
            </w:r>
          </w:p>
        </w:tc>
        <w:tc>
          <w:tcPr>
            <w:tcW w:type="dxa" w:w="2484"/>
          </w:tcPr>
          <w:p>
            <w:r>
              <w:t>Shares pledged or encumbered by promoter group</w:t>
            </w:r>
          </w:p>
        </w:tc>
        <w:tc>
          <w:tcPr>
            <w:tcW w:type="dxa" w:w="2484"/>
          </w:tcPr>
          <w:p>
            <w:r>
              <w:t>Issuer-level filing dates</w:t>
            </w:r>
          </w:p>
        </w:tc>
        <w:tc>
          <w:tcPr>
            <w:tcW w:type="dxa" w:w="2484"/>
          </w:tcPr>
          <w:p>
            <w:r>
              <w:t>Definitions and denominator can be misread</w:t>
            </w:r>
          </w:p>
        </w:tc>
      </w:tr>
      <w:tr>
        <w:tc>
          <w:tcPr>
            <w:tcW w:type="dxa" w:w="2484"/>
          </w:tcPr>
          <w:p>
            <w:r>
              <w:t>Derivatives positioning</w:t>
            </w:r>
          </w:p>
        </w:tc>
        <w:tc>
          <w:tcPr>
            <w:tcW w:type="dxa" w:w="2484"/>
          </w:tcPr>
          <w:p>
            <w:r>
              <w:t>Open interest or participant-category positions</w:t>
            </w:r>
          </w:p>
        </w:tc>
        <w:tc>
          <w:tcPr>
            <w:tcW w:type="dxa" w:w="2484"/>
          </w:tcPr>
          <w:p>
            <w:r>
              <w:t>Market/contract/participant group</w:t>
            </w:r>
          </w:p>
        </w:tc>
        <w:tc>
          <w:tcPr>
            <w:tcW w:type="dxa" w:w="2484"/>
          </w:tcPr>
          <w:p>
            <w:r>
              <w:t>Aggregate position is not issuer-specific short interest</w:t>
            </w:r>
          </w:p>
        </w:tc>
      </w:tr>
      <w:tr>
        <w:tc>
          <w:tcPr>
            <w:tcW w:type="dxa" w:w="2484"/>
          </w:tcPr>
          <w:p>
            <w:r>
              <w:t>Bulk/block transaction</w:t>
            </w:r>
          </w:p>
        </w:tc>
        <w:tc>
          <w:tcPr>
            <w:tcW w:type="dxa" w:w="2484"/>
          </w:tcPr>
          <w:p>
            <w:r>
              <w:t>Large disclosed trade or negotiated trade</w:t>
            </w:r>
          </w:p>
        </w:tc>
        <w:tc>
          <w:tcPr>
            <w:tcW w:type="dxa" w:w="2484"/>
          </w:tcPr>
          <w:p>
            <w:r>
              <w:t>Issuer/event-level</w:t>
            </w:r>
          </w:p>
        </w:tc>
        <w:tc>
          <w:tcPr>
            <w:tcW w:type="dxa" w:w="2484"/>
          </w:tcPr>
          <w:p>
            <w:r>
              <w:t>A single trade may be transfer, not a directional conviction signal</w:t>
            </w:r>
          </w:p>
        </w:tc>
      </w:tr>
    </w:tbl>
    <w:p>
      <w:pPr>
        <w:pStyle w:val="Heading1"/>
      </w:pPr>
      <w:r>
        <w:t>5. Core Features and Formulas</w:t>
      </w:r>
    </w:p>
    <w:p>
      <w:pPr>
        <w:pStyle w:val="Heading2"/>
      </w:pPr>
      <w:r>
        <w:t>5.1 Aggregate institutional flows</w:t>
      </w:r>
    </w:p>
    <w:p>
      <w:r>
        <w:t>Net flow = purchases − sales. If purchases and sales are reported in currency value, net flow has the same currency unit. If only net flow is published, do not fabricate gross purchases and sales.</w:t>
      </w:r>
    </w:p>
    <w:p>
      <w:r>
        <w:t>Normalized net flow = (purchases − sales) / reference market value. Choose and document the denominator (for example, segment turnover or market capitalization proxy); different denominators answer different questions.</w:t>
      </w:r>
    </w:p>
    <w:p>
      <w:r>
        <w:t>Flow intensity = net flow / traded value for the same segment and period, when definitions and coverage align.</w:t>
      </w:r>
    </w:p>
    <w:p>
      <w:r>
        <w:t>Rolling net flow over k sessions = sum of daily net flows over the previous k trading sessions. Example: a 5-session sum can help distinguish a single large day from a sustained flow pattern.</w:t>
      </w:r>
    </w:p>
    <w:p>
      <w:r>
        <w:t>Flow acceleration = current rolling flow − prior rolling flow. Standardize carefully because raw currency values trend with market size and inflation.</w:t>
      </w:r>
    </w:p>
    <w:p>
      <w:r>
        <w:t>Flow sign persistence = proportion of sessions in a window with positive net flow, or a run-length measure of consecutive positive/negative sessions.</w:t>
      </w:r>
    </w:p>
    <w:p>
      <w:pPr>
        <w:pStyle w:val="Heading2"/>
      </w:pPr>
      <w:r>
        <w:t>5.2 Ownership composition</w:t>
      </w:r>
    </w:p>
    <w:p>
      <w:r>
        <w:t>Ownership percentage = shares held by a category / total shares outstanding × 100. Use the denominator reported for the filing date, and preserve both share count and percentage if available.</w:t>
      </w:r>
    </w:p>
    <w:p>
      <w:r>
        <w:t>Quarter-on-quarter ownership change (percentage points) = current ownership percentage − previous quarter ownership percentage. A change from 18% to 20% is +2 percentage points, not a 2% relative increase.</w:t>
      </w:r>
    </w:p>
    <w:p>
      <w:r>
        <w:t>Relative ownership change = (current percentage − previous percentage) / previous percentage, when the previous value is non-zero and the interpretation is useful.</w:t>
      </w:r>
    </w:p>
    <w:p>
      <w:r>
        <w:t>Promoter-to-public ratio = promoter ownership percentage / public ownership percentage. This is descriptive, not inherently a measure of quality.</w:t>
      </w:r>
    </w:p>
    <w:p>
      <w:r>
        <w:t>Free-float proxy = shares available to public investors / total shares outstanding, using a consistent official definition. Do not equate 'public shareholding' with an exact tradable free-float figure without checking the exchange methodology.</w:t>
      </w:r>
    </w:p>
    <w:p>
      <w:pPr>
        <w:pStyle w:val="Heading2"/>
      </w:pPr>
      <w:r>
        <w:t>5.3 Pledging and encumbrance</w:t>
      </w:r>
    </w:p>
    <w:p>
      <w:r>
        <w:t>Pledged share percentage of promoter holding = pledged promoter shares / total promoter-group shares × 100.</w:t>
      </w:r>
    </w:p>
    <w:p>
      <w:r>
        <w:t>Pledged share percentage of total share capital = pledged promoter shares / total shares outstanding × 100.</w:t>
      </w:r>
    </w:p>
    <w:p>
      <w:r>
        <w:t>These are different ratios. A company could have a high proportion of promoter holdings pledged while the pledged shares are a smaller percentage of total company shares. Keep both measures if source data support them.</w:t>
      </w:r>
    </w:p>
    <w:p>
      <w:r>
        <w:t>Pledge change = current pledge ratio − previous reported pledge ratio. Also flag new pledge creation, release, and material changes as separate events.</w:t>
      </w:r>
    </w:p>
    <w:p>
      <w:pPr>
        <w:pStyle w:val="Heading2"/>
      </w:pPr>
      <w:r>
        <w:t>5.4 Institutional concentration and changes</w:t>
      </w:r>
    </w:p>
    <w:p>
      <w:r>
        <w:t>If individual holder weights are available, a concentration proxy can be calculated as HHI = sum of squared ownership shares (use fractions or percentages consistently). Higher HHI indicates more concentrated ownership under the chosen holder grouping. Public filings may not reveal every beneficial owner, so this is only a disclosed-holder proxy.</w:t>
      </w:r>
    </w:p>
    <w:p>
      <w:r>
        <w:t>Institutional ownership breadth = number of disclosed institutional holders, if the source provides consistent holder-level data. Changes can reflect reporting thresholds or classification changes, not just new investor interest.</w:t>
      </w:r>
    </w:p>
    <w:p>
      <w:pPr>
        <w:pStyle w:val="Heading2"/>
      </w:pPr>
      <w:r>
        <w:t>5.5 Derivatives and positioning</w:t>
      </w:r>
    </w:p>
    <w:p>
      <w:r>
        <w:t>Open interest (OI) is the number of outstanding contracts, not the same as trading volume. Rising OI indicates more open contracts, but the long and short sides always coexist. Interpretation requires price movement, contract type, participant definitions, and market context.</w:t>
      </w:r>
    </w:p>
    <w:p>
      <w:r>
        <w:t>A participant-category net position may be defined by the exchange report as long contracts minus short contracts, but follow the exact report schema. Do not treat aggregate futures positioning as a direct short position in an individual cash-market stock.</w:t>
      </w:r>
    </w:p>
    <w:p>
      <w:r>
        <w:t>Price + OI heuristics (such as price rising with OI rising) are rough market commentary conventions, not reliable standalone causal rules. Validate any transformation against the exchange's definitions.</w:t>
      </w:r>
    </w:p>
    <w:p>
      <w:pPr>
        <w:pStyle w:val="Heading2"/>
      </w:pPr>
      <w:r>
        <w:t>5.6 Event and transaction features</w:t>
      </w:r>
    </w:p>
    <w:p>
      <w:pPr>
        <w:pStyle w:val="ListBullet"/>
      </w:pPr>
      <w:r>
        <w:t>Event flag for a disclosed block/bulk deal, promoter stake sale, open offer, buyback, preferential allotment, or index rebalance.</w:t>
      </w:r>
    </w:p>
    <w:p>
      <w:pPr>
        <w:pStyle w:val="ListBullet"/>
      </w:pPr>
      <w:r>
        <w:t>Disclosed transaction value divided by recent average traded value, when both measures are comparable.</w:t>
      </w:r>
    </w:p>
    <w:p>
      <w:pPr>
        <w:pStyle w:val="ListBullet"/>
      </w:pPr>
      <w:r>
        <w:t>Stake-change magnitude, transaction direction if reliably identified, and days since announcement.</w:t>
      </w:r>
    </w:p>
    <w:p>
      <w:pPr>
        <w:pStyle w:val="ListBullet"/>
      </w:pPr>
      <w:r>
        <w:t>Separate announcement date, trade date, filing date, and first time the information was publicly accessible.</w:t>
      </w:r>
    </w:p>
    <w:p>
      <w:pPr>
        <w:pStyle w:val="Heading1"/>
      </w:pPr>
      <w:r>
        <w:t>6. Raw Data Requirements</w:t>
      </w:r>
    </w:p>
    <w:p>
      <w:pPr>
        <w:pStyle w:val="Heading2"/>
      </w:pPr>
      <w:r>
        <w:t>6.1 Minimum viable dataset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Purpose</w:t>
            </w:r>
          </w:p>
        </w:tc>
        <w:tc>
          <w:tcPr>
            <w:tcW w:type="dxa" w:w="3312"/>
          </w:tcPr>
          <w:p>
            <w:r>
              <w:t>Notes</w:t>
            </w:r>
          </w:p>
        </w:tc>
      </w:tr>
      <w:tr>
        <w:tc>
          <w:tcPr>
            <w:tcW w:type="dxa" w:w="3312"/>
          </w:tcPr>
          <w:p>
            <w:r>
              <w:t>instrument_id / ISIN / symbol</w:t>
            </w:r>
          </w:p>
        </w:tc>
        <w:tc>
          <w:tcPr>
            <w:tcW w:type="dxa" w:w="3312"/>
          </w:tcPr>
          <w:p>
            <w:r>
              <w:t>Stable issuer/security mapping</w:t>
            </w:r>
          </w:p>
        </w:tc>
        <w:tc>
          <w:tcPr>
            <w:tcW w:type="dxa" w:w="3312"/>
          </w:tcPr>
          <w:p>
            <w:r>
              <w:t>Symbols can change; maintain a mapping history</w:t>
            </w:r>
          </w:p>
        </w:tc>
      </w:tr>
      <w:tr>
        <w:tc>
          <w:tcPr>
            <w:tcW w:type="dxa" w:w="3312"/>
          </w:tcPr>
          <w:p>
            <w:r>
              <w:t>observation_date</w:t>
            </w:r>
          </w:p>
        </w:tc>
        <w:tc>
          <w:tcPr>
            <w:tcW w:type="dxa" w:w="3312"/>
          </w:tcPr>
          <w:p>
            <w:r>
              <w:t>Date the value describes</w:t>
            </w:r>
          </w:p>
        </w:tc>
        <w:tc>
          <w:tcPr>
            <w:tcW w:type="dxa" w:w="3312"/>
          </w:tcPr>
          <w:p>
            <w:r>
              <w:t>Do not confuse with publication date</w:t>
            </w:r>
          </w:p>
        </w:tc>
      </w:tr>
      <w:tr>
        <w:tc>
          <w:tcPr>
            <w:tcW w:type="dxa" w:w="3312"/>
          </w:tcPr>
          <w:p>
            <w:r>
              <w:t>published_at / available_from</w:t>
            </w:r>
          </w:p>
        </w:tc>
        <w:tc>
          <w:tcPr>
            <w:tcW w:type="dxa" w:w="3312"/>
          </w:tcPr>
          <w:p>
            <w:r>
              <w:t>Point-in-time availability</w:t>
            </w:r>
          </w:p>
        </w:tc>
        <w:tc>
          <w:tcPr>
            <w:tcW w:type="dxa" w:w="3312"/>
          </w:tcPr>
          <w:p>
            <w:r>
              <w:t>Critical for preventing look-ahead leakage</w:t>
            </w:r>
          </w:p>
        </w:tc>
      </w:tr>
      <w:tr>
        <w:tc>
          <w:tcPr>
            <w:tcW w:type="dxa" w:w="3312"/>
          </w:tcPr>
          <w:p>
            <w:r>
              <w:t>investor_category</w:t>
            </w:r>
          </w:p>
        </w:tc>
        <w:tc>
          <w:tcPr>
            <w:tcW w:type="dxa" w:w="3312"/>
          </w:tcPr>
          <w:p>
            <w:r>
              <w:t>FPI/FII, DII, promoter, mutual fund, etc.</w:t>
            </w:r>
          </w:p>
        </w:tc>
        <w:tc>
          <w:tcPr>
            <w:tcW w:type="dxa" w:w="3312"/>
          </w:tcPr>
          <w:p>
            <w:r>
              <w:t>Preserve original source labels</w:t>
            </w:r>
          </w:p>
        </w:tc>
      </w:tr>
      <w:tr>
        <w:tc>
          <w:tcPr>
            <w:tcW w:type="dxa" w:w="3312"/>
          </w:tcPr>
          <w:p>
            <w:r>
              <w:t>purchases_value / sales_value / net_flow</w:t>
            </w:r>
          </w:p>
        </w:tc>
        <w:tc>
          <w:tcPr>
            <w:tcW w:type="dxa" w:w="3312"/>
          </w:tcPr>
          <w:p>
            <w:r>
              <w:t>Flow calculation</w:t>
            </w:r>
          </w:p>
        </w:tc>
        <w:tc>
          <w:tcPr>
            <w:tcW w:type="dxa" w:w="3312"/>
          </w:tcPr>
          <w:p>
            <w:r>
              <w:t>Record units and segment</w:t>
            </w:r>
          </w:p>
        </w:tc>
      </w:tr>
      <w:tr>
        <w:tc>
          <w:tcPr>
            <w:tcW w:type="dxa" w:w="3312"/>
          </w:tcPr>
          <w:p>
            <w:r>
              <w:t>shares_held / ownership_pct</w:t>
            </w:r>
          </w:p>
        </w:tc>
        <w:tc>
          <w:tcPr>
            <w:tcW w:type="dxa" w:w="3312"/>
          </w:tcPr>
          <w:p>
            <w:r>
              <w:t>Ownership features</w:t>
            </w:r>
          </w:p>
        </w:tc>
        <w:tc>
          <w:tcPr>
            <w:tcW w:type="dxa" w:w="3312"/>
          </w:tcPr>
          <w:p>
            <w:r>
              <w:t>Keep share count and percentage separately</w:t>
            </w:r>
          </w:p>
        </w:tc>
      </w:tr>
      <w:tr>
        <w:tc>
          <w:tcPr>
            <w:tcW w:type="dxa" w:w="3312"/>
          </w:tcPr>
          <w:p>
            <w:r>
              <w:t>pledged_shares / promoter_shares / total_shares</w:t>
            </w:r>
          </w:p>
        </w:tc>
        <w:tc>
          <w:tcPr>
            <w:tcW w:type="dxa" w:w="3312"/>
          </w:tcPr>
          <w:p>
            <w:r>
              <w:t>Pledge ratios</w:t>
            </w:r>
          </w:p>
        </w:tc>
        <w:tc>
          <w:tcPr>
            <w:tcW w:type="dxa" w:w="3312"/>
          </w:tcPr>
          <w:p>
            <w:r>
              <w:t>Store denominator fields explicitly</w:t>
            </w:r>
          </w:p>
        </w:tc>
      </w:tr>
      <w:tr>
        <w:tc>
          <w:tcPr>
            <w:tcW w:type="dxa" w:w="3312"/>
          </w:tcPr>
          <w:p>
            <w:r>
              <w:t>period_start / period_end</w:t>
            </w:r>
          </w:p>
        </w:tc>
        <w:tc>
          <w:tcPr>
            <w:tcW w:type="dxa" w:w="3312"/>
          </w:tcPr>
          <w:p>
            <w:r>
              <w:t>Correct temporal alignment</w:t>
            </w:r>
          </w:p>
        </w:tc>
        <w:tc>
          <w:tcPr>
            <w:tcW w:type="dxa" w:w="3312"/>
          </w:tcPr>
          <w:p>
            <w:r>
              <w:t>Useful for monthly and quarterly data</w:t>
            </w:r>
          </w:p>
        </w:tc>
      </w:tr>
      <w:tr>
        <w:tc>
          <w:tcPr>
            <w:tcW w:type="dxa" w:w="3312"/>
          </w:tcPr>
          <w:p>
            <w:r>
              <w:t>source_url / source_file / retrieval_time</w:t>
            </w:r>
          </w:p>
        </w:tc>
        <w:tc>
          <w:tcPr>
            <w:tcW w:type="dxa" w:w="3312"/>
          </w:tcPr>
          <w:p>
            <w:r>
              <w:t>Audit and reproducibility</w:t>
            </w:r>
          </w:p>
        </w:tc>
        <w:tc>
          <w:tcPr>
            <w:tcW w:type="dxa" w:w="3312"/>
          </w:tcPr>
          <w:p>
            <w:r>
              <w:t>Retain raw file version</w:t>
            </w:r>
          </w:p>
        </w:tc>
      </w:tr>
      <w:tr>
        <w:tc>
          <w:tcPr>
            <w:tcW w:type="dxa" w:w="3312"/>
          </w:tcPr>
          <w:p>
            <w:r>
              <w:t>corporate_action_adjustment_flag</w:t>
            </w:r>
          </w:p>
        </w:tc>
        <w:tc>
          <w:tcPr>
            <w:tcW w:type="dxa" w:w="3312"/>
          </w:tcPr>
          <w:p>
            <w:r>
              <w:t>Detect changes in share base</w:t>
            </w:r>
          </w:p>
        </w:tc>
        <w:tc>
          <w:tcPr>
            <w:tcW w:type="dxa" w:w="3312"/>
          </w:tcPr>
          <w:p>
            <w:r>
              <w:t>Track splits, bonuses, buybacks, issuance</w:t>
            </w:r>
          </w:p>
        </w:tc>
      </w:tr>
    </w:tbl>
    <w:p>
      <w:pPr>
        <w:pStyle w:val="Heading2"/>
      </w:pPr>
      <w:r>
        <w:t>6.2 Recommended raw tables</w:t>
      </w:r>
    </w:p>
    <w:p>
      <w:pPr>
        <w:pStyle w:val="ListBullet"/>
      </w:pPr>
      <w:r>
        <w:t>institutional_flow_raw: source, date/period, investor group, market segment, purchases, sales, net flow, units, publication timestamp.</w:t>
      </w:r>
    </w:p>
    <w:p>
      <w:pPr>
        <w:pStyle w:val="ListBullet"/>
      </w:pPr>
      <w:r>
        <w:t>shareholding_pattern_raw: issuer ID, filing period, filing/publication timestamp, category, shares, percentage, source labels, filing version.</w:t>
      </w:r>
    </w:p>
    <w:p>
      <w:pPr>
        <w:pStyle w:val="ListBullet"/>
      </w:pPr>
      <w:r>
        <w:t>promoter_encumbrance_raw: issuer ID, date, promoter shares, pledged/encumbered shares, disclosed ratio, event type, publication timestamp.</w:t>
      </w:r>
    </w:p>
    <w:p>
      <w:pPr>
        <w:pStyle w:val="ListBullet"/>
      </w:pPr>
      <w:r>
        <w:t>institutional_holders_raw: issuer ID, holder name or normalized holder ID, shares, ownership percentage, quarter, source and availability timestamp.</w:t>
      </w:r>
    </w:p>
    <w:p>
      <w:pPr>
        <w:pStyle w:val="ListBullet"/>
      </w:pPr>
      <w:r>
        <w:t>market_positioning_raw: date, contract/segment, participant category, long OI, short OI, net position, units, source definition.</w:t>
      </w:r>
    </w:p>
    <w:p>
      <w:pPr>
        <w:pStyle w:val="ListBullet"/>
      </w:pPr>
      <w:r>
        <w:t>ownership_events_raw: issuer ID, event type, announcement timestamp, transaction date, disclosed value/shares, direction if known, source link.</w:t>
      </w:r>
    </w:p>
    <w:p>
      <w:pPr>
        <w:pStyle w:val="ListBullet"/>
      </w:pPr>
      <w:r>
        <w:t>security_master_history: ISIN, symbol, company ID, listing dates, symbol changes, delisting dates, corporate actions.</w:t>
      </w:r>
    </w:p>
    <w:p>
      <w:pPr>
        <w:pStyle w:val="Heading1"/>
      </w:pPr>
      <w:r>
        <w:t>7. Indian Data Sources to Investigate</w:t>
      </w:r>
    </w:p>
    <w:p>
      <w:pPr>
        <w:pStyle w:val="ListBullet"/>
      </w:pPr>
      <w:r>
        <w:rPr>
          <w:b/>
        </w:rPr>
        <w:t xml:space="preserve">NSE FII/FPI and DII reports — </w:t>
      </w:r>
      <w:r>
        <w:t>https://www.nseindia.com/reports/fii-dii</w:t>
        <w:br/>
        <w:t>Primary starting point for exchange-published aggregate institutional activity. Check market segment, units, publication schedule, history, and whether values are provisional or revised.</w:t>
      </w:r>
    </w:p>
    <w:p>
      <w:pPr>
        <w:pStyle w:val="ListBullet"/>
      </w:pPr>
      <w:r>
        <w:rPr>
          <w:b/>
        </w:rPr>
        <w:t xml:space="preserve">NSE All Reports — </w:t>
      </w:r>
      <w:r>
        <w:t>https://www.nseindia.com/all-reports</w:t>
        <w:br/>
        <w:t>Central index for exchange reports, including derivatives/participant reports and other market data. Report names and download structure can change.</w:t>
      </w:r>
    </w:p>
    <w:p>
      <w:pPr>
        <w:pStyle w:val="ListBullet"/>
      </w:pPr>
      <w:r>
        <w:rPr>
          <w:b/>
        </w:rPr>
        <w:t xml:space="preserve">NSE corporate filings / shareholding pattern — </w:t>
      </w:r>
      <w:r>
        <w:t>https://www.nseindia.com/companies-listing/corporate-filings-shareholding-pattern</w:t>
        <w:br/>
        <w:t>Issuer-level shareholding filings. Verify filing period, publication time, categories, and whether a structured download or API is available.</w:t>
      </w:r>
    </w:p>
    <w:p>
      <w:pPr>
        <w:pStyle w:val="ListBullet"/>
      </w:pPr>
      <w:r>
        <w:rPr>
          <w:b/>
        </w:rPr>
        <w:t xml:space="preserve">BSE corporate filings — </w:t>
      </w:r>
      <w:r>
        <w:t>https://www.bseindia.com/</w:t>
        <w:br/>
        <w:t>Alternative official exchange source for issuer filings, disclosures, bulk/block deals and shareholding information. Navigate to the relevant corporate filings section and validate historical coverage.</w:t>
      </w:r>
    </w:p>
    <w:p>
      <w:pPr>
        <w:pStyle w:val="ListBullet"/>
      </w:pPr>
      <w:r>
        <w:rPr>
          <w:b/>
        </w:rPr>
        <w:t xml:space="preserve">SEBI — </w:t>
      </w:r>
      <w:r>
        <w:t>https://www.sebi.gov.in/</w:t>
        <w:br/>
        <w:t>Regulatory circulars, FPI rules, disclosures, investor statistics and policy context. Useful for understanding definitions and changes.</w:t>
      </w:r>
    </w:p>
    <w:p>
      <w:pPr>
        <w:pStyle w:val="ListBullet"/>
      </w:pPr>
      <w:r>
        <w:rPr>
          <w:b/>
        </w:rPr>
        <w:t xml:space="preserve">NSDL FPI — </w:t>
      </w:r>
      <w:r>
        <w:t>https://www.fpi.nsdl.co.in/</w:t>
        <w:br/>
        <w:t>FPI statistics and flow-related information. Confirm whether the measure is equity-only, debt, hybrid, or aggregate and how dates are defined.</w:t>
      </w:r>
    </w:p>
    <w:p>
      <w:pPr>
        <w:pStyle w:val="ListBullet"/>
      </w:pPr>
      <w:r>
        <w:rPr>
          <w:b/>
        </w:rPr>
        <w:t xml:space="preserve">AMFI — </w:t>
      </w:r>
      <w:r>
        <w:t>https://www.amfiindia.com/research-information/other-data</w:t>
        <w:br/>
        <w:t>Mutual-fund industry statistics and other data. Industry-wide flows are not the same as issuer-level holdings.</w:t>
      </w:r>
    </w:p>
    <w:p>
      <w:pPr>
        <w:pStyle w:val="ListBullet"/>
      </w:pPr>
      <w:r>
        <w:rPr>
          <w:b/>
        </w:rPr>
        <w:t xml:space="preserve">CDSL — </w:t>
      </w:r>
      <w:r>
        <w:t>https://www.cdslindia.com/</w:t>
        <w:br/>
        <w:t>Depository and market-related statistics. Determine whether the desired issuer-level or investor-level fields are publicly available and legally usable.</w:t>
      </w:r>
    </w:p>
    <w:p>
      <w:pPr>
        <w:pStyle w:val="ListBullet"/>
      </w:pPr>
      <w:r>
        <w:rPr>
          <w:b/>
        </w:rPr>
        <w:t xml:space="preserve">RBI DBIE — </w:t>
      </w:r>
      <w:r>
        <w:t>https://dbie.rbi.org.in/</w:t>
        <w:br/>
        <w:t>External-sector and macro-financial context that may help interpret cross-border flow regimes; not a substitute for stock-specific ownership filings.</w:t>
      </w:r>
    </w:p>
    <w:p>
      <w:r>
        <w:t>Source caution: official sites can change URL paths, download formats, and historical availability. Treat the URLs above as starting points to verify during implementation, not a guarantee of a stable API or unrestricted bulk-download endpoint. Respect terms of use, rate limits, and applicable data licensing.</w:t>
      </w:r>
    </w:p>
    <w:p>
      <w:pPr>
        <w:pStyle w:val="Heading1"/>
      </w:pPr>
      <w:r>
        <w:t>8. Source Comparison and Practical Trade-offs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Source/type</w:t>
            </w:r>
          </w:p>
        </w:tc>
        <w:tc>
          <w:tcPr>
            <w:tcW w:type="dxa" w:w="2484"/>
          </w:tcPr>
          <w:p>
            <w:r>
              <w:t>Strength</w:t>
            </w:r>
          </w:p>
        </w:tc>
        <w:tc>
          <w:tcPr>
            <w:tcW w:type="dxa" w:w="2484"/>
          </w:tcPr>
          <w:p>
            <w:r>
              <w:t>Weakness / risk</w:t>
            </w:r>
          </w:p>
        </w:tc>
        <w:tc>
          <w:tcPr>
            <w:tcW w:type="dxa" w:w="2484"/>
          </w:tcPr>
          <w:p>
            <w:r>
              <w:t>Best use</w:t>
            </w:r>
          </w:p>
        </w:tc>
      </w:tr>
      <w:tr>
        <w:tc>
          <w:tcPr>
            <w:tcW w:type="dxa" w:w="2484"/>
          </w:tcPr>
          <w:p>
            <w:r>
              <w:t>NSE aggregate flow reports</w:t>
            </w:r>
          </w:p>
        </w:tc>
        <w:tc>
          <w:tcPr>
            <w:tcW w:type="dxa" w:w="2484"/>
          </w:tcPr>
          <w:p>
            <w:r>
              <w:t>Official, direct market context</w:t>
            </w:r>
          </w:p>
        </w:tc>
        <w:tc>
          <w:tcPr>
            <w:tcW w:type="dxa" w:w="2484"/>
          </w:tcPr>
          <w:p>
            <w:r>
              <w:t>Often not issuer-specific; report definitions may vary</w:t>
            </w:r>
          </w:p>
        </w:tc>
        <w:tc>
          <w:tcPr>
            <w:tcW w:type="dxa" w:w="2484"/>
          </w:tcPr>
          <w:p>
            <w:r>
              <w:t>Market-wide features and regime context</w:t>
            </w:r>
          </w:p>
        </w:tc>
      </w:tr>
      <w:tr>
        <w:tc>
          <w:tcPr>
            <w:tcW w:type="dxa" w:w="2484"/>
          </w:tcPr>
          <w:p>
            <w:r>
              <w:t>Issuer shareholding filings</w:t>
            </w:r>
          </w:p>
        </w:tc>
        <w:tc>
          <w:tcPr>
            <w:tcW w:type="dxa" w:w="2484"/>
          </w:tcPr>
          <w:p>
            <w:r>
              <w:t>Issuer-level ownership composition</w:t>
            </w:r>
          </w:p>
        </w:tc>
        <w:tc>
          <w:tcPr>
            <w:tcW w:type="dxa" w:w="2484"/>
          </w:tcPr>
          <w:p>
            <w:r>
              <w:t>Quarterly cadence, publication lag, category changes</w:t>
            </w:r>
          </w:p>
        </w:tc>
        <w:tc>
          <w:tcPr>
            <w:tcW w:type="dxa" w:w="2484"/>
          </w:tcPr>
          <w:p>
            <w:r>
              <w:t>Slow-moving ownership features</w:t>
            </w:r>
          </w:p>
        </w:tc>
      </w:tr>
      <w:tr>
        <w:tc>
          <w:tcPr>
            <w:tcW w:type="dxa" w:w="2484"/>
          </w:tcPr>
          <w:p>
            <w:r>
              <w:t>Promoter pledge disclosures</w:t>
            </w:r>
          </w:p>
        </w:tc>
        <w:tc>
          <w:tcPr>
            <w:tcW w:type="dxa" w:w="2484"/>
          </w:tcPr>
          <w:p>
            <w:r>
              <w:t>Potential governance/leverage risk context</w:t>
            </w:r>
          </w:p>
        </w:tc>
        <w:tc>
          <w:tcPr>
            <w:tcW w:type="dxa" w:w="2484"/>
          </w:tcPr>
          <w:p>
            <w:r>
              <w:t>Denominator confusion; event disclosures may be fragmented</w:t>
            </w:r>
          </w:p>
        </w:tc>
        <w:tc>
          <w:tcPr>
            <w:tcW w:type="dxa" w:w="2484"/>
          </w:tcPr>
          <w:p>
            <w:r>
              <w:t>Pledge levels and changes</w:t>
            </w:r>
          </w:p>
        </w:tc>
      </w:tr>
      <w:tr>
        <w:tc>
          <w:tcPr>
            <w:tcW w:type="dxa" w:w="2484"/>
          </w:tcPr>
          <w:p>
            <w:r>
              <w:t>NSDL/other FPI statistics</w:t>
            </w:r>
          </w:p>
        </w:tc>
        <w:tc>
          <w:tcPr>
            <w:tcW w:type="dxa" w:w="2484"/>
          </w:tcPr>
          <w:p>
            <w:r>
              <w:t>Useful foreign-flow context</w:t>
            </w:r>
          </w:p>
        </w:tc>
        <w:tc>
          <w:tcPr>
            <w:tcW w:type="dxa" w:w="2484"/>
          </w:tcPr>
          <w:p>
            <w:r>
              <w:t>May use different classifications or periods than exchange series</w:t>
            </w:r>
          </w:p>
        </w:tc>
        <w:tc>
          <w:tcPr>
            <w:tcW w:type="dxa" w:w="2484"/>
          </w:tcPr>
          <w:p>
            <w:r>
              <w:t>Cross-checking and macro context</w:t>
            </w:r>
          </w:p>
        </w:tc>
      </w:tr>
      <w:tr>
        <w:tc>
          <w:tcPr>
            <w:tcW w:type="dxa" w:w="2484"/>
          </w:tcPr>
          <w:p>
            <w:r>
              <w:t>AMFI industry statistics</w:t>
            </w:r>
          </w:p>
        </w:tc>
        <w:tc>
          <w:tcPr>
            <w:tcW w:type="dxa" w:w="2484"/>
          </w:tcPr>
          <w:p>
            <w:r>
              <w:t>Mutual-fund industry trend context</w:t>
            </w:r>
          </w:p>
        </w:tc>
        <w:tc>
          <w:tcPr>
            <w:tcW w:type="dxa" w:w="2484"/>
          </w:tcPr>
          <w:p>
            <w:r>
              <w:t>Industry net flows do not identify each stock bought</w:t>
            </w:r>
          </w:p>
        </w:tc>
        <w:tc>
          <w:tcPr>
            <w:tcW w:type="dxa" w:w="2484"/>
          </w:tcPr>
          <w:p>
            <w:r>
              <w:t>Market regime features</w:t>
            </w:r>
          </w:p>
        </w:tc>
      </w:tr>
      <w:tr>
        <w:tc>
          <w:tcPr>
            <w:tcW w:type="dxa" w:w="2484"/>
          </w:tcPr>
          <w:p>
            <w:r>
              <w:t>Bulk/block disclosures</w:t>
            </w:r>
          </w:p>
        </w:tc>
        <w:tc>
          <w:tcPr>
            <w:tcW w:type="dxa" w:w="2484"/>
          </w:tcPr>
          <w:p>
            <w:r>
              <w:t>Issuer-level event evidence</w:t>
            </w:r>
          </w:p>
        </w:tc>
        <w:tc>
          <w:tcPr>
            <w:tcW w:type="dxa" w:w="2484"/>
          </w:tcPr>
          <w:p>
            <w:r>
              <w:t>Trade purpose and beneficial owner may be unclear</w:t>
            </w:r>
          </w:p>
        </w:tc>
        <w:tc>
          <w:tcPr>
            <w:tcW w:type="dxa" w:w="2484"/>
          </w:tcPr>
          <w:p>
            <w:r>
              <w:t>Event study and event flags</w:t>
            </w:r>
          </w:p>
        </w:tc>
      </w:tr>
      <w:tr>
        <w:tc>
          <w:tcPr>
            <w:tcW w:type="dxa" w:w="2484"/>
          </w:tcPr>
          <w:p>
            <w:r>
              <w:t>Participant-wise derivatives reports</w:t>
            </w:r>
          </w:p>
        </w:tc>
        <w:tc>
          <w:tcPr>
            <w:tcW w:type="dxa" w:w="2484"/>
          </w:tcPr>
          <w:p>
            <w:r>
              <w:t>Positioning context for broad market</w:t>
            </w:r>
          </w:p>
        </w:tc>
        <w:tc>
          <w:tcPr>
            <w:tcW w:type="dxa" w:w="2484"/>
          </w:tcPr>
          <w:p>
            <w:r>
              <w:t>Aggregate categories; not stock-level short interest</w:t>
            </w:r>
          </w:p>
        </w:tc>
        <w:tc>
          <w:tcPr>
            <w:tcW w:type="dxa" w:w="2484"/>
          </w:tcPr>
          <w:p>
            <w:r>
              <w:t>Market-wide positioning regime</w:t>
            </w:r>
          </w:p>
        </w:tc>
      </w:tr>
    </w:tbl>
    <w:p>
      <w:pPr>
        <w:pStyle w:val="Heading1"/>
      </w:pPr>
      <w:r>
        <w:t>9. Availability, Timing, and Look-Ahead Leakage</w:t>
      </w:r>
    </w:p>
    <w:p>
      <w:r>
        <w:t>For prediction, a value is usable only after it was publicly available to the model. The period described by a report is not necessarily the date it became available.</w:t>
      </w:r>
    </w:p>
    <w:p>
      <w:pPr>
        <w:pStyle w:val="ListBullet"/>
      </w:pPr>
      <w:r>
        <w:t>Daily flow report: store the report's actual publication timestamp, not just the trading date. If timestamp cannot be verified, use a conservative next-session availability assumption and document it.</w:t>
      </w:r>
    </w:p>
    <w:p>
      <w:pPr>
        <w:pStyle w:val="ListBullet"/>
      </w:pPr>
      <w:r>
        <w:t>Quarterly ownership: use the actual filing/publication timestamp. Never apply quarter-end holdings to the entire quarter if they were published weeks later.</w:t>
      </w:r>
    </w:p>
    <w:p>
      <w:pPr>
        <w:pStyle w:val="ListBullet"/>
      </w:pPr>
      <w:r>
        <w:t>Revisions: keep both original and revised values where possible; backtests should use the version available at the historical prediction time.</w:t>
      </w:r>
    </w:p>
    <w:p>
      <w:pPr>
        <w:pStyle w:val="ListBullet"/>
      </w:pPr>
      <w:r>
        <w:t>Corporate actions: splits, bonus issues, buybacks, fresh issuance, and conversions can change share counts and percentages without a comparable change in investor conviction.</w:t>
      </w:r>
    </w:p>
    <w:p>
      <w:pPr>
        <w:pStyle w:val="ListBullet"/>
      </w:pPr>
      <w:r>
        <w:t>Category reclassification: an investor moving between report categories or a change in disclosure rules can create false jumps.</w:t>
      </w:r>
    </w:p>
    <w:p>
      <w:pPr>
        <w:pStyle w:val="ListBullet"/>
      </w:pPr>
      <w:r>
        <w:t>Timezone and trading calendar: normalize timestamps to India Standard Time and align features to exchange sessions.</w:t>
      </w:r>
    </w:p>
    <w:p>
      <w:pPr>
        <w:pStyle w:val="ListBullet"/>
      </w:pPr>
      <w:r>
        <w:t>Delayed filing and missing data: absence of a filing is not zero ownership or zero pledge. Represent missingness explicitly.</w:t>
      </w:r>
    </w:p>
    <w:p>
      <w:pPr>
        <w:pStyle w:val="ListBullet"/>
      </w:pPr>
      <w:r>
        <w:t>Survivorship bias: include delisted, merged, renamed, suspended, and failed firms in historical research when feasible.</w:t>
      </w:r>
    </w:p>
    <w:p>
      <w:pPr>
        <w:pStyle w:val="ListBullet"/>
      </w:pPr>
      <w:r>
        <w:t>Feature/label separation: calculate features only from information available at the forecast cutoff; define the target return horizon after that cutoff.</w:t>
      </w:r>
    </w:p>
    <w:p>
      <w:r>
        <w:t>A safe pattern is to store observation_date, published_at, available_from, and ingested_at separately. Backtesting should join on available_from, not merely on the period end date.</w:t>
      </w:r>
    </w:p>
    <w:p>
      <w:pPr>
        <w:pStyle w:val="Heading1"/>
      </w:pPr>
      <w:r>
        <w:t>10. Data Quality and Engineering Plan</w:t>
      </w:r>
    </w:p>
    <w:p>
      <w:pPr>
        <w:pStyle w:val="ListNumber"/>
      </w:pPr>
      <w:r>
        <w:t>Collect a small sample of reports and filings manually to confirm schemas, units, date meanings, and download stability.</w:t>
      </w:r>
    </w:p>
    <w:p>
      <w:pPr>
        <w:pStyle w:val="ListNumber"/>
      </w:pPr>
      <w:r>
        <w:t>Save immutable raw files with retrieval timestamps and checksums; retain the source URL and original filename.</w:t>
      </w:r>
    </w:p>
    <w:p>
      <w:pPr>
        <w:pStyle w:val="ListNumber"/>
      </w:pPr>
      <w:r>
        <w:t>Normalize issuer identities using ISIN and a security-master history rather than symbol alone.</w:t>
      </w:r>
    </w:p>
    <w:p>
      <w:pPr>
        <w:pStyle w:val="ListNumber"/>
      </w:pPr>
      <w:r>
        <w:t>Standardize currency units and percentages, but retain original raw values and units for auditability.</w:t>
      </w:r>
    </w:p>
    <w:p>
      <w:pPr>
        <w:pStyle w:val="ListNumber"/>
      </w:pPr>
      <w:r>
        <w:t>Reconcile net flow to purchases minus sales where both are supplied; flag mismatches instead of silently overwriting source values.</w:t>
      </w:r>
    </w:p>
    <w:p>
      <w:pPr>
        <w:pStyle w:val="ListNumber"/>
      </w:pPr>
      <w:r>
        <w:t>Validate ownership totals against reported totals and record rounding differences. Do not force categories to sum to 100% if source definitions overlap or exclude categories.</w:t>
      </w:r>
    </w:p>
    <w:p>
      <w:pPr>
        <w:pStyle w:val="ListNumber"/>
      </w:pPr>
      <w:r>
        <w:t>Compare exchange, depository, and regulator series only after confirming that their definitions and periods match.</w:t>
      </w:r>
    </w:p>
    <w:p>
      <w:pPr>
        <w:pStyle w:val="ListNumber"/>
      </w:pPr>
      <w:r>
        <w:t>Version feature code and create a reproducible point-in-time dataset snapshot.</w:t>
      </w:r>
    </w:p>
    <w:p>
      <w:pPr>
        <w:pStyle w:val="Heading1"/>
      </w:pPr>
      <w:r>
        <w:t>11. Candidate Feature Set for an Initial Model</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Frequency / level</w:t>
            </w:r>
          </w:p>
        </w:tc>
        <w:tc>
          <w:tcPr>
            <w:tcW w:type="dxa" w:w="3312"/>
          </w:tcPr>
          <w:p>
            <w:r>
              <w:t>Caution</w:t>
            </w:r>
          </w:p>
        </w:tc>
      </w:tr>
      <w:tr>
        <w:tc>
          <w:tcPr>
            <w:tcW w:type="dxa" w:w="3312"/>
          </w:tcPr>
          <w:p>
            <w:r>
              <w:t>FPI/FII net flow and 5/20-session rolling sum</w:t>
            </w:r>
          </w:p>
        </w:tc>
        <w:tc>
          <w:tcPr>
            <w:tcW w:type="dxa" w:w="3312"/>
          </w:tcPr>
          <w:p>
            <w:r>
              <w:t>Daily, market-level</w:t>
            </w:r>
          </w:p>
        </w:tc>
        <w:tc>
          <w:tcPr>
            <w:tcW w:type="dxa" w:w="3312"/>
          </w:tcPr>
          <w:p>
            <w:r>
              <w:t>May not represent flows into the target stock</w:t>
            </w:r>
          </w:p>
        </w:tc>
      </w:tr>
      <w:tr>
        <w:tc>
          <w:tcPr>
            <w:tcW w:type="dxa" w:w="3312"/>
          </w:tcPr>
          <w:p>
            <w:r>
              <w:t>DII net flow and rolling persistence</w:t>
            </w:r>
          </w:p>
        </w:tc>
        <w:tc>
          <w:tcPr>
            <w:tcW w:type="dxa" w:w="3312"/>
          </w:tcPr>
          <w:p>
            <w:r>
              <w:t>Daily, market-level</w:t>
            </w:r>
          </w:p>
        </w:tc>
        <w:tc>
          <w:tcPr>
            <w:tcW w:type="dxa" w:w="3312"/>
          </w:tcPr>
          <w:p>
            <w:r>
              <w:t>Interpret jointly with foreign flows and market conditions</w:t>
            </w:r>
          </w:p>
        </w:tc>
      </w:tr>
      <w:tr>
        <w:tc>
          <w:tcPr>
            <w:tcW w:type="dxa" w:w="3312"/>
          </w:tcPr>
          <w:p>
            <w:r>
              <w:t>FPI minus DII net flow</w:t>
            </w:r>
          </w:p>
        </w:tc>
        <w:tc>
          <w:tcPr>
            <w:tcW w:type="dxa" w:w="3312"/>
          </w:tcPr>
          <w:p>
            <w:r>
              <w:t>Daily, market-level</w:t>
            </w:r>
          </w:p>
        </w:tc>
        <w:tc>
          <w:tcPr>
            <w:tcW w:type="dxa" w:w="3312"/>
          </w:tcPr>
          <w:p>
            <w:r>
              <w:t>Only if series are definitionally comparable</w:t>
            </w:r>
          </w:p>
        </w:tc>
      </w:tr>
      <w:tr>
        <w:tc>
          <w:tcPr>
            <w:tcW w:type="dxa" w:w="3312"/>
          </w:tcPr>
          <w:p>
            <w:r>
              <w:t>Promoter ownership percentage</w:t>
            </w:r>
          </w:p>
        </w:tc>
        <w:tc>
          <w:tcPr>
            <w:tcW w:type="dxa" w:w="3312"/>
          </w:tcPr>
          <w:p>
            <w:r>
              <w:t>Quarterly, issuer-level</w:t>
            </w:r>
          </w:p>
        </w:tc>
        <w:tc>
          <w:tcPr>
            <w:tcW w:type="dxa" w:w="3312"/>
          </w:tcPr>
          <w:p>
            <w:r>
              <w:t>Use after actual filing publication</w:t>
            </w:r>
          </w:p>
        </w:tc>
      </w:tr>
      <w:tr>
        <w:tc>
          <w:tcPr>
            <w:tcW w:type="dxa" w:w="3312"/>
          </w:tcPr>
          <w:p>
            <w:r>
              <w:t>Promoter ownership change in percentage points</w:t>
            </w:r>
          </w:p>
        </w:tc>
        <w:tc>
          <w:tcPr>
            <w:tcW w:type="dxa" w:w="3312"/>
          </w:tcPr>
          <w:p>
            <w:r>
              <w:t>Quarterly, issuer-level</w:t>
            </w:r>
          </w:p>
        </w:tc>
        <w:tc>
          <w:tcPr>
            <w:tcW w:type="dxa" w:w="3312"/>
          </w:tcPr>
          <w:p>
            <w:r>
              <w:t>Adjust for share-base changes and corporate actions</w:t>
            </w:r>
          </w:p>
        </w:tc>
      </w:tr>
      <w:tr>
        <w:tc>
          <w:tcPr>
            <w:tcW w:type="dxa" w:w="3312"/>
          </w:tcPr>
          <w:p>
            <w:r>
              <w:t>Institutional ownership percentage / change</w:t>
            </w:r>
          </w:p>
        </w:tc>
        <w:tc>
          <w:tcPr>
            <w:tcW w:type="dxa" w:w="3312"/>
          </w:tcPr>
          <w:p>
            <w:r>
              <w:t>Quarterly, issuer-level</w:t>
            </w:r>
          </w:p>
        </w:tc>
        <w:tc>
          <w:tcPr>
            <w:tcW w:type="dxa" w:w="3312"/>
          </w:tcPr>
          <w:p>
            <w:r>
              <w:t>Category definitions can change</w:t>
            </w:r>
          </w:p>
        </w:tc>
      </w:tr>
      <w:tr>
        <w:tc>
          <w:tcPr>
            <w:tcW w:type="dxa" w:w="3312"/>
          </w:tcPr>
          <w:p>
            <w:r>
              <w:t>Mutual fund ownership percentage / change</w:t>
            </w:r>
          </w:p>
        </w:tc>
        <w:tc>
          <w:tcPr>
            <w:tcW w:type="dxa" w:w="3312"/>
          </w:tcPr>
          <w:p>
            <w:r>
              <w:t>Quarterly, issuer-level</w:t>
            </w:r>
          </w:p>
        </w:tc>
        <w:tc>
          <w:tcPr>
            <w:tcW w:type="dxa" w:w="3312"/>
          </w:tcPr>
          <w:p>
            <w:r>
              <w:t>Ensure consistent disclosed category and denominator</w:t>
            </w:r>
          </w:p>
        </w:tc>
      </w:tr>
      <w:tr>
        <w:tc>
          <w:tcPr>
            <w:tcW w:type="dxa" w:w="3312"/>
          </w:tcPr>
          <w:p>
            <w:r>
              <w:t>Promoter pledged shares / promoter shares</w:t>
            </w:r>
          </w:p>
        </w:tc>
        <w:tc>
          <w:tcPr>
            <w:tcW w:type="dxa" w:w="3312"/>
          </w:tcPr>
          <w:p>
            <w:r>
              <w:t>Event/quarterly, issuer-level</w:t>
            </w:r>
          </w:p>
        </w:tc>
        <w:tc>
          <w:tcPr>
            <w:tcW w:type="dxa" w:w="3312"/>
          </w:tcPr>
          <w:p>
            <w:r>
              <w:t>Keep separate from pledge / total shares</w:t>
            </w:r>
          </w:p>
        </w:tc>
      </w:tr>
      <w:tr>
        <w:tc>
          <w:tcPr>
            <w:tcW w:type="dxa" w:w="3312"/>
          </w:tcPr>
          <w:p>
            <w:r>
              <w:t>Pledge change and new-pledge event flag</w:t>
            </w:r>
          </w:p>
        </w:tc>
        <w:tc>
          <w:tcPr>
            <w:tcW w:type="dxa" w:w="3312"/>
          </w:tcPr>
          <w:p>
            <w:r>
              <w:t>Event/quarterly, issuer-level</w:t>
            </w:r>
          </w:p>
        </w:tc>
        <w:tc>
          <w:tcPr>
            <w:tcW w:type="dxa" w:w="3312"/>
          </w:tcPr>
          <w:p>
            <w:r>
              <w:t>Use announcement availability timestamp</w:t>
            </w:r>
          </w:p>
        </w:tc>
      </w:tr>
      <w:tr>
        <w:tc>
          <w:tcPr>
            <w:tcW w:type="dxa" w:w="3312"/>
          </w:tcPr>
          <w:p>
            <w:r>
              <w:t>Ownership concentration proxy</w:t>
            </w:r>
          </w:p>
        </w:tc>
        <w:tc>
          <w:tcPr>
            <w:tcW w:type="dxa" w:w="3312"/>
          </w:tcPr>
          <w:p>
            <w:r>
              <w:t>Quarterly, issuer-level</w:t>
            </w:r>
          </w:p>
        </w:tc>
        <w:tc>
          <w:tcPr>
            <w:tcW w:type="dxa" w:w="3312"/>
          </w:tcPr>
          <w:p>
            <w:r>
              <w:t>Disclosed holdings may not identify beneficial ownership fully</w:t>
            </w:r>
          </w:p>
        </w:tc>
      </w:tr>
      <w:tr>
        <w:tc>
          <w:tcPr>
            <w:tcW w:type="dxa" w:w="3312"/>
          </w:tcPr>
          <w:p>
            <w:r>
              <w:t>Bulk/block transaction event flag and disclosed size</w:t>
            </w:r>
          </w:p>
        </w:tc>
        <w:tc>
          <w:tcPr>
            <w:tcW w:type="dxa" w:w="3312"/>
          </w:tcPr>
          <w:p>
            <w:r>
              <w:t>Event, issuer-level</w:t>
            </w:r>
          </w:p>
        </w:tc>
        <w:tc>
          <w:tcPr>
            <w:tcW w:type="dxa" w:w="3312"/>
          </w:tcPr>
          <w:p>
            <w:r>
              <w:t>A trade's motive may be unknown</w:t>
            </w:r>
          </w:p>
        </w:tc>
      </w:tr>
      <w:tr>
        <w:tc>
          <w:tcPr>
            <w:tcW w:type="dxa" w:w="3312"/>
          </w:tcPr>
          <w:p>
            <w:r>
              <w:t>Broad-market derivatives net positioning / OI change</w:t>
            </w:r>
          </w:p>
        </w:tc>
        <w:tc>
          <w:tcPr>
            <w:tcW w:type="dxa" w:w="3312"/>
          </w:tcPr>
          <w:p>
            <w:r>
              <w:t>Daily, market-level</w:t>
            </w:r>
          </w:p>
        </w:tc>
        <w:tc>
          <w:tcPr>
            <w:tcW w:type="dxa" w:w="3312"/>
          </w:tcPr>
          <w:p>
            <w:r>
              <w:t>Do not label as stock-specific short interest</w:t>
            </w:r>
          </w:p>
        </w:tc>
      </w:tr>
      <w:tr>
        <w:tc>
          <w:tcPr>
            <w:tcW w:type="dxa" w:w="3312"/>
          </w:tcPr>
          <w:p>
            <w:r>
              <w:t>Days since last published ownership filing</w:t>
            </w:r>
          </w:p>
        </w:tc>
        <w:tc>
          <w:tcPr>
            <w:tcW w:type="dxa" w:w="3312"/>
          </w:tcPr>
          <w:p>
            <w:r>
              <w:t>Quarterly, issuer-level</w:t>
            </w:r>
          </w:p>
        </w:tc>
        <w:tc>
          <w:tcPr>
            <w:tcW w:type="dxa" w:w="3312"/>
          </w:tcPr>
          <w:p>
            <w:r>
              <w:t>Can help model staleness, but is not a market signal itself</w:t>
            </w:r>
          </w:p>
        </w:tc>
      </w:tr>
    </w:tbl>
    <w:p>
      <w:pPr>
        <w:pStyle w:val="Heading1"/>
      </w:pPr>
      <w:r>
        <w:t>12. Research Hypotheses to Test</w:t>
      </w:r>
    </w:p>
    <w:p>
      <w:pPr>
        <w:pStyle w:val="ListBullet"/>
      </w:pPr>
      <w:r>
        <w:t>H1: Persistent market-wide institutional flows add predictive value for broad-market returns beyond price/volume features.</w:t>
      </w:r>
    </w:p>
    <w:p>
      <w:pPr>
        <w:pStyle w:val="ListBullet"/>
      </w:pPr>
      <w:r>
        <w:t>H2: Changes in issuer-level institutional ownership add value for future returns or risk after controlling for size, momentum, volatility, and liquidity.</w:t>
      </w:r>
    </w:p>
    <w:p>
      <w:pPr>
        <w:pStyle w:val="ListBullet"/>
      </w:pPr>
      <w:r>
        <w:t>H3: Rising promoter pledging or new pledge disclosures relate more strongly to downside risk or volatility than to average return.</w:t>
      </w:r>
    </w:p>
    <w:p>
      <w:pPr>
        <w:pStyle w:val="ListBullet"/>
      </w:pPr>
      <w:r>
        <w:t>H4: Ownership concentration and low free-float proxies interact with liquidity and volatility.</w:t>
      </w:r>
    </w:p>
    <w:p>
      <w:pPr>
        <w:pStyle w:val="ListBullet"/>
      </w:pPr>
      <w:r>
        <w:t>H5: Flow persistence may be more informative than a single-day flow observation.</w:t>
      </w:r>
    </w:p>
    <w:p>
      <w:pPr>
        <w:pStyle w:val="ListBullet"/>
      </w:pPr>
      <w:r>
        <w:t>H6: Flow signals differ across large-, mid-, and small-cap stocks and across high/low-volatility regimes.</w:t>
      </w:r>
    </w:p>
    <w:p>
      <w:pPr>
        <w:pStyle w:val="ListBullet"/>
      </w:pPr>
      <w:r>
        <w:t>H7: Disclosed bulk/block events have different implications depending on whether the counterparty and direction can be reliably identified.</w:t>
      </w:r>
    </w:p>
    <w:p>
      <w:r>
        <w:t>These are hypotheses, not conclusions. Pre-register the feature definitions and test them out of sample; do not choose the winning features using the final test period.</w:t>
      </w:r>
    </w:p>
    <w:p>
      <w:pPr>
        <w:pStyle w:val="Heading1"/>
      </w:pPr>
      <w:r>
        <w:t>13. Validation Plan</w:t>
      </w:r>
    </w:p>
    <w:p>
      <w:pPr>
        <w:pStyle w:val="ListNumber"/>
      </w:pPr>
      <w:r>
        <w:t>Define prediction target precisely: for example, next-session return, 5-session forward return, or a risk/volatility classification.</w:t>
      </w:r>
    </w:p>
    <w:p>
      <w:pPr>
        <w:pStyle w:val="ListNumber"/>
      </w:pPr>
      <w:r>
        <w:t>Establish a baseline using lagged price, returns, volume, volatility, and market index features.</w:t>
      </w:r>
    </w:p>
    <w:p>
      <w:pPr>
        <w:pStyle w:val="ListNumber"/>
      </w:pPr>
      <w:r>
        <w:t>Add market-wide institutional-flow features as one feature family.</w:t>
      </w:r>
    </w:p>
    <w:p>
      <w:pPr>
        <w:pStyle w:val="ListNumber"/>
      </w:pPr>
      <w:r>
        <w:t>Add issuer-level ownership and pledge features only after point-in-time availability is verified.</w:t>
      </w:r>
    </w:p>
    <w:p>
      <w:pPr>
        <w:pStyle w:val="ListNumber"/>
      </w:pPr>
      <w:r>
        <w:t>Use walk-forward or expanding-window validation; avoid random shuffling of time-series rows.</w:t>
      </w:r>
    </w:p>
    <w:p>
      <w:pPr>
        <w:pStyle w:val="ListNumber"/>
      </w:pPr>
      <w:r>
        <w:t>Compare performance by market-cap bucket, sector, liquidity tier, and market regime.</w:t>
      </w:r>
    </w:p>
    <w:p>
      <w:pPr>
        <w:pStyle w:val="ListNumber"/>
      </w:pPr>
      <w:r>
        <w:t>Evaluate realistic transaction costs, slippage, turnover, position limits, and short-sale constraints if simulating a strategy.</w:t>
      </w:r>
    </w:p>
    <w:p>
      <w:pPr>
        <w:pStyle w:val="ListNumber"/>
      </w:pPr>
      <w:r>
        <w:t>Run ablation tests to determine whether this category adds incremental value rather than duplicating existing momentum or liquidity signals.</w:t>
      </w:r>
    </w:p>
    <w:p>
      <w:pPr>
        <w:pStyle w:val="ListNumber"/>
      </w:pPr>
      <w:r>
        <w:t>Track data coverage and missingness. A feature that exists only for surviving or actively traded companies may create selection bias.</w:t>
      </w:r>
    </w:p>
    <w:p>
      <w:pPr>
        <w:pStyle w:val="Heading1"/>
      </w:pPr>
      <w:r>
        <w:t>14. Common Blockers and Mitigations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Blocker</w:t>
            </w:r>
          </w:p>
        </w:tc>
        <w:tc>
          <w:tcPr>
            <w:tcW w:type="dxa" w:w="3312"/>
          </w:tcPr>
          <w:p>
            <w:r>
              <w:t>Why it matters</w:t>
            </w:r>
          </w:p>
        </w:tc>
        <w:tc>
          <w:tcPr>
            <w:tcW w:type="dxa" w:w="3312"/>
          </w:tcPr>
          <w:p>
            <w:r>
              <w:t>Mitigation</w:t>
            </w:r>
          </w:p>
        </w:tc>
      </w:tr>
      <w:tr>
        <w:tc>
          <w:tcPr>
            <w:tcW w:type="dxa" w:w="3312"/>
          </w:tcPr>
          <w:p>
            <w:r>
              <w:t>No issuer-level daily FPI/DII flow</w:t>
            </w:r>
          </w:p>
        </w:tc>
        <w:tc>
          <w:tcPr>
            <w:tcW w:type="dxa" w:w="3312"/>
          </w:tcPr>
          <w:p>
            <w:r>
              <w:t>Aggregate flows cannot say which stock was bought</w:t>
            </w:r>
          </w:p>
        </w:tc>
        <w:tc>
          <w:tcPr>
            <w:tcW w:type="dxa" w:w="3312"/>
          </w:tcPr>
          <w:p>
            <w:r>
              <w:t>Use them as market-level context; use issuer filings/events for stock-level ownership</w:t>
            </w:r>
          </w:p>
        </w:tc>
      </w:tr>
      <w:tr>
        <w:tc>
          <w:tcPr>
            <w:tcW w:type="dxa" w:w="3312"/>
          </w:tcPr>
          <w:p>
            <w:r>
              <w:t>Quarterly reporting lag</w:t>
            </w:r>
          </w:p>
        </w:tc>
        <w:tc>
          <w:tcPr>
            <w:tcW w:type="dxa" w:w="3312"/>
          </w:tcPr>
          <w:p>
            <w:r>
              <w:t>Quarter-end values may not be known at prediction time</w:t>
            </w:r>
          </w:p>
        </w:tc>
        <w:tc>
          <w:tcPr>
            <w:tcW w:type="dxa" w:w="3312"/>
          </w:tcPr>
          <w:p>
            <w:r>
              <w:t>Use publication timestamps and point-in-time joins</w:t>
            </w:r>
          </w:p>
        </w:tc>
      </w:tr>
      <w:tr>
        <w:tc>
          <w:tcPr>
            <w:tcW w:type="dxa" w:w="3312"/>
          </w:tcPr>
          <w:p>
            <w:r>
              <w:t>Inconsistent historical formats</w:t>
            </w:r>
          </w:p>
        </w:tc>
        <w:tc>
          <w:tcPr>
            <w:tcW w:type="dxa" w:w="3312"/>
          </w:tcPr>
          <w:p>
            <w:r>
              <w:t>Parsing can break or categories can shift</w:t>
            </w:r>
          </w:p>
        </w:tc>
        <w:tc>
          <w:tcPr>
            <w:tcW w:type="dxa" w:w="3312"/>
          </w:tcPr>
          <w:p>
            <w:r>
              <w:t>Version parsers, retain raw files, add schema tests</w:t>
            </w:r>
          </w:p>
        </w:tc>
      </w:tr>
      <w:tr>
        <w:tc>
          <w:tcPr>
            <w:tcW w:type="dxa" w:w="3312"/>
          </w:tcPr>
          <w:p>
            <w:r>
              <w:t>Pledge denominator ambiguity</w:t>
            </w:r>
          </w:p>
        </w:tc>
        <w:tc>
          <w:tcPr>
            <w:tcW w:type="dxa" w:w="3312"/>
          </w:tcPr>
          <w:p>
            <w:r>
              <w:t>Can overstate or understate risk</w:t>
            </w:r>
          </w:p>
        </w:tc>
        <w:tc>
          <w:tcPr>
            <w:tcW w:type="dxa" w:w="3312"/>
          </w:tcPr>
          <w:p>
            <w:r>
              <w:t>Store shares pledged, promoter shares, total shares, and both ratios</w:t>
            </w:r>
          </w:p>
        </w:tc>
      </w:tr>
      <w:tr>
        <w:tc>
          <w:tcPr>
            <w:tcW w:type="dxa" w:w="3312"/>
          </w:tcPr>
          <w:p>
            <w:r>
              <w:t>Corporate-action distortion</w:t>
            </w:r>
          </w:p>
        </w:tc>
        <w:tc>
          <w:tcPr>
            <w:tcW w:type="dxa" w:w="3312"/>
          </w:tcPr>
          <w:p>
            <w:r>
              <w:t>Ownership percentages may jump mechanically</w:t>
            </w:r>
          </w:p>
        </w:tc>
        <w:tc>
          <w:tcPr>
            <w:tcW w:type="dxa" w:w="3312"/>
          </w:tcPr>
          <w:p>
            <w:r>
              <w:t>Use corporate-action history and compare like-for-like denominators</w:t>
            </w:r>
          </w:p>
        </w:tc>
      </w:tr>
      <w:tr>
        <w:tc>
          <w:tcPr>
            <w:tcW w:type="dxa" w:w="3312"/>
          </w:tcPr>
          <w:p>
            <w:r>
              <w:t>Aggregate derivatives data misinterpreted</w:t>
            </w:r>
          </w:p>
        </w:tc>
        <w:tc>
          <w:tcPr>
            <w:tcW w:type="dxa" w:w="3312"/>
          </w:tcPr>
          <w:p>
            <w:r>
              <w:t>Market-level positioning is not a stock short signal</w:t>
            </w:r>
          </w:p>
        </w:tc>
        <w:tc>
          <w:tcPr>
            <w:tcW w:type="dxa" w:w="3312"/>
          </w:tcPr>
          <w:p>
            <w:r>
              <w:t>Label scope clearly and avoid issuer-level claims</w:t>
            </w:r>
          </w:p>
        </w:tc>
      </w:tr>
      <w:tr>
        <w:tc>
          <w:tcPr>
            <w:tcW w:type="dxa" w:w="3312"/>
          </w:tcPr>
          <w:p>
            <w:r>
              <w:t>Access restrictions or changing URLs</w:t>
            </w:r>
          </w:p>
        </w:tc>
        <w:tc>
          <w:tcPr>
            <w:tcW w:type="dxa" w:w="3312"/>
          </w:tcPr>
          <w:p>
            <w:r>
              <w:t>Automated collection may be fragile</w:t>
            </w:r>
          </w:p>
        </w:tc>
        <w:tc>
          <w:tcPr>
            <w:tcW w:type="dxa" w:w="3312"/>
          </w:tcPr>
          <w:p>
            <w:r>
              <w:t>Check official terms, use permitted download methods, monitor source availability</w:t>
            </w:r>
          </w:p>
        </w:tc>
      </w:tr>
      <w:tr>
        <w:tc>
          <w:tcPr>
            <w:tcW w:type="dxa" w:w="3312"/>
          </w:tcPr>
          <w:p>
            <w:r>
              <w:t>Confounding / reverse causality</w:t>
            </w:r>
          </w:p>
        </w:tc>
        <w:tc>
          <w:tcPr>
            <w:tcW w:type="dxa" w:w="3312"/>
          </w:tcPr>
          <w:p>
            <w:r>
              <w:t>Flows may respond to price moves rather than predict them</w:t>
            </w:r>
          </w:p>
        </w:tc>
        <w:tc>
          <w:tcPr>
            <w:tcW w:type="dxa" w:w="3312"/>
          </w:tcPr>
          <w:p>
            <w:r>
              <w:t>Lag features, run event studies, use robust out-of-sample validation</w:t>
            </w:r>
          </w:p>
        </w:tc>
      </w:tr>
      <w:tr>
        <w:tc>
          <w:tcPr>
            <w:tcW w:type="dxa" w:w="3312"/>
          </w:tcPr>
          <w:p>
            <w:r>
              <w:t>Missing or revised reports</w:t>
            </w:r>
          </w:p>
        </w:tc>
        <w:tc>
          <w:tcPr>
            <w:tcW w:type="dxa" w:w="3312"/>
          </w:tcPr>
          <w:p>
            <w:r>
              <w:t>Historical backtest can unknowingly use future revisions</w:t>
            </w:r>
          </w:p>
        </w:tc>
        <w:tc>
          <w:tcPr>
            <w:tcW w:type="dxa" w:w="3312"/>
          </w:tcPr>
          <w:p>
            <w:r>
              <w:t>Keep vintages where possible and apply conservative availability dates</w:t>
            </w:r>
          </w:p>
        </w:tc>
      </w:tr>
    </w:tbl>
    <w:p>
      <w:pPr>
        <w:pStyle w:val="Heading1"/>
      </w:pPr>
      <w:r>
        <w:t>15. Candidate Shortlist (Not Empirically Validated)</w:t>
      </w:r>
    </w:p>
    <w:p>
      <w:r>
        <w:t>For a first prototype, the following is a practical implementation shortlist, not a claim that these variables are predictive or profitable.</w:t>
      </w:r>
    </w:p>
    <w:p>
      <w:pPr>
        <w:pStyle w:val="ListNumber"/>
      </w:pPr>
      <w:r>
        <w:t>Market-wide daily FPI/FII and DII net-flow features, with 5-session and 20-session rolling sums and sign persistence.</w:t>
      </w:r>
    </w:p>
    <w:p>
      <w:pPr>
        <w:pStyle w:val="ListNumber"/>
      </w:pPr>
      <w:r>
        <w:t>Issuer-level promoter ownership and institutional ownership percentage, using only the most recently published filing available at each prediction timestamp.</w:t>
      </w:r>
    </w:p>
    <w:p>
      <w:pPr>
        <w:pStyle w:val="ListNumber"/>
      </w:pPr>
      <w:r>
        <w:t>Promoter pledge ratios with both denominators, plus flags for new pledges or releases.</w:t>
      </w:r>
    </w:p>
    <w:p>
      <w:pPr>
        <w:pStyle w:val="ListNumber"/>
      </w:pPr>
      <w:r>
        <w:t>Issuer-level ownership change in percentage points between consecutive published shareholding patterns.</w:t>
      </w:r>
    </w:p>
    <w:p>
      <w:pPr>
        <w:pStyle w:val="ListNumber"/>
      </w:pPr>
      <w:r>
        <w:t>A market-wide derivatives positioning feature only if the report definitions are clear and the feature is not mislabeled as stock-specific short interest.</w:t>
      </w:r>
    </w:p>
    <w:p>
      <w:pPr>
        <w:pStyle w:val="ListNumber"/>
      </w:pPr>
      <w:r>
        <w:t>Bulk/block and material ownership-event flags, with announcement timestamp and disclosed transaction size where reliable.</w:t>
      </w:r>
    </w:p>
    <w:p>
      <w:pPr>
        <w:pStyle w:val="Heading1"/>
      </w:pPr>
      <w:r>
        <w:t>16. Mentor / Team Lead Summary</w:t>
      </w:r>
    </w:p>
    <w:p>
      <w:r>
        <w:t>Research scope: investigate whether investor flows, ownership composition, promoter encumbrance, and positioning context add predictive value for Indian equities. Start with official NSE aggregate FPI/FII and DII reports for broad-market context, then add issuer-level shareholding-pattern and pledge disclosures. Keep flows distinct from holdings, and do not infer individual-stock institutional buying from market-wide totals.</w:t>
      </w:r>
    </w:p>
    <w:p>
      <w:r>
        <w:t>Main engineering requirement: point-in-time correctness. The dataset must preserve the date a value describes and the timestamp when it became publicly available. Main risks are quarterly reporting lag, shifting categories, corporate-action effects, inconsistent denominators, missing history, and overinterpreting aggregate derivatives data. Proposed features are research candidates and require walk-forward validation and cost-aware testing.</w:t>
      </w:r>
    </w:p>
    <w:p>
      <w:pPr>
        <w:pStyle w:val="Heading1"/>
      </w:pPr>
      <w:r>
        <w:t>17. Implementation Checklist</w:t>
      </w:r>
    </w:p>
    <w:p>
      <w:r>
        <w:t>☐ Confirm target universe, prediction horizon, and feature cutoff time.</w:t>
      </w:r>
    </w:p>
    <w:p>
      <w:r>
        <w:t>☐ Download sample official NSE FPI/FII and DII reports and record units and definitions.</w:t>
      </w:r>
    </w:p>
    <w:p>
      <w:r>
        <w:t>☐ Find shareholding-pattern filings for a sample of NSE/BSE-listed companies.</w:t>
      </w:r>
    </w:p>
    <w:p>
      <w:r>
        <w:t>☐ Identify publication timestamps and define a conservative availability policy.</w:t>
      </w:r>
    </w:p>
    <w:p>
      <w:r>
        <w:t>☐ Create a security master using ISIN and symbol-history mappings.</w:t>
      </w:r>
    </w:p>
    <w:p>
      <w:r>
        <w:t>☐ Store raw files and parser versions for reproducibility.</w:t>
      </w:r>
    </w:p>
    <w:p>
      <w:r>
        <w:t>☐ Calculate net flows, rolling sums, persistence, ownership changes, and both pledge ratios.</w:t>
      </w:r>
    </w:p>
    <w:p>
      <w:r>
        <w:t>☐ Flag corporate actions, missing filings, category changes, and revisions.</w:t>
      </w:r>
    </w:p>
    <w:p>
      <w:r>
        <w:t>☐ Build a point-in-time backtest and compare against a price/volume baseline.</w:t>
      </w:r>
    </w:p>
    <w:p>
      <w:r>
        <w:t>☐ Document which candidate features improve out-of-sample results, if any.</w:t>
      </w:r>
    </w:p>
    <w:p>
      <w:pPr>
        <w:pStyle w:val="Heading1"/>
      </w:pPr>
      <w:r>
        <w:t>18. Glossary</w:t>
      </w:r>
    </w:p>
    <w:p>
      <w:pPr>
        <w:pStyle w:val="ListBullet"/>
      </w:pPr>
      <w:r>
        <w:rPr>
          <w:b/>
        </w:rPr>
        <w:t xml:space="preserve">FII: </w:t>
      </w:r>
      <w:r>
        <w:t>Foreign Institutional Investor; a legacy/common market term. Current regulatory reporting often uses FPI terminology.</w:t>
      </w:r>
    </w:p>
    <w:p>
      <w:pPr>
        <w:pStyle w:val="ListBullet"/>
      </w:pPr>
      <w:r>
        <w:rPr>
          <w:b/>
        </w:rPr>
        <w:t xml:space="preserve">FPI: </w:t>
      </w:r>
      <w:r>
        <w:t>Foreign Portfolio Investor, a regulatory category; check the exact scope used by each report.</w:t>
      </w:r>
    </w:p>
    <w:p>
      <w:pPr>
        <w:pStyle w:val="ListBullet"/>
      </w:pPr>
      <w:r>
        <w:rPr>
          <w:b/>
        </w:rPr>
        <w:t xml:space="preserve">DII: </w:t>
      </w:r>
      <w:r>
        <w:t>Domestic Institutional Investor; an aggregate market term whose exact constituent groups depend on the report.</w:t>
      </w:r>
    </w:p>
    <w:p>
      <w:pPr>
        <w:pStyle w:val="ListBullet"/>
      </w:pPr>
      <w:r>
        <w:rPr>
          <w:b/>
        </w:rPr>
        <w:t xml:space="preserve">Ownership percentage: </w:t>
      </w:r>
      <w:r>
        <w:t>The reported fraction of a company's shares held by a given category or holder.</w:t>
      </w:r>
    </w:p>
    <w:p>
      <w:pPr>
        <w:pStyle w:val="ListBullet"/>
      </w:pPr>
      <w:r>
        <w:rPr>
          <w:b/>
        </w:rPr>
        <w:t xml:space="preserve">Promoter group: </w:t>
      </w:r>
      <w:r>
        <w:t>The promoter and related entities as defined in applicable Indian disclosure rules.</w:t>
      </w:r>
    </w:p>
    <w:p>
      <w:pPr>
        <w:pStyle w:val="ListBullet"/>
      </w:pPr>
      <w:r>
        <w:rPr>
          <w:b/>
        </w:rPr>
        <w:t xml:space="preserve">Pledge / encumbrance: </w:t>
      </w:r>
      <w:r>
        <w:t>A security interest or other encumbrance over shares; interpret using the filing's exact definition.</w:t>
      </w:r>
    </w:p>
    <w:p>
      <w:pPr>
        <w:pStyle w:val="ListBullet"/>
      </w:pPr>
      <w:r>
        <w:rPr>
          <w:b/>
        </w:rPr>
        <w:t xml:space="preserve">Free float: </w:t>
      </w:r>
      <w:r>
        <w:t>Shares considered available for public trading under a defined methodology; not always equal to all public shareholding.</w:t>
      </w:r>
    </w:p>
    <w:p>
      <w:pPr>
        <w:pStyle w:val="ListBullet"/>
      </w:pPr>
      <w:r>
        <w:rPr>
          <w:b/>
        </w:rPr>
        <w:t xml:space="preserve">Open interest: </w:t>
      </w:r>
      <w:r>
        <w:t>Outstanding derivatives contracts that remain open; distinct from daily traded volume.</w:t>
      </w:r>
    </w:p>
    <w:p>
      <w:pPr>
        <w:pStyle w:val="ListBullet"/>
      </w:pPr>
      <w:r>
        <w:rPr>
          <w:b/>
        </w:rPr>
        <w:t xml:space="preserve">Look-ahead leakage: </w:t>
      </w:r>
      <w:r>
        <w:t>Using information in a model before it was actually available at the historical prediction time.</w:t>
      </w:r>
    </w:p>
    <w:p>
      <w:pPr>
        <w:pStyle w:val="ListBullet"/>
      </w:pPr>
      <w:r>
        <w:rPr>
          <w:b/>
        </w:rPr>
        <w:t xml:space="preserve">Percentage point: </w:t>
      </w:r>
      <w:r>
        <w:t>The arithmetic difference between two percentages; 20% minus 18% equals 2 percentage points.</w:t>
      </w:r>
    </w:p>
    <w:p>
      <w:pPr>
        <w:pStyle w:val="Heading1"/>
      </w:pPr>
      <w:r>
        <w:t>19. Reference Links</w:t>
      </w:r>
    </w:p>
    <w:p>
      <w:pPr>
        <w:pStyle w:val="Heading1"/>
      </w:pPr>
      <w:r>
        <w:t>19. Reference Links</w:t>
      </w:r>
    </w:p>
    <w:p>
      <w:pPr>
        <w:pStyle w:val="ListBullet"/>
      </w:pPr>
      <w:r>
        <w:rPr>
          <w:b/>
        </w:rPr>
        <w:t xml:space="preserve">NSE FII/FPI and DII reports: </w:t>
      </w:r>
      <w:r>
        <w:t>https://www.nseindia.com/reports/fii-dii</w:t>
      </w:r>
    </w:p>
    <w:p>
      <w:pPr>
        <w:pStyle w:val="ListBullet"/>
      </w:pPr>
      <w:r>
        <w:rPr>
          <w:b/>
        </w:rPr>
        <w:t xml:space="preserve">NSE All Reports: </w:t>
      </w:r>
      <w:r>
        <w:t>https://www.nseindia.com/all-reports</w:t>
      </w:r>
    </w:p>
    <w:p>
      <w:pPr>
        <w:pStyle w:val="ListBullet"/>
      </w:pPr>
      <w:r>
        <w:rPr>
          <w:b/>
        </w:rPr>
        <w:t xml:space="preserve">NSE corporate filings / shareholding pattern: </w:t>
      </w:r>
      <w:r>
        <w:t>https://www.nseindia.com/companies-listing/corporate-filings-shareholding-pattern</w:t>
      </w:r>
    </w:p>
    <w:p>
      <w:pPr>
        <w:pStyle w:val="ListBullet"/>
      </w:pPr>
      <w:r>
        <w:rPr>
          <w:b/>
        </w:rPr>
        <w:t xml:space="preserve">BSE corporate filings: </w:t>
      </w:r>
      <w:r>
        <w:t>https://www.bseindia.com/</w:t>
      </w:r>
    </w:p>
    <w:p>
      <w:pPr>
        <w:pStyle w:val="ListBullet"/>
      </w:pPr>
      <w:r>
        <w:rPr>
          <w:b/>
        </w:rPr>
        <w:t xml:space="preserve">SEBI: </w:t>
      </w:r>
      <w:r>
        <w:t>https://www.sebi.gov.in/</w:t>
      </w:r>
    </w:p>
    <w:p>
      <w:pPr>
        <w:pStyle w:val="ListBullet"/>
      </w:pPr>
      <w:r>
        <w:rPr>
          <w:b/>
        </w:rPr>
        <w:t xml:space="preserve">NSDL FPI: </w:t>
      </w:r>
      <w:r>
        <w:t>https://www.fpi.nsdl.co.in/</w:t>
      </w:r>
    </w:p>
    <w:p>
      <w:pPr>
        <w:pStyle w:val="ListBullet"/>
      </w:pPr>
      <w:r>
        <w:rPr>
          <w:b/>
        </w:rPr>
        <w:t xml:space="preserve">AMFI: </w:t>
      </w:r>
      <w:r>
        <w:t>https://www.amfiindia.com/research-information/other-data</w:t>
      </w:r>
    </w:p>
    <w:p>
      <w:pPr>
        <w:pStyle w:val="ListBullet"/>
      </w:pPr>
      <w:r>
        <w:rPr>
          <w:b/>
        </w:rPr>
        <w:t xml:space="preserve">CDSL: </w:t>
      </w:r>
      <w:r>
        <w:t>https://www.cdslindia.com/</w:t>
      </w:r>
    </w:p>
    <w:p>
      <w:pPr>
        <w:pStyle w:val="ListBullet"/>
      </w:pPr>
      <w:r>
        <w:rPr>
          <w:b/>
        </w:rPr>
        <w:t xml:space="preserve">RBI DBIE: </w:t>
      </w:r>
      <w:r>
        <w:t>https://dbie.rbi.org.in/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Investor Positioning, Ownership &amp; Institutional Flows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