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MACRO / INFLATION FACTOR</w:t>
        <w:br/>
        <w:t>RESEARCH FOR STOCK-MARKET PREDICTION</w:t>
      </w:r>
    </w:p>
    <w:p>
      <w:pPr>
        <w:jc w:val="center"/>
      </w:pPr>
      <w:r>
        <w:rPr>
          <w:b/>
        </w:rPr>
        <w:t>Standalone Category Research Document</w:t>
      </w:r>
      <w:r>
        <w:br/>
        <w:t>India-focused | Feature discovery | Data architecture | Leakage-aware methodology</w:t>
      </w:r>
      <w:r>
        <w:br/>
        <w:t>Research status: Candidate feature identification — not yet empirically validated</w:t>
      </w:r>
    </w:p>
    <w:p>
      <w:pPr>
        <w:pStyle w:val="Heading1"/>
      </w:pPr>
      <w:r>
        <w:t>1. Purpose &amp; project position</w:t>
      </w:r>
    </w:p>
    <w:p>
      <w:r>
        <w:t>This document treats Macro / Inflation as an independent factor category in the broader stock-market prediction project. The goal is to decompose the category into measurable economic dimensions, mathematical features, raw-data requirements, data sources, timing constraints and candidate columns. Nothing here is assumed to be predictive until it is tested.</w:t>
      </w:r>
    </w:p>
    <w:p>
      <w:r>
        <w:t>Overall research pipeline: identify factor category → understand mechanism → identify raw data → derive mathematical features → build broad candidate pool → remove redundancy → test predictive contribution → shortlist → combine shortlisted features across categories.</w:t>
      </w:r>
    </w:p>
    <w:p>
      <w:pPr>
        <w:pStyle w:val="Heading1"/>
      </w:pPr>
      <w:r>
        <w:t>2. What Macro / Inflation fundamentally represents</w:t>
      </w:r>
    </w:p>
    <w:p>
      <w:r>
        <w:t>Inflation is the rate at which the general price level of a basket of goods and services changes over time. For equity markets, the useful research question is broader than 'is inflation high?'. We need to measure the level, direction, speed, persistence, composition, surprise, volatility and interaction with interest rates.</w:t>
      </w:r>
    </w:p>
    <w:p>
      <w:r>
        <w:t>Conceptual chain: Raw CPI/components → inflation measurements → changes/trends → expectations/surprises → monetary-policy environment → market response.</w:t>
      </w:r>
    </w:p>
    <w:p>
      <w:pPr>
        <w:pStyle w:val="Heading1"/>
      </w:pPr>
      <w:r>
        <w:t>3. Why inflation can influence stocks</w:t>
      </w:r>
    </w:p>
    <w:p>
      <w:pPr>
        <w:pStyle w:val="ListBullet"/>
      </w:pPr>
      <w:r>
        <w:t>Corporate input costs: higher prices for commodities, labour, logistics and intermediate goods can pressure margins.</w:t>
      </w:r>
    </w:p>
    <w:p>
      <w:pPr>
        <w:pStyle w:val="ListBullet"/>
      </w:pPr>
      <w:r>
        <w:t>Consumer purchasing power: persistent inflation can reduce real household purchasing power and change demand.</w:t>
      </w:r>
    </w:p>
    <w:p>
      <w:pPr>
        <w:pStyle w:val="ListBullet"/>
      </w:pPr>
      <w:r>
        <w:t>Monetary policy: persistent inflation can increase the probability of tighter policy and higher financing costs.</w:t>
      </w:r>
    </w:p>
    <w:p>
      <w:pPr>
        <w:pStyle w:val="ListBullet"/>
      </w:pPr>
      <w:r>
        <w:t>Valuation: higher nominal rates can increase discount rates and reduce the present value of future cash flows.</w:t>
      </w:r>
    </w:p>
    <w:p>
      <w:pPr>
        <w:pStyle w:val="ListBullet"/>
      </w:pPr>
      <w:r>
        <w:t>Earnings expectations: inflation can affect revenue, costs and margins differently across sectors.</w:t>
      </w:r>
    </w:p>
    <w:p>
      <w:pPr>
        <w:pStyle w:val="ListBullet"/>
      </w:pPr>
      <w:r>
        <w:t>Real returns: investors care about returns after inflation, affecting asset allocation.</w:t>
      </w:r>
    </w:p>
    <w:p>
      <w:pPr>
        <w:pStyle w:val="ListBullet"/>
      </w:pPr>
      <w:r>
        <w:t>Regimes: low/stable, accelerating, high, falling/disinflationary and unstable inflation can correspond to different market behaviour.</w:t>
      </w:r>
    </w:p>
    <w:p>
      <w:pPr>
        <w:pStyle w:val="Heading1"/>
      </w:pPr>
      <w:r>
        <w:t>4. Complete research dimension tree</w:t>
      </w:r>
    </w:p>
    <w:p>
      <w:pPr>
        <w:pStyle w:val="ListBullet"/>
      </w:pPr>
      <w:r>
        <w:t>CPI level</w:t>
      </w:r>
    </w:p>
    <w:p>
      <w:pPr>
        <w:pStyle w:val="ListBullet"/>
      </w:pPr>
      <w:r>
        <w:t>Headline inflation — YoY</w:t>
      </w:r>
    </w:p>
    <w:p>
      <w:pPr>
        <w:pStyle w:val="ListBullet"/>
      </w:pPr>
      <w:r>
        <w:t>Short-term inflation — MoM</w:t>
      </w:r>
    </w:p>
    <w:p>
      <w:pPr>
        <w:pStyle w:val="ListBullet"/>
      </w:pPr>
      <w:r>
        <w:t>Inflation change / acceleration / deceleration</w:t>
      </w:r>
    </w:p>
    <w:p>
      <w:pPr>
        <w:pStyle w:val="ListBullet"/>
      </w:pPr>
      <w:r>
        <w:t>Inflation trend and persistence</w:t>
      </w:r>
    </w:p>
    <w:p>
      <w:pPr>
        <w:pStyle w:val="ListBullet"/>
      </w:pPr>
      <w:r>
        <w:t>Core inflation</w:t>
      </w:r>
    </w:p>
    <w:p>
      <w:pPr>
        <w:pStyle w:val="ListBullet"/>
      </w:pPr>
      <w:r>
        <w:t>Food inflation / Consumer Food Price Index</w:t>
      </w:r>
    </w:p>
    <w:p>
      <w:pPr>
        <w:pStyle w:val="ListBullet"/>
      </w:pPr>
      <w:r>
        <w:t>Fuel / energy / component inflation</w:t>
      </w:r>
    </w:p>
    <w:p>
      <w:pPr>
        <w:pStyle w:val="ListBullet"/>
      </w:pPr>
      <w:r>
        <w:t>Inflation surprise versus expectations</w:t>
      </w:r>
    </w:p>
    <w:p>
      <w:pPr>
        <w:pStyle w:val="ListBullet"/>
      </w:pPr>
      <w:r>
        <w:t>Inflation volatility</w:t>
      </w:r>
    </w:p>
    <w:p>
      <w:pPr>
        <w:pStyle w:val="ListBullet"/>
      </w:pPr>
      <w:r>
        <w:t>Real interest rate</w:t>
      </w:r>
    </w:p>
    <w:p>
      <w:pPr>
        <w:pStyle w:val="ListBullet"/>
      </w:pPr>
      <w:r>
        <w:t>Nominal policy rate and bond-yield interaction</w:t>
      </w:r>
    </w:p>
    <w:p>
      <w:pPr>
        <w:pStyle w:val="ListBullet"/>
      </w:pPr>
      <w:r>
        <w:t>Inflation × interest-rate interaction</w:t>
      </w:r>
    </w:p>
    <w:p>
      <w:pPr>
        <w:pStyle w:val="ListBullet"/>
      </w:pPr>
      <w:r>
        <w:t>Inflation regimes</w:t>
      </w:r>
    </w:p>
    <w:p>
      <w:pPr>
        <w:pStyle w:val="ListBullet"/>
      </w:pPr>
      <w:r>
        <w:t>Component dispersion / breadth</w:t>
      </w:r>
    </w:p>
    <w:p>
      <w:pPr>
        <w:pStyle w:val="ListBullet"/>
      </w:pPr>
      <w:r>
        <w:t>CPI release / event-timing features</w:t>
      </w:r>
    </w:p>
    <w:p>
      <w:pPr>
        <w:pStyle w:val="Heading1"/>
      </w:pPr>
      <w:r>
        <w:t>5. Raw data required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Raw field</w:t>
            </w:r>
          </w:p>
        </w:tc>
        <w:tc>
          <w:tcPr>
            <w:tcW w:type="dxa" w:w="2556"/>
          </w:tcPr>
          <w:p>
            <w:r>
              <w:t>Meaning</w:t>
            </w:r>
          </w:p>
        </w:tc>
        <w:tc>
          <w:tcPr>
            <w:tcW w:type="dxa" w:w="2556"/>
          </w:tcPr>
          <w:p>
            <w:r>
              <w:t>Frequency</w:t>
            </w:r>
          </w:p>
        </w:tc>
        <w:tc>
          <w:tcPr>
            <w:tcW w:type="dxa" w:w="2556"/>
          </w:tcPr>
          <w:p>
            <w:r>
              <w:t>Why needed</w:t>
            </w:r>
          </w:p>
        </w:tc>
      </w:tr>
      <w:tr>
        <w:tc>
          <w:tcPr>
            <w:tcW w:type="dxa" w:w="2556"/>
          </w:tcPr>
          <w:p>
            <w:r>
              <w:t>CPI index</w:t>
            </w:r>
          </w:p>
        </w:tc>
        <w:tc>
          <w:tcPr>
            <w:tcW w:type="dxa" w:w="2556"/>
          </w:tcPr>
          <w:p>
            <w:r>
              <w:t>Price-index level</w:t>
            </w:r>
          </w:p>
        </w:tc>
        <w:tc>
          <w:tcPr>
            <w:tcW w:type="dxa" w:w="2556"/>
          </w:tcPr>
          <w:p>
            <w:r>
              <w:t>Monthly</w:t>
            </w:r>
          </w:p>
        </w:tc>
        <w:tc>
          <w:tcPr>
            <w:tcW w:type="dxa" w:w="2556"/>
          </w:tcPr>
          <w:p>
            <w:r>
              <w:t>Base observation from which inflation rates are derived</w:t>
            </w:r>
          </w:p>
        </w:tc>
      </w:tr>
      <w:tr>
        <w:tc>
          <w:tcPr>
            <w:tcW w:type="dxa" w:w="2556"/>
          </w:tcPr>
          <w:p>
            <w:r>
              <w:t>Headline CPI inflation</w:t>
            </w:r>
          </w:p>
        </w:tc>
        <w:tc>
          <w:tcPr>
            <w:tcW w:type="dxa" w:w="2556"/>
          </w:tcPr>
          <w:p>
            <w:r>
              <w:t>Official YoY inflation</w:t>
            </w:r>
          </w:p>
        </w:tc>
        <w:tc>
          <w:tcPr>
            <w:tcW w:type="dxa" w:w="2556"/>
          </w:tcPr>
          <w:p>
            <w:r>
              <w:t>Monthly</w:t>
            </w:r>
          </w:p>
        </w:tc>
        <w:tc>
          <w:tcPr>
            <w:tcW w:type="dxa" w:w="2556"/>
          </w:tcPr>
          <w:p>
            <w:r>
              <w:t>Core macro signal</w:t>
            </w:r>
          </w:p>
        </w:tc>
      </w:tr>
      <w:tr>
        <w:tc>
          <w:tcPr>
            <w:tcW w:type="dxa" w:w="2556"/>
          </w:tcPr>
          <w:p>
            <w:r>
              <w:t>CPI components</w:t>
            </w:r>
          </w:p>
        </w:tc>
        <w:tc>
          <w:tcPr>
            <w:tcW w:type="dxa" w:w="2556"/>
          </w:tcPr>
          <w:p>
            <w:r>
              <w:t>Food, fuel, housing, services, etc.</w:t>
            </w:r>
          </w:p>
        </w:tc>
        <w:tc>
          <w:tcPr>
            <w:tcW w:type="dxa" w:w="2556"/>
          </w:tcPr>
          <w:p>
            <w:r>
              <w:t>Monthly</w:t>
            </w:r>
          </w:p>
        </w:tc>
        <w:tc>
          <w:tcPr>
            <w:tcW w:type="dxa" w:w="2556"/>
          </w:tcPr>
          <w:p>
            <w:r>
              <w:t>Identify inflation composition</w:t>
            </w:r>
          </w:p>
        </w:tc>
      </w:tr>
      <w:tr>
        <w:tc>
          <w:tcPr>
            <w:tcW w:type="dxa" w:w="2556"/>
          </w:tcPr>
          <w:p>
            <w:r>
              <w:t>Core CPI / core proxy</w:t>
            </w:r>
          </w:p>
        </w:tc>
        <w:tc>
          <w:tcPr>
            <w:tcW w:type="dxa" w:w="2556"/>
          </w:tcPr>
          <w:p>
            <w:r>
              <w:t>Underlying inflation measure</w:t>
            </w:r>
          </w:p>
        </w:tc>
        <w:tc>
          <w:tcPr>
            <w:tcW w:type="dxa" w:w="2556"/>
          </w:tcPr>
          <w:p>
            <w:r>
              <w:t>Monthly</w:t>
            </w:r>
          </w:p>
        </w:tc>
        <w:tc>
          <w:tcPr>
            <w:tcW w:type="dxa" w:w="2556"/>
          </w:tcPr>
          <w:p>
            <w:r>
              <w:t>Separate persistent pressure from volatile components</w:t>
            </w:r>
          </w:p>
        </w:tc>
      </w:tr>
      <w:tr>
        <w:tc>
          <w:tcPr>
            <w:tcW w:type="dxa" w:w="2556"/>
          </w:tcPr>
          <w:p>
            <w:r>
              <w:t>Policy/repo rate</w:t>
            </w:r>
          </w:p>
        </w:tc>
        <w:tc>
          <w:tcPr>
            <w:tcW w:type="dxa" w:w="2556"/>
          </w:tcPr>
          <w:p>
            <w:r>
              <w:t>Central-bank policy rate</w:t>
            </w:r>
          </w:p>
        </w:tc>
        <w:tc>
          <w:tcPr>
            <w:tcW w:type="dxa" w:w="2556"/>
          </w:tcPr>
          <w:p>
            <w:r>
              <w:t>Event/periodic</w:t>
            </w:r>
          </w:p>
        </w:tc>
        <w:tc>
          <w:tcPr>
            <w:tcW w:type="dxa" w:w="2556"/>
          </w:tcPr>
          <w:p>
            <w:r>
              <w:t>Rate-pressure and real-rate features</w:t>
            </w:r>
          </w:p>
        </w:tc>
      </w:tr>
      <w:tr>
        <w:tc>
          <w:tcPr>
            <w:tcW w:type="dxa" w:w="2556"/>
          </w:tcPr>
          <w:p>
            <w:r>
              <w:t>Government bond yield</w:t>
            </w:r>
          </w:p>
        </w:tc>
        <w:tc>
          <w:tcPr>
            <w:tcW w:type="dxa" w:w="2556"/>
          </w:tcPr>
          <w:p>
            <w:r>
              <w:t>Market nominal yield</w:t>
            </w:r>
          </w:p>
        </w:tc>
        <w:tc>
          <w:tcPr>
            <w:tcW w:type="dxa" w:w="2556"/>
          </w:tcPr>
          <w:p>
            <w:r>
              <w:t>Daily</w:t>
            </w:r>
          </w:p>
        </w:tc>
        <w:tc>
          <w:tcPr>
            <w:tcW w:type="dxa" w:w="2556"/>
          </w:tcPr>
          <w:p>
            <w:r>
              <w:t>Market-implied rate environment</w:t>
            </w:r>
          </w:p>
        </w:tc>
      </w:tr>
      <w:tr>
        <w:tc>
          <w:tcPr>
            <w:tcW w:type="dxa" w:w="2556"/>
          </w:tcPr>
          <w:p>
            <w:r>
              <w:t>Expected CPI</w:t>
            </w:r>
          </w:p>
        </w:tc>
        <w:tc>
          <w:tcPr>
            <w:tcW w:type="dxa" w:w="2556"/>
          </w:tcPr>
          <w:p>
            <w:r>
              <w:t>Pre-release consensus/forecast</w:t>
            </w:r>
          </w:p>
        </w:tc>
        <w:tc>
          <w:tcPr>
            <w:tcW w:type="dxa" w:w="2556"/>
          </w:tcPr>
          <w:p>
            <w:r>
              <w:t>Per release</w:t>
            </w:r>
          </w:p>
        </w:tc>
        <w:tc>
          <w:tcPr>
            <w:tcW w:type="dxa" w:w="2556"/>
          </w:tcPr>
          <w:p>
            <w:r>
              <w:t>Required for surprise</w:t>
            </w:r>
          </w:p>
        </w:tc>
      </w:tr>
      <w:tr>
        <w:tc>
          <w:tcPr>
            <w:tcW w:type="dxa" w:w="2556"/>
          </w:tcPr>
          <w:p>
            <w:r>
              <w:t>Release timestamp</w:t>
            </w:r>
          </w:p>
        </w:tc>
        <w:tc>
          <w:tcPr>
            <w:tcW w:type="dxa" w:w="2556"/>
          </w:tcPr>
          <w:p>
            <w:r>
              <w:t>When information became public</w:t>
            </w:r>
          </w:p>
        </w:tc>
        <w:tc>
          <w:tcPr>
            <w:tcW w:type="dxa" w:w="2556"/>
          </w:tcPr>
          <w:p>
            <w:r>
              <w:t>Per release</w:t>
            </w:r>
          </w:p>
        </w:tc>
        <w:tc>
          <w:tcPr>
            <w:tcW w:type="dxa" w:w="2556"/>
          </w:tcPr>
          <w:p>
            <w:r>
              <w:t>Prevents look-ahead bias</w:t>
            </w:r>
          </w:p>
        </w:tc>
      </w:tr>
      <w:tr>
        <w:tc>
          <w:tcPr>
            <w:tcW w:type="dxa" w:w="2556"/>
          </w:tcPr>
          <w:p>
            <w:r>
              <w:t>Reference period</w:t>
            </w:r>
          </w:p>
        </w:tc>
        <w:tc>
          <w:tcPr>
            <w:tcW w:type="dxa" w:w="2556"/>
          </w:tcPr>
          <w:p>
            <w:r>
              <w:t>Month represented by observation</w:t>
            </w:r>
          </w:p>
        </w:tc>
        <w:tc>
          <w:tcPr>
            <w:tcW w:type="dxa" w:w="2556"/>
          </w:tcPr>
          <w:p>
            <w:r>
              <w:t>Monthly</w:t>
            </w:r>
          </w:p>
        </w:tc>
        <w:tc>
          <w:tcPr>
            <w:tcW w:type="dxa" w:w="2556"/>
          </w:tcPr>
          <w:p>
            <w:r>
              <w:t>Separates observation date from availability date</w:t>
            </w:r>
          </w:p>
        </w:tc>
      </w:tr>
    </w:tbl>
    <w:p>
      <w:pPr>
        <w:pStyle w:val="Heading1"/>
      </w:pPr>
      <w:r>
        <w:t>6. Detailed mathematical feature research</w:t>
      </w:r>
    </w:p>
    <w:p>
      <w:pPr>
        <w:pStyle w:val="Heading2"/>
      </w:pPr>
      <w:r>
        <w:t>6.1 CPI Level</w:t>
      </w:r>
    </w:p>
    <w:p>
      <w:r>
        <w:t>CPI is an index representing the price level of the selected consumption basket relative to its base period.</w:t>
      </w:r>
    </w:p>
    <w:p>
      <w:r>
        <w:t>Formula / representation: cpi_t = official CPI index at time t.</w:t>
      </w:r>
    </w:p>
    <w:p>
      <w:r>
        <w:t>Candidate: cpi_combined, cpi_rural, cpi_urban, cpi_food, cpi_component_*.</w:t>
      </w:r>
    </w:p>
    <w:p>
      <w:r>
        <w:t>Candidate columns: The raw level supports derived features and regime analysis.</w:t>
      </w:r>
    </w:p>
    <w:p>
      <w:r>
        <w:t>Why it may matter: This dimension provides a distinct measurable view of the inflation environment and should be tested rather than assumed predictive.</w:t>
      </w:r>
    </w:p>
    <w:p>
      <w:r>
        <w:t>Caveat: Base-year changes require careful series handling.</w:t>
      </w:r>
    </w:p>
    <w:p>
      <w:pPr>
        <w:pStyle w:val="Heading2"/>
      </w:pPr>
      <w:r>
        <w:t>6.2 Headline Inflation — YoY</w:t>
      </w:r>
    </w:p>
    <w:p>
      <w:r>
        <w:t>The annual inflation measure compares the current CPI with the same month one year earlier.</w:t>
      </w:r>
    </w:p>
    <w:p>
      <w:r>
        <w:t>Formula / representation: inflation_yoy_t = ((CPI_t / CPI_(t-12)) - 1) × 100.</w:t>
      </w:r>
    </w:p>
    <w:p>
      <w:r>
        <w:t>Example: CPI rises from 100 to 105 over twelve months → YoY inflation = 5%.</w:t>
      </w:r>
    </w:p>
    <w:p>
      <w:r>
        <w:t>Candidate columns: Candidate: cpi_yoy, headline_inflation_yoy.</w:t>
      </w:r>
    </w:p>
    <w:p>
      <w:r>
        <w:t>Why it may matter: This dimension provides a distinct measurable view of the inflation environment and should be tested rather than assumed predictive.</w:t>
      </w:r>
    </w:p>
    <w:p>
      <w:r>
        <w:t>Caveat: Monthly release-based variable; not continuously observable.</w:t>
      </w:r>
    </w:p>
    <w:p>
      <w:pPr>
        <w:pStyle w:val="Heading2"/>
      </w:pPr>
      <w:r>
        <w:t>6.3 Monthly Inflation — MoM</w:t>
      </w:r>
    </w:p>
    <w:p>
      <w:r>
        <w:t>MoM inflation captures the short-term change in prices and can react faster than YoY inflation.</w:t>
      </w:r>
    </w:p>
    <w:p>
      <w:r>
        <w:t>Formula / representation: inflation_mom_t = ((CPI_t / CPI_(t-1)) - 1) × 100.</w:t>
      </w:r>
    </w:p>
    <w:p>
      <w:r>
        <w:t>Example: CPI moves from 110 to 110.55 → MoM inflation ≈ 0.5%.</w:t>
      </w:r>
    </w:p>
    <w:p>
      <w:r>
        <w:t>Candidate columns: Candidate: cpi_mom, short_term_inflation.</w:t>
      </w:r>
    </w:p>
    <w:p>
      <w:r>
        <w:t>Why it may matter: This dimension provides a distinct measurable view of the inflation environment and should be tested rather than assumed predictive.</w:t>
      </w:r>
    </w:p>
    <w:p>
      <w:r>
        <w:t>Caveat: Monthly seasonality can be significant.</w:t>
      </w:r>
    </w:p>
    <w:p>
      <w:pPr>
        <w:pStyle w:val="Heading2"/>
      </w:pPr>
      <w:r>
        <w:t>6.4 Inflation Change / Acceleration</w:t>
      </w:r>
    </w:p>
    <w:p>
      <w:r>
        <w:t>The change in inflation tells us whether inflation itself is rising or falling.</w:t>
      </w:r>
    </w:p>
    <w:p>
      <w:r>
        <w:t>Formula / representation: delta_inflation_t = inflation_t - inflation_(t-1); acceleration_t = delta_t - delta_(t-1).</w:t>
      </w:r>
    </w:p>
    <w:p>
      <w:r>
        <w:t>Example: inflation rises from 4.0% to 4.5% → change = +0.5 percentage points.</w:t>
      </w:r>
    </w:p>
    <w:p>
      <w:r>
        <w:t>Candidate columns: Candidate: inflation_change_1m, inflation_change_3m, inflation_acceleration.</w:t>
      </w:r>
    </w:p>
    <w:p>
      <w:r>
        <w:t>Why it may matter: This dimension provides a distinct measurable view of the inflation environment and should be tested rather than assumed predictive.</w:t>
      </w:r>
    </w:p>
    <w:p>
      <w:r>
        <w:t>Caveat: Sensitive to short samples and base effects.</w:t>
      </w:r>
    </w:p>
    <w:p>
      <w:pPr>
        <w:pStyle w:val="Heading2"/>
      </w:pPr>
      <w:r>
        <w:t>6.5 Inflation Trend &amp; Persistence</w:t>
      </w:r>
    </w:p>
    <w:p>
      <w:r>
        <w:t>Persistence asks whether inflation remains elevated or continues moving in the same direction.</w:t>
      </w:r>
    </w:p>
    <w:p>
      <w:r>
        <w:t>Formula / representation: Examples: rolling mean, rolling slope, count of months rising, count above threshold.</w:t>
      </w:r>
    </w:p>
    <w:p>
      <w:r>
        <w:t>Example: 6-month rolling mean = average of latest six released YoY observations.</w:t>
      </w:r>
    </w:p>
    <w:p>
      <w:r>
        <w:t>Candidate columns: Candidate: inflation_mean_3m, inflation_mean_6m, inflation_mean_12m, inflation_slope_6m, inflation_rising_count_6m.</w:t>
      </w:r>
    </w:p>
    <w:p>
      <w:r>
        <w:t>Why it may matter: This dimension provides a distinct measurable view of the inflation environment and should be tested rather than assumed predictive.</w:t>
      </w:r>
    </w:p>
    <w:p>
      <w:r>
        <w:t>Caveat: All rolling features must use only observations available at prediction time.</w:t>
      </w:r>
    </w:p>
    <w:p>
      <w:pPr>
        <w:pStyle w:val="Heading2"/>
      </w:pPr>
      <w:r>
        <w:t>6.6 Core Inflation</w:t>
      </w:r>
    </w:p>
    <w:p>
      <w:r>
        <w:t>Core inflation attempts to capture underlying pressure after reducing volatile components according to the chosen definition.</w:t>
      </w:r>
    </w:p>
    <w:p>
      <w:r>
        <w:t>Formula / representation: core_gap_t = core_inflation_t - headline_inflation_t.</w:t>
      </w:r>
    </w:p>
    <w:p>
      <w:r>
        <w:t>Example: core 4.2%, headline 5.0% → gap = -0.8 percentage points.</w:t>
      </w:r>
    </w:p>
    <w:p>
      <w:r>
        <w:t>Candidate columns: Candidate: core_cpi_yoy, core_cpi_mom, core_headline_gap.</w:t>
      </w:r>
    </w:p>
    <w:p>
      <w:r>
        <w:t>Why it may matter: This dimension provides a distinct measurable view of the inflation environment and should be tested rather than assumed predictive.</w:t>
      </w:r>
    </w:p>
    <w:p>
      <w:r>
        <w:t>Caveat: Definition must be documented because providers differ.</w:t>
      </w:r>
    </w:p>
    <w:p>
      <w:pPr>
        <w:pStyle w:val="Heading2"/>
      </w:pPr>
      <w:r>
        <w:t>6.7 Food Inflation / CFPI</w:t>
      </w:r>
    </w:p>
    <w:p>
      <w:r>
        <w:t>Food inflation measures changes in retail food prices and can be an important source of headline volatility.</w:t>
      </w:r>
    </w:p>
    <w:p>
      <w:r>
        <w:t>Formula / representation: food_inflation_yoy = ((FoodCPI_t / FoodCPI_(t-12)) - 1) × 100.</w:t>
      </w:r>
    </w:p>
    <w:p>
      <w:r>
        <w:t>Candidate: food_cpi_yoy, food_cpi_mom, food_headline_gap.</w:t>
      </w:r>
    </w:p>
    <w:p>
      <w:r>
        <w:t>Candidate columns: Food-driven inflation can create a different macro environment from broad inflation.</w:t>
      </w:r>
    </w:p>
    <w:p>
      <w:r>
        <w:t>Why it may matter: This dimension provides a distinct measurable view of the inflation environment and should be tested rather than assumed predictive.</w:t>
      </w:r>
    </w:p>
    <w:p>
      <w:r>
        <w:t>Caveat: Food inflation is seasonal and often supply-shock driven.</w:t>
      </w:r>
    </w:p>
    <w:p>
      <w:pPr>
        <w:pStyle w:val="Heading2"/>
      </w:pPr>
      <w:r>
        <w:t>6.8 Fuel / Energy / Component Inflation</w:t>
      </w:r>
    </w:p>
    <w:p>
      <w:r>
        <w:t>Component inflation identifies where price pressure originates.</w:t>
      </w:r>
    </w:p>
    <w:p>
      <w:r>
        <w:t>Formula / representation: component_yoy_i,t = ((ComponentIndex_i,t / ComponentIndex_i,t-12) - 1) × 100.</w:t>
      </w:r>
    </w:p>
    <w:p>
      <w:r>
        <w:t>Candidate: fuel_inflation_yoy, housing_inflation_yoy, transport/services component features where available.</w:t>
      </w:r>
    </w:p>
    <w:p>
      <w:r>
        <w:t>Candidate columns: Can create sector-relevant macro signals.</w:t>
      </w:r>
    </w:p>
    <w:p>
      <w:r>
        <w:t>Why it may matter: This dimension provides a distinct measurable view of the inflation environment and should be tested rather than assumed predictive.</w:t>
      </w:r>
    </w:p>
    <w:p>
      <w:r>
        <w:t>Caveat: Do not automatically retain every component.</w:t>
      </w:r>
    </w:p>
    <w:p>
      <w:pPr>
        <w:pStyle w:val="Heading2"/>
      </w:pPr>
      <w:r>
        <w:t>6.9 Inflation Surprise</w:t>
      </w:r>
    </w:p>
    <w:p>
      <w:r>
        <w:t>A surprise measures released inflation against the market's pre-release expectation.</w:t>
      </w:r>
    </w:p>
    <w:p>
      <w:r>
        <w:t>Formula / representation: inflation_surprise = actual_inflation - expected_inflation.</w:t>
      </w:r>
    </w:p>
    <w:p>
      <w:r>
        <w:t>Example: actual 5.2%, consensus 4.9% → surprise = +0.3 percentage points.</w:t>
      </w:r>
    </w:p>
    <w:p>
      <w:r>
        <w:t>Candidate columns: Candidate: expected_cpi, actual_cpi, inflation_surprise, abs_surprise, surprise_direction, expectation_source.</w:t>
      </w:r>
    </w:p>
    <w:p>
      <w:r>
        <w:t>Why it may matter: This dimension provides a distinct measurable view of the inflation environment and should be tested rather than assumed predictive.</w:t>
      </w:r>
    </w:p>
    <w:p>
      <w:r>
        <w:t>Caveat: A genuine pre-release expectation series is mandatory.</w:t>
      </w:r>
    </w:p>
    <w:p>
      <w:pPr>
        <w:pStyle w:val="Heading2"/>
      </w:pPr>
      <w:r>
        <w:t>6.10 Inflation Volatility</w:t>
      </w:r>
    </w:p>
    <w:p>
      <w:r>
        <w:t>Measures instability in inflation rather than its level.</w:t>
      </w:r>
    </w:p>
    <w:p>
      <w:r>
        <w:t>Formula / representation: inflation_vol_t = rolling_std(inflation_yoy over N observations).</w:t>
      </w:r>
    </w:p>
    <w:p>
      <w:r>
        <w:t>Candidate: inflation_std_3m, inflation_std_6m, inflation_std_12m, inflation_range_12m.</w:t>
      </w:r>
    </w:p>
    <w:p>
      <w:r>
        <w:t>Candidate columns: Useful for distinguishing stable from unstable inflation regimes.</w:t>
      </w:r>
    </w:p>
    <w:p>
      <w:r>
        <w:t>Why it may matter: This dimension provides a distinct measurable view of the inflation environment and should be tested rather than assumed predictive.</w:t>
      </w:r>
    </w:p>
    <w:p>
      <w:r>
        <w:t>Caveat: A 12-month monthly window has only 12 observations.</w:t>
      </w:r>
    </w:p>
    <w:p>
      <w:pPr>
        <w:pStyle w:val="Heading2"/>
      </w:pPr>
      <w:r>
        <w:t>6.11 Real Interest Rate</w:t>
      </w:r>
    </w:p>
    <w:p>
      <w:r>
        <w:t>Real interest approximates nominal interest after accounting for inflation.</w:t>
      </w:r>
    </w:p>
    <w:p>
      <w:r>
        <w:t>Formula / representation: Approximation: real_rate ≈ nominal_rate - inflation. Fisher exact: ((1+r_nominal)/(1+r_inflation))-1.</w:t>
      </w:r>
    </w:p>
    <w:p>
      <w:r>
        <w:t>Example: nominal policy rate 6.5%, inflation 4.5% → approximate real rate = 2.0%.</w:t>
      </w:r>
    </w:p>
    <w:p>
      <w:r>
        <w:t>Candidate columns: Candidate: real_policy_rate, real_10y_yield, real_rate_change.</w:t>
      </w:r>
    </w:p>
    <w:p>
      <w:r>
        <w:t>Why it may matter: This dimension provides a distinct measurable view of the inflation environment and should be tested rather than assumed predictive.</w:t>
      </w:r>
    </w:p>
    <w:p>
      <w:r>
        <w:t>Caveat: Clearly label ex-post versus ex-ante real rates.</w:t>
      </w:r>
    </w:p>
    <w:p>
      <w:pPr>
        <w:pStyle w:val="Heading2"/>
      </w:pPr>
      <w:r>
        <w:t>6.12 Inflation × Interest-Rate Interaction</w:t>
      </w:r>
    </w:p>
    <w:p>
      <w:r>
        <w:t>The same inflation rate can have different implications depending on monetary policy.</w:t>
      </w:r>
    </w:p>
    <w:p>
      <w:r>
        <w:t>Formula / representation: Examples: policy_rate_minus_cpi; delta_inflation × policy_rate; real_rate_change.</w:t>
      </w:r>
    </w:p>
    <w:p>
      <w:r>
        <w:t>Candidate: policy_minus_inflation, inflation_rate_interaction, inflation_acceleration_x_rate.</w:t>
      </w:r>
    </w:p>
    <w:p>
      <w:r>
        <w:t>Candidate columns: Can capture conditions not represented by either variable alone.</w:t>
      </w:r>
    </w:p>
    <w:p>
      <w:r>
        <w:t>Why it may matter: This dimension provides a distinct measurable view of the inflation environment and should be tested rather than assumed predictive.</w:t>
      </w:r>
    </w:p>
    <w:p>
      <w:r>
        <w:t>Caveat: Introduce selectively to avoid feature explosion.</w:t>
      </w:r>
    </w:p>
    <w:p>
      <w:pPr>
        <w:pStyle w:val="Heading2"/>
      </w:pPr>
      <w:r>
        <w:t>6.13 Inflation Regime</w:t>
      </w:r>
    </w:p>
    <w:p>
      <w:r>
        <w:t>A regime converts continuous macro conditions into interpretable states.</w:t>
      </w:r>
    </w:p>
    <w:p>
      <w:r>
        <w:t>Formula / representation: Example states: low/stable, rising, high, falling/disinflation, high-volatility.</w:t>
      </w:r>
    </w:p>
    <w:p>
      <w:r>
        <w:t>Candidate: inflation_regime, rising_flag, falling_flag, above_target_flag, high_volatility_flag.</w:t>
      </w:r>
    </w:p>
    <w:p>
      <w:r>
        <w:t>Candidate columns: Useful for testing whether stock behaviour changes across macro environments.</w:t>
      </w:r>
    </w:p>
    <w:p>
      <w:r>
        <w:t>Why it may matter: This dimension provides a distinct measurable view of the inflation environment and should be tested rather than assumed predictive.</w:t>
      </w:r>
    </w:p>
    <w:p>
      <w:r>
        <w:t>Caveat: Thresholds must avoid leakage.</w:t>
      </w:r>
    </w:p>
    <w:p>
      <w:pPr>
        <w:pStyle w:val="Heading2"/>
      </w:pPr>
      <w:r>
        <w:t>6.14 Component Dispersion / Breadth</w:t>
      </w:r>
    </w:p>
    <w:p>
      <w:r>
        <w:t>Dispersion asks whether inflation is broad-based or concentrated in a few components.</w:t>
      </w:r>
    </w:p>
    <w:p>
      <w:r>
        <w:t>Formula / representation: Examples: standard deviation of component inflation, max-min spread, share above threshold.</w:t>
      </w:r>
    </w:p>
    <w:p>
      <w:r>
        <w:t>Candidate: component_inflation_std, component_range, pct_components_above_threshold.</w:t>
      </w:r>
    </w:p>
    <w:p>
      <w:r>
        <w:t>Candidate columns: Broad inflation may imply a different policy response from a single-component shock.</w:t>
      </w:r>
    </w:p>
    <w:p>
      <w:r>
        <w:t>Why it may matter: This dimension provides a distinct measurable view of the inflation environment and should be tested rather than assumed predictive.</w:t>
      </w:r>
    </w:p>
    <w:p>
      <w:r>
        <w:t>Caveat: Requires granular consistent component data.</w:t>
      </w:r>
    </w:p>
    <w:p>
      <w:pPr>
        <w:pStyle w:val="Heading2"/>
      </w:pPr>
      <w:r>
        <w:t>6.15 CPI Release / Event Features</w:t>
      </w:r>
    </w:p>
    <w:p>
      <w:r>
        <w:t>The release is an information event. Markets react when the number becomes public, not when the underlying month occurred.</w:t>
      </w:r>
    </w:p>
    <w:p>
      <w:r>
        <w:t>Formula / representation: Examples: release_day_flag, days_since_release, post_release_1d, post_release_5d, surprise × post-release window.</w:t>
      </w:r>
    </w:p>
    <w:p>
      <w:r>
        <w:t>Candidate: release_timestamp, reference_month, days_since_release, release_event_flag.</w:t>
      </w:r>
    </w:p>
    <w:p>
      <w:r>
        <w:t>Candidate columns: Critical for event-aware prediction and leakage control.</w:t>
      </w:r>
    </w:p>
    <w:p>
      <w:r>
        <w:t>Why it may matter: This dimension provides a distinct measurable view of the inflation environment and should be tested rather than assumed predictive.</w:t>
      </w:r>
    </w:p>
    <w:p>
      <w:r>
        <w:t>Caveat: Timestamp precision matters for intraday prediction.</w:t>
      </w:r>
    </w:p>
    <w:p>
      <w:pPr>
        <w:pStyle w:val="Heading1"/>
      </w:pPr>
      <w:r>
        <w:t>7. Critical timing rule: reference date ≠ availability date</w:t>
      </w:r>
    </w:p>
    <w:p>
      <w:r>
        <w:t>A CPI observation describes a previous period, but the stock market could only react after the number was released. If September CPI is released on 12 October, a stock observation on 5 October must not contain September CPI.</w:t>
      </w:r>
    </w:p>
    <w:p>
      <w:r>
        <w:t>Every macro record should have at least: reference_period, release_timestamp, value, source, series_id and revision/finality status.</w:t>
      </w:r>
    </w:p>
    <w:p>
      <w:r>
        <w:t>Correct join logic: for each stock timestamp, select the latest macro observation whose release timestamp is less than or equal to that stock timestamp. Never forward-fill a future release backwards.</w:t>
      </w:r>
    </w:p>
    <w:p>
      <w:pPr>
        <w:pStyle w:val="Heading1"/>
      </w:pPr>
      <w:r>
        <w:t>8. Inflation surprise: expectation dataset</w:t>
      </w:r>
    </w:p>
    <w:p>
      <w:r>
        <w:t>Inflation surprise compares actual inflation with what the market expected before release. A valid implementation therefore needs a documented pre-release expectation source.</w:t>
      </w:r>
    </w:p>
    <w:p>
      <w:pPr>
        <w:pStyle w:val="ListBullet"/>
      </w:pPr>
      <w:r>
        <w:t>reference_month</w:t>
      </w:r>
    </w:p>
    <w:p>
      <w:pPr>
        <w:pStyle w:val="ListBullet"/>
      </w:pPr>
      <w:r>
        <w:t>expected_inflation</w:t>
      </w:r>
    </w:p>
    <w:p>
      <w:pPr>
        <w:pStyle w:val="ListBullet"/>
      </w:pPr>
      <w:r>
        <w:t>expectation_source</w:t>
      </w:r>
    </w:p>
    <w:p>
      <w:pPr>
        <w:pStyle w:val="ListBullet"/>
      </w:pPr>
      <w:r>
        <w:t>expectation_timestamp</w:t>
      </w:r>
    </w:p>
    <w:p>
      <w:pPr>
        <w:pStyle w:val="ListBullet"/>
      </w:pPr>
      <w:r>
        <w:t>actual_inflation</w:t>
      </w:r>
    </w:p>
    <w:p>
      <w:pPr>
        <w:pStyle w:val="ListBullet"/>
      </w:pPr>
      <w:r>
        <w:t>release_timestamp</w:t>
      </w:r>
    </w:p>
    <w:p>
      <w:pPr>
        <w:pStyle w:val="ListBullet"/>
      </w:pPr>
      <w:r>
        <w:t>inflation_surprise</w:t>
      </w:r>
    </w:p>
    <w:p>
      <w:pPr>
        <w:pStyle w:val="ListBullet"/>
      </w:pPr>
      <w:r>
        <w:t>surprise_direction</w:t>
      </w:r>
    </w:p>
    <w:p>
      <w:r>
        <w:t>An estimate published after the actual release is not a valid pre-release expectation.</w:t>
      </w:r>
    </w:p>
    <w:p>
      <w:pPr>
        <w:pStyle w:val="Heading1"/>
      </w:pPr>
      <w:r>
        <w:t>9. Candidate feature dataset</w:t>
      </w:r>
    </w:p>
    <w:tbl>
      <w:tblPr>
        <w:tblStyle w:val="TableGrid"/>
        <w:tblW w:type="auto" w:w="0"/>
        <w:tblLook w:firstColumn="1" w:firstRow="1" w:lastColumn="0" w:lastRow="0" w:noHBand="0" w:noVBand="1" w:val="04A0"/>
      </w:tblPr>
      <w:tblGrid>
        <w:gridCol w:w="5112"/>
        <w:gridCol w:w="5112"/>
      </w:tblGrid>
      <w:tr>
        <w:tc>
          <w:tcPr>
            <w:tcW w:type="dxa" w:w="5112"/>
          </w:tcPr>
          <w:p>
            <w:r>
              <w:t>Group</w:t>
            </w:r>
          </w:p>
        </w:tc>
        <w:tc>
          <w:tcPr>
            <w:tcW w:type="dxa" w:w="5112"/>
          </w:tcPr>
          <w:p>
            <w:r>
              <w:t>Candidate columns</w:t>
            </w:r>
          </w:p>
        </w:tc>
      </w:tr>
      <w:tr>
        <w:tc>
          <w:tcPr>
            <w:tcW w:type="dxa" w:w="5112"/>
          </w:tcPr>
          <w:p>
            <w:r>
              <w:t>Identification</w:t>
            </w:r>
          </w:p>
        </w:tc>
        <w:tc>
          <w:tcPr>
            <w:tcW w:type="dxa" w:w="5112"/>
          </w:tcPr>
          <w:p>
            <w:r>
              <w:t>reference_month, country, source, series_id, frequency</w:t>
            </w:r>
          </w:p>
        </w:tc>
      </w:tr>
      <w:tr>
        <w:tc>
          <w:tcPr>
            <w:tcW w:type="dxa" w:w="5112"/>
          </w:tcPr>
          <w:p>
            <w:r>
              <w:t>Headline</w:t>
            </w:r>
          </w:p>
        </w:tc>
        <w:tc>
          <w:tcPr>
            <w:tcW w:type="dxa" w:w="5112"/>
          </w:tcPr>
          <w:p>
            <w:r>
              <w:t>cpi_index, cpi_yoy, cpi_mom</w:t>
            </w:r>
          </w:p>
        </w:tc>
      </w:tr>
      <w:tr>
        <w:tc>
          <w:tcPr>
            <w:tcW w:type="dxa" w:w="5112"/>
          </w:tcPr>
          <w:p>
            <w:r>
              <w:t>Dynamics</w:t>
            </w:r>
          </w:p>
        </w:tc>
        <w:tc>
          <w:tcPr>
            <w:tcW w:type="dxa" w:w="5112"/>
          </w:tcPr>
          <w:p>
            <w:r>
              <w:t>inflation_change_1m, inflation_change_3m, inflation_acceleration</w:t>
            </w:r>
          </w:p>
        </w:tc>
      </w:tr>
      <w:tr>
        <w:tc>
          <w:tcPr>
            <w:tcW w:type="dxa" w:w="5112"/>
          </w:tcPr>
          <w:p>
            <w:r>
              <w:t>Trend</w:t>
            </w:r>
          </w:p>
        </w:tc>
        <w:tc>
          <w:tcPr>
            <w:tcW w:type="dxa" w:w="5112"/>
          </w:tcPr>
          <w:p>
            <w:r>
              <w:t>inflation_mean_3m, inflation_mean_6m, inflation_mean_12m, inflation_slope_6m</w:t>
            </w:r>
          </w:p>
        </w:tc>
      </w:tr>
      <w:tr>
        <w:tc>
          <w:tcPr>
            <w:tcW w:type="dxa" w:w="5112"/>
          </w:tcPr>
          <w:p>
            <w:r>
              <w:t>Core</w:t>
            </w:r>
          </w:p>
        </w:tc>
        <w:tc>
          <w:tcPr>
            <w:tcW w:type="dxa" w:w="5112"/>
          </w:tcPr>
          <w:p>
            <w:r>
              <w:t>core_cpi_yoy, core_cpi_mom, core_headline_gap</w:t>
            </w:r>
          </w:p>
        </w:tc>
      </w:tr>
      <w:tr>
        <w:tc>
          <w:tcPr>
            <w:tcW w:type="dxa" w:w="5112"/>
          </w:tcPr>
          <w:p>
            <w:r>
              <w:t>Components</w:t>
            </w:r>
          </w:p>
        </w:tc>
        <w:tc>
          <w:tcPr>
            <w:tcW w:type="dxa" w:w="5112"/>
          </w:tcPr>
          <w:p>
            <w:r>
              <w:t>food_cpi_yoy, fuel_inflation_yoy, component_*</w:t>
            </w:r>
          </w:p>
        </w:tc>
      </w:tr>
      <w:tr>
        <w:tc>
          <w:tcPr>
            <w:tcW w:type="dxa" w:w="5112"/>
          </w:tcPr>
          <w:p>
            <w:r>
              <w:t>Surprise</w:t>
            </w:r>
          </w:p>
        </w:tc>
        <w:tc>
          <w:tcPr>
            <w:tcW w:type="dxa" w:w="5112"/>
          </w:tcPr>
          <w:p>
            <w:r>
              <w:t>expected_cpi, inflation_surprise, surprise_abs, surprise_direction</w:t>
            </w:r>
          </w:p>
        </w:tc>
      </w:tr>
      <w:tr>
        <w:tc>
          <w:tcPr>
            <w:tcW w:type="dxa" w:w="5112"/>
          </w:tcPr>
          <w:p>
            <w:r>
              <w:t>Rates</w:t>
            </w:r>
          </w:p>
        </w:tc>
        <w:tc>
          <w:tcPr>
            <w:tcW w:type="dxa" w:w="5112"/>
          </w:tcPr>
          <w:p>
            <w:r>
              <w:t>policy_rate, bond_yield_10y</w:t>
            </w:r>
          </w:p>
        </w:tc>
      </w:tr>
      <w:tr>
        <w:tc>
          <w:tcPr>
            <w:tcW w:type="dxa" w:w="5112"/>
          </w:tcPr>
          <w:p>
            <w:r>
              <w:t>Real rates</w:t>
            </w:r>
          </w:p>
        </w:tc>
        <w:tc>
          <w:tcPr>
            <w:tcW w:type="dxa" w:w="5112"/>
          </w:tcPr>
          <w:p>
            <w:r>
              <w:t>real_policy_rate, real_10y_yield, real_rate_change</w:t>
            </w:r>
          </w:p>
        </w:tc>
      </w:tr>
      <w:tr>
        <w:tc>
          <w:tcPr>
            <w:tcW w:type="dxa" w:w="5112"/>
          </w:tcPr>
          <w:p>
            <w:r>
              <w:t>Volatility</w:t>
            </w:r>
          </w:p>
        </w:tc>
        <w:tc>
          <w:tcPr>
            <w:tcW w:type="dxa" w:w="5112"/>
          </w:tcPr>
          <w:p>
            <w:r>
              <w:t>inflation_std_6m, inflation_std_12m</w:t>
            </w:r>
          </w:p>
        </w:tc>
      </w:tr>
      <w:tr>
        <w:tc>
          <w:tcPr>
            <w:tcW w:type="dxa" w:w="5112"/>
          </w:tcPr>
          <w:p>
            <w:r>
              <w:t>Regime</w:t>
            </w:r>
          </w:p>
        </w:tc>
        <w:tc>
          <w:tcPr>
            <w:tcW w:type="dxa" w:w="5112"/>
          </w:tcPr>
          <w:p>
            <w:r>
              <w:t>inflation_regime, rising_flag, disinflation_flag, above_target_flag</w:t>
            </w:r>
          </w:p>
        </w:tc>
      </w:tr>
      <w:tr>
        <w:tc>
          <w:tcPr>
            <w:tcW w:type="dxa" w:w="5112"/>
          </w:tcPr>
          <w:p>
            <w:r>
              <w:t>Breadth</w:t>
            </w:r>
          </w:p>
        </w:tc>
        <w:tc>
          <w:tcPr>
            <w:tcW w:type="dxa" w:w="5112"/>
          </w:tcPr>
          <w:p>
            <w:r>
              <w:t>component_inflation_std, component_range, pct_components_above_threshold</w:t>
            </w:r>
          </w:p>
        </w:tc>
      </w:tr>
      <w:tr>
        <w:tc>
          <w:tcPr>
            <w:tcW w:type="dxa" w:w="5112"/>
          </w:tcPr>
          <w:p>
            <w:r>
              <w:t>Timing</w:t>
            </w:r>
          </w:p>
        </w:tc>
        <w:tc>
          <w:tcPr>
            <w:tcW w:type="dxa" w:w="5112"/>
          </w:tcPr>
          <w:p>
            <w:r>
              <w:t>release_timestamp, days_since_release, release_event_flag</w:t>
            </w:r>
          </w:p>
        </w:tc>
      </w:tr>
    </w:tbl>
    <w:p>
      <w:pPr>
        <w:pStyle w:val="Heading1"/>
      </w:pPr>
      <w:r>
        <w:t>10. Data-source research — India</w:t>
      </w:r>
    </w:p>
    <w:p>
      <w:pPr>
        <w:pStyle w:val="Heading2"/>
      </w:pPr>
      <w:r>
        <w:t>10.1 MoSPI / NSO — primary CPI source</w:t>
      </w:r>
    </w:p>
    <w:p>
      <w:r>
        <w:t>MoSPI is the preferred primary source for Indian CPI. Its current CPI catalogue provides monthly rural, urban and combined indices, group/division-level data and inflation. The current series uses 2024=100. MoSPI states that CPI is released monthly, normally on the 12th at 5:30 PM, with the next working day used when the 12th is a holiday. The current All-India basket contains 299 weighted items.</w:t>
      </w:r>
    </w:p>
    <w:p>
      <w:r>
        <w:t>Verdict: PRIMARY for Indian CPI, components, official methodology and release timing.</w:t>
      </w:r>
    </w:p>
    <w:p>
      <w:r>
        <w:t>Strengths: official; granular; release metadata; current 2024 base; clear methodology.</w:t>
      </w:r>
    </w:p>
    <w:p>
      <w:r>
        <w:t>Limitations: market expectation/consensus data is separate; historical series transitions need careful handling.</w:t>
      </w:r>
    </w:p>
    <w:p>
      <w:pPr>
        <w:pStyle w:val="Heading2"/>
      </w:pPr>
      <w:r>
        <w:t>10.2 RBI DBIE — complementary macro-financial source</w:t>
      </w:r>
    </w:p>
    <w:p>
      <w:r>
        <w:t>RBI's Database on Indian Economy is useful for policy rates, government bond yields and broader macro-financial variables. It should complement rather than replace MoSPI for the official CPI observation.</w:t>
      </w:r>
    </w:p>
    <w:p>
      <w:r>
        <w:t>Verdict: PRIMARY/SECONDARY complementary source for rates and broader Indian macro-financial data.</w:t>
      </w:r>
    </w:p>
    <w:p>
      <w:pPr>
        <w:pStyle w:val="Heading2"/>
      </w:pPr>
      <w:r>
        <w:t>10.3 World Bank</w:t>
      </w:r>
    </w:p>
    <w:p>
      <w:r>
        <w:t>Useful for long-run standardized international macroeconomic series and cross-country comparisons. It is generally less suitable as the primary high-frequency India CPI source when monthly official data is required.</w:t>
      </w:r>
    </w:p>
    <w:p>
      <w:r>
        <w:t>Verdict: SECONDARY for long-history and cross-country context.</w:t>
      </w:r>
    </w:p>
    <w:p>
      <w:pPr>
        <w:pStyle w:val="Heading2"/>
      </w:pPr>
      <w:r>
        <w:t>10.4 FRED</w:t>
      </w:r>
    </w:p>
    <w:p>
      <w:r>
        <w:t>Useful as a secondary API-oriented source for standardized macro series and validation. API access requires a key; source definitions and update timing must be checked before treating a series as authoritative.</w:t>
      </w:r>
    </w:p>
    <w:p>
      <w:r>
        <w:t>Verdict: SECONDARY validation/API source.</w:t>
      </w:r>
    </w:p>
    <w:p>
      <w:pPr>
        <w:pStyle w:val="Heading1"/>
      </w:pPr>
      <w:r>
        <w:t>11. Source comparison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Source</w:t>
            </w:r>
          </w:p>
        </w:tc>
        <w:tc>
          <w:tcPr>
            <w:tcW w:type="dxa" w:w="2045"/>
          </w:tcPr>
          <w:p>
            <w:r>
              <w:t>Best use</w:t>
            </w:r>
          </w:p>
        </w:tc>
        <w:tc>
          <w:tcPr>
            <w:tcW w:type="dxa" w:w="2045"/>
          </w:tcPr>
          <w:p>
            <w:r>
              <w:t>Strength</w:t>
            </w:r>
          </w:p>
        </w:tc>
        <w:tc>
          <w:tcPr>
            <w:tcW w:type="dxa" w:w="2045"/>
          </w:tcPr>
          <w:p>
            <w:r>
              <w:t>Weakness</w:t>
            </w:r>
          </w:p>
        </w:tc>
        <w:tc>
          <w:tcPr>
            <w:tcW w:type="dxa" w:w="2045"/>
          </w:tcPr>
          <w:p>
            <w:r>
              <w:t>Role</w:t>
            </w:r>
          </w:p>
        </w:tc>
      </w:tr>
      <w:tr>
        <w:tc>
          <w:tcPr>
            <w:tcW w:type="dxa" w:w="2045"/>
          </w:tcPr>
          <w:p>
            <w:r>
              <w:t>MoSPI / NSO</w:t>
            </w:r>
          </w:p>
        </w:tc>
        <w:tc>
          <w:tcPr>
            <w:tcW w:type="dxa" w:w="2045"/>
          </w:tcPr>
          <w:p>
            <w:r>
              <w:t>India CPI + components + releases</w:t>
            </w:r>
          </w:p>
        </w:tc>
        <w:tc>
          <w:tcPr>
            <w:tcW w:type="dxa" w:w="2045"/>
          </w:tcPr>
          <w:p>
            <w:r>
              <w:t>Official, granular, methodology</w:t>
            </w:r>
          </w:p>
        </w:tc>
        <w:tc>
          <w:tcPr>
            <w:tcW w:type="dxa" w:w="2045"/>
          </w:tcPr>
          <w:p>
            <w:r>
              <w:t>Expectation data is separate</w:t>
            </w:r>
          </w:p>
        </w:tc>
        <w:tc>
          <w:tcPr>
            <w:tcW w:type="dxa" w:w="2045"/>
          </w:tcPr>
          <w:p>
            <w:r>
              <w:t>Primary</w:t>
            </w:r>
          </w:p>
        </w:tc>
      </w:tr>
      <w:tr>
        <w:tc>
          <w:tcPr>
            <w:tcW w:type="dxa" w:w="2045"/>
          </w:tcPr>
          <w:p>
            <w:r>
              <w:t>RBI DBIE</w:t>
            </w:r>
          </w:p>
        </w:tc>
        <w:tc>
          <w:tcPr>
            <w:tcW w:type="dxa" w:w="2045"/>
          </w:tcPr>
          <w:p>
            <w:r>
              <w:t>Rates + macro-financial series</w:t>
            </w:r>
          </w:p>
        </w:tc>
        <w:tc>
          <w:tcPr>
            <w:tcW w:type="dxa" w:w="2045"/>
          </w:tcPr>
          <w:p>
            <w:r>
              <w:t>Authoritative Indian financial data</w:t>
            </w:r>
          </w:p>
        </w:tc>
        <w:tc>
          <w:tcPr>
            <w:tcW w:type="dxa" w:w="2045"/>
          </w:tcPr>
          <w:p>
            <w:r>
              <w:t>Not the sole CPI source</w:t>
            </w:r>
          </w:p>
        </w:tc>
        <w:tc>
          <w:tcPr>
            <w:tcW w:type="dxa" w:w="2045"/>
          </w:tcPr>
          <w:p>
            <w:r>
              <w:t>Primary/secondary</w:t>
            </w:r>
          </w:p>
        </w:tc>
      </w:tr>
      <w:tr>
        <w:tc>
          <w:tcPr>
            <w:tcW w:type="dxa" w:w="2045"/>
          </w:tcPr>
          <w:p>
            <w:r>
              <w:t>World Bank</w:t>
            </w:r>
          </w:p>
        </w:tc>
        <w:tc>
          <w:tcPr>
            <w:tcW w:type="dxa" w:w="2045"/>
          </w:tcPr>
          <w:p>
            <w:r>
              <w:t>Long-run/global macro</w:t>
            </w:r>
          </w:p>
        </w:tc>
        <w:tc>
          <w:tcPr>
            <w:tcW w:type="dxa" w:w="2045"/>
          </w:tcPr>
          <w:p>
            <w:r>
              <w:t>Long history, standardized API</w:t>
            </w:r>
          </w:p>
        </w:tc>
        <w:tc>
          <w:tcPr>
            <w:tcW w:type="dxa" w:w="2045"/>
          </w:tcPr>
          <w:p>
            <w:r>
              <w:t>Often lower frequency</w:t>
            </w:r>
          </w:p>
        </w:tc>
        <w:tc>
          <w:tcPr>
            <w:tcW w:type="dxa" w:w="2045"/>
          </w:tcPr>
          <w:p>
            <w:r>
              <w:t>Secondary</w:t>
            </w:r>
          </w:p>
        </w:tc>
      </w:tr>
      <w:tr>
        <w:tc>
          <w:tcPr>
            <w:tcW w:type="dxa" w:w="2045"/>
          </w:tcPr>
          <w:p>
            <w:r>
              <w:t>FRED</w:t>
            </w:r>
          </w:p>
        </w:tc>
        <w:tc>
          <w:tcPr>
            <w:tcW w:type="dxa" w:w="2045"/>
          </w:tcPr>
          <w:p>
            <w:r>
              <w:t>API/validation/international series</w:t>
            </w:r>
          </w:p>
        </w:tc>
        <w:tc>
          <w:tcPr>
            <w:tcW w:type="dxa" w:w="2045"/>
          </w:tcPr>
          <w:p>
            <w:r>
              <w:t>Large standardized catalogue</w:t>
            </w:r>
          </w:p>
        </w:tc>
        <w:tc>
          <w:tcPr>
            <w:tcW w:type="dxa" w:w="2045"/>
          </w:tcPr>
          <w:p>
            <w:r>
              <w:t>API key + series differences</w:t>
            </w:r>
          </w:p>
        </w:tc>
        <w:tc>
          <w:tcPr>
            <w:tcW w:type="dxa" w:w="2045"/>
          </w:tcPr>
          <w:p>
            <w:r>
              <w:t>Secondary</w:t>
            </w:r>
          </w:p>
        </w:tc>
      </w:tr>
    </w:tbl>
    <w:p>
      <w:pPr>
        <w:pStyle w:val="Heading1"/>
      </w:pPr>
      <w:r>
        <w:t>12. Base-year and historical-series risk</w:t>
      </w:r>
    </w:p>
    <w:p>
      <w:r>
        <w:t>India moved to a new CPI series with base 2024=100 in 2026. The new series uses Household Consumption Expenditure Survey 2023–24 for weights and incorporates classification and methodological changes. Historical analysis must preserve series metadata and should not blindly concatenate incompatible index levels.</w:t>
      </w:r>
    </w:p>
    <w:p>
      <w:pPr>
        <w:pStyle w:val="ListBullet"/>
      </w:pPr>
      <w:r>
        <w:t>source</w:t>
      </w:r>
    </w:p>
    <w:p>
      <w:pPr>
        <w:pStyle w:val="ListBullet"/>
      </w:pPr>
      <w:r>
        <w:t>series_name</w:t>
      </w:r>
    </w:p>
    <w:p>
      <w:pPr>
        <w:pStyle w:val="ListBullet"/>
      </w:pPr>
      <w:r>
        <w:t>base_year</w:t>
      </w:r>
    </w:p>
    <w:p>
      <w:pPr>
        <w:pStyle w:val="ListBullet"/>
      </w:pPr>
      <w:r>
        <w:t>weight_reference_period</w:t>
      </w:r>
    </w:p>
    <w:p>
      <w:pPr>
        <w:pStyle w:val="ListBullet"/>
      </w:pPr>
      <w:r>
        <w:t>frequency</w:t>
      </w:r>
    </w:p>
    <w:p>
      <w:pPr>
        <w:pStyle w:val="ListBullet"/>
      </w:pPr>
      <w:r>
        <w:t>unit</w:t>
      </w:r>
    </w:p>
    <w:p>
      <w:pPr>
        <w:pStyle w:val="ListBullet"/>
      </w:pPr>
      <w:r>
        <w:t>methodology_version</w:t>
      </w:r>
    </w:p>
    <w:p>
      <w:pPr>
        <w:pStyle w:val="ListBullet"/>
      </w:pPr>
      <w:r>
        <w:t>release_date</w:t>
      </w:r>
    </w:p>
    <w:p>
      <w:pPr>
        <w:pStyle w:val="ListBullet"/>
      </w:pPr>
      <w:r>
        <w:t>revision/finality status</w:t>
      </w:r>
    </w:p>
    <w:p>
      <w:pPr>
        <w:pStyle w:val="Heading1"/>
      </w:pPr>
      <w:r>
        <w:t>13. Provisional vs final observations</w:t>
      </w:r>
    </w:p>
    <w:p>
      <w:r>
        <w:t>The pipeline should preserve whether an observation was provisional or final. Using final revised values in a historical backtest can create a revision-look-ahead problem if those revisions were not known at the original prediction time. Where possible, preserve vintages.</w:t>
      </w:r>
    </w:p>
    <w:p>
      <w:pPr>
        <w:pStyle w:val="Heading1"/>
      </w:pPr>
      <w:r>
        <w:t>14. Candidate shortlist — NOT empirically validated</w:t>
      </w:r>
    </w:p>
    <w:p>
      <w:r>
        <w:t>Initial research shortlist only. Final selection requires redundancy analysis, statistical testing and time-aware out-of-sample validation.</w:t>
      </w:r>
    </w:p>
    <w:p>
      <w:pPr>
        <w:pStyle w:val="ListBullet"/>
      </w:pPr>
      <w:r>
        <w:t>headline CPI YoY</w:t>
      </w:r>
    </w:p>
    <w:p>
      <w:pPr>
        <w:pStyle w:val="ListBullet"/>
      </w:pPr>
      <w:r>
        <w:t>3-month or 6-month inflation change/trend</w:t>
      </w:r>
    </w:p>
    <w:p>
      <w:pPr>
        <w:pStyle w:val="ListBullet"/>
      </w:pPr>
      <w:r>
        <w:t>core CPI YoY</w:t>
      </w:r>
    </w:p>
    <w:p>
      <w:pPr>
        <w:pStyle w:val="ListBullet"/>
      </w:pPr>
      <w:r>
        <w:t>food inflation YoY</w:t>
      </w:r>
    </w:p>
    <w:p>
      <w:pPr>
        <w:pStyle w:val="ListBullet"/>
      </w:pPr>
      <w:r>
        <w:t>inflation surprise</w:t>
      </w:r>
    </w:p>
    <w:p>
      <w:pPr>
        <w:pStyle w:val="ListBullet"/>
      </w:pPr>
      <w:r>
        <w:t>real policy rate</w:t>
      </w:r>
    </w:p>
    <w:p>
      <w:pPr>
        <w:pStyle w:val="ListBullet"/>
      </w:pPr>
      <w:r>
        <w:t>inflation volatility</w:t>
      </w:r>
    </w:p>
    <w:p>
      <w:pPr>
        <w:pStyle w:val="ListBullet"/>
      </w:pPr>
      <w:r>
        <w:t>one carefully chosen inflation-regime feature</w:t>
      </w:r>
    </w:p>
    <w:p>
      <w:pPr>
        <w:pStyle w:val="Heading1"/>
      </w:pPr>
      <w:r>
        <w:t>15. Feature-selection process</w:t>
      </w:r>
    </w:p>
    <w:p>
      <w:pPr>
        <w:pStyle w:val="ListNumber"/>
      </w:pPr>
      <w:r>
        <w:t>Build the broad candidate pool.</w:t>
      </w:r>
    </w:p>
    <w:p>
      <w:pPr>
        <w:pStyle w:val="ListNumber"/>
      </w:pPr>
      <w:r>
        <w:t>Align every macro observation using its information-availability timestamp.</w:t>
      </w:r>
    </w:p>
    <w:p>
      <w:pPr>
        <w:pStyle w:val="ListNumber"/>
      </w:pPr>
      <w:r>
        <w:t>Check missingness, revisions, outliers and structural breaks.</w:t>
      </w:r>
    </w:p>
    <w:p>
      <w:pPr>
        <w:pStyle w:val="ListNumber"/>
      </w:pPr>
      <w:r>
        <w:t>Remove duplicate representations and highly redundant variables.</w:t>
      </w:r>
    </w:p>
    <w:p>
      <w:pPr>
        <w:pStyle w:val="ListNumber"/>
      </w:pPr>
      <w:r>
        <w:t>Measure dependence with the target and among candidate features.</w:t>
      </w:r>
    </w:p>
    <w:p>
      <w:pPr>
        <w:pStyle w:val="ListNumber"/>
      </w:pPr>
      <w:r>
        <w:t>Use statistical tests cautiously; correlation is not causation.</w:t>
      </w:r>
    </w:p>
    <w:p>
      <w:pPr>
        <w:pStyle w:val="ListNumber"/>
      </w:pPr>
      <w:r>
        <w:t>Evaluate incremental predictive value using time-based validation.</w:t>
      </w:r>
    </w:p>
    <w:p>
      <w:pPr>
        <w:pStyle w:val="ListNumber"/>
      </w:pPr>
      <w:r>
        <w:t>Use model-based importance / permutation importance / SHAP as supporting evidence, not the only selection rule.</w:t>
      </w:r>
    </w:p>
    <w:p>
      <w:pPr>
        <w:pStyle w:val="ListNumber"/>
      </w:pPr>
      <w:r>
        <w:t>Test stability across different market regimes and time periods.</w:t>
      </w:r>
    </w:p>
    <w:p>
      <w:pPr>
        <w:pStyle w:val="ListNumber"/>
      </w:pPr>
      <w:r>
        <w:t>Retain only features that add useful information beyond simpler alternatives.</w:t>
      </w:r>
    </w:p>
    <w:p>
      <w:pPr>
        <w:pStyle w:val="Heading1"/>
      </w:pPr>
      <w:r>
        <w:t>16. Recommended macro dataset architecture</w:t>
      </w:r>
    </w:p>
    <w:p>
      <w:r>
        <w:t>Keep macro data at its natural observation/release frequency and connect it to market data using an as-of temporal join.</w:t>
      </w:r>
    </w:p>
    <w:p>
      <w:r>
        <w:t>Suggested schema: reference_period | release_timestamp | source | series_id | base_year | cpi_index | cpi_yoy | cpi_mom | inflation_change | core_cpi_yoy | food_cpi_yoy | fuel_inflation_yoy | expected_cpi | expectation_source | inflation_surprise | policy_rate | bond_yield_10y | real_policy_rate | inflation_volatility | inflation_regime</w:t>
      </w:r>
    </w:p>
    <w:p>
      <w:pPr>
        <w:pStyle w:val="Heading1"/>
      </w:pPr>
      <w:r>
        <w:t>17. Practical implementation logic</w:t>
      </w:r>
    </w:p>
    <w:p>
      <w:r>
        <w:t>For each stock-day row, select the latest macro information whose release timestamp is no later than the stock observation. For intraday prediction, use exact release timestamps. A CPI release can also be represented as an event using surprise magnitude, surprise direction and post-release windows.</w:t>
      </w:r>
    </w:p>
    <w:p>
      <w:pPr>
        <w:pStyle w:val="Heading1"/>
      </w:pPr>
      <w:r>
        <w:t>18. Major blockers / risks</w:t>
      </w:r>
    </w:p>
    <w:tbl>
      <w:tblPr>
        <w:tblStyle w:val="TableGrid"/>
        <w:tblW w:type="auto" w:w="0"/>
        <w:tblLook w:firstColumn="1" w:firstRow="1" w:lastColumn="0" w:lastRow="0" w:noHBand="0" w:noVBand="1" w:val="04A0"/>
      </w:tblPr>
      <w:tblGrid>
        <w:gridCol w:w="5112"/>
        <w:gridCol w:w="5112"/>
      </w:tblGrid>
      <w:tr>
        <w:tc>
          <w:tcPr>
            <w:tcW w:type="dxa" w:w="5112"/>
          </w:tcPr>
          <w:p>
            <w:r>
              <w:t>Blocker</w:t>
            </w:r>
          </w:p>
        </w:tc>
        <w:tc>
          <w:tcPr>
            <w:tcW w:type="dxa" w:w="5112"/>
          </w:tcPr>
          <w:p>
            <w:r>
              <w:t>Why it matters</w:t>
            </w:r>
          </w:p>
        </w:tc>
      </w:tr>
      <w:tr>
        <w:tc>
          <w:tcPr>
            <w:tcW w:type="dxa" w:w="5112"/>
          </w:tcPr>
          <w:p>
            <w:r>
              <w:t>Expectation data</w:t>
            </w:r>
          </w:p>
        </w:tc>
        <w:tc>
          <w:tcPr>
            <w:tcW w:type="dxa" w:w="5112"/>
          </w:tcPr>
          <w:p>
            <w:r>
              <w:t>Reliable pre-release consensus may require a dedicated provider/licence.</w:t>
            </w:r>
          </w:p>
        </w:tc>
      </w:tr>
      <w:tr>
        <w:tc>
          <w:tcPr>
            <w:tcW w:type="dxa" w:w="5112"/>
          </w:tcPr>
          <w:p>
            <w:r>
              <w:t>Release timestamps</w:t>
            </w:r>
          </w:p>
        </w:tc>
        <w:tc>
          <w:tcPr>
            <w:tcW w:type="dxa" w:w="5112"/>
          </w:tcPr>
          <w:p>
            <w:r>
              <w:t>Daily versus intraday prediction requires precise timing.</w:t>
            </w:r>
          </w:p>
        </w:tc>
      </w:tr>
      <w:tr>
        <w:tc>
          <w:tcPr>
            <w:tcW w:type="dxa" w:w="5112"/>
          </w:tcPr>
          <w:p>
            <w:r>
              <w:t>Base revision</w:t>
            </w:r>
          </w:p>
        </w:tc>
        <w:tc>
          <w:tcPr>
            <w:tcW w:type="dxa" w:w="5112"/>
          </w:tcPr>
          <w:p>
            <w:r>
              <w:t>2024 CPI introduces a structural break and metadata requirement.</w:t>
            </w:r>
          </w:p>
        </w:tc>
      </w:tr>
      <w:tr>
        <w:tc>
          <w:tcPr>
            <w:tcW w:type="dxa" w:w="5112"/>
          </w:tcPr>
          <w:p>
            <w:r>
              <w:t>Revisions/vintages</w:t>
            </w:r>
          </w:p>
        </w:tc>
        <w:tc>
          <w:tcPr>
            <w:tcW w:type="dxa" w:w="5112"/>
          </w:tcPr>
          <w:p>
            <w:r>
              <w:t>Final data can differ from what was known historically.</w:t>
            </w:r>
          </w:p>
        </w:tc>
      </w:tr>
      <w:tr>
        <w:tc>
          <w:tcPr>
            <w:tcW w:type="dxa" w:w="5112"/>
          </w:tcPr>
          <w:p>
            <w:r>
              <w:t>Low frequency</w:t>
            </w:r>
          </w:p>
        </w:tc>
        <w:tc>
          <w:tcPr>
            <w:tcW w:type="dxa" w:w="5112"/>
          </w:tcPr>
          <w:p>
            <w:r>
              <w:t>Monthly macro data provides fewer independent observations than daily market data.</w:t>
            </w:r>
          </w:p>
        </w:tc>
      </w:tr>
      <w:tr>
        <w:tc>
          <w:tcPr>
            <w:tcW w:type="dxa" w:w="5112"/>
          </w:tcPr>
          <w:p>
            <w:r>
              <w:t>Feature explosion</w:t>
            </w:r>
          </w:p>
        </w:tc>
        <w:tc>
          <w:tcPr>
            <w:tcW w:type="dxa" w:w="5112"/>
          </w:tcPr>
          <w:p>
            <w:r>
              <w:t>Granular components can create hundreds of redundant variables.</w:t>
            </w:r>
          </w:p>
        </w:tc>
      </w:tr>
      <w:tr>
        <w:tc>
          <w:tcPr>
            <w:tcW w:type="dxa" w:w="5112"/>
          </w:tcPr>
          <w:p>
            <w:r>
              <w:t>Regime instability</w:t>
            </w:r>
          </w:p>
        </w:tc>
        <w:tc>
          <w:tcPr>
            <w:tcW w:type="dxa" w:w="5112"/>
          </w:tcPr>
          <w:p>
            <w:r>
              <w:t>Inflation-stock relationships can change across monetary regimes.</w:t>
            </w:r>
          </w:p>
        </w:tc>
      </w:tr>
      <w:tr>
        <w:tc>
          <w:tcPr>
            <w:tcW w:type="dxa" w:w="5112"/>
          </w:tcPr>
          <w:p>
            <w:r>
              <w:t>Definition ambiguity</w:t>
            </w:r>
          </w:p>
        </w:tc>
        <w:tc>
          <w:tcPr>
            <w:tcW w:type="dxa" w:w="5112"/>
          </w:tcPr>
          <w:p>
            <w:r>
              <w:t>Core inflation and real-rate definitions can vary.</w:t>
            </w:r>
          </w:p>
        </w:tc>
      </w:tr>
    </w:tbl>
    <w:p>
      <w:pPr>
        <w:pStyle w:val="Heading1"/>
      </w:pPr>
      <w:r>
        <w:t>19. Mentor / TL-ready summary</w:t>
      </w:r>
    </w:p>
    <w:p>
      <w:r>
        <w:t>Macro / Inflation should be treated as a multi-dimensional factor rather than a single CPI number. Research begins with official CPI and component data, then derives inflation level, short-term change, acceleration, persistence, core/food/fuel composition, surprise, volatility, real rates and regime features. The most important engineering constraint is information availability: a macro value must enter the stock dataset only after its public release. MoSPI should be the primary Indian CPI source; RBI should complement it for policy rates and financial macro variables; World Bank and FRED can support long-history or validation use cases. The feature pool should be broad initially and shortlisted only after redundancy checks and time-aware predictive testing.</w:t>
      </w:r>
    </w:p>
    <w:p>
      <w:pPr>
        <w:pStyle w:val="Heading1"/>
      </w:pPr>
      <w:r>
        <w:t>20. Official research references</w:t>
      </w:r>
    </w:p>
    <w:p>
      <w:pPr>
        <w:pStyle w:val="ListBullet"/>
      </w:pPr>
      <w:r>
        <w:t>MoSPI eSankhyiki CPI Catalogue — https://esankhyiki.mospi.gov.in/catalogue-main/catalogue?product=CPI</w:t>
      </w:r>
    </w:p>
    <w:p>
      <w:pPr>
        <w:pStyle w:val="ListBullet"/>
      </w:pPr>
      <w:r>
        <w:t>MoSPI CPI FAQ — https://mospi.gov.in/faq</w:t>
      </w:r>
    </w:p>
    <w:p>
      <w:pPr>
        <w:pStyle w:val="ListBullet"/>
      </w:pPr>
      <w:r>
        <w:t>MoSPI CPI product / latest statistics — https://mospi.gov.in/themes/product/9--</w:t>
      </w:r>
    </w:p>
    <w:p>
      <w:pPr>
        <w:pStyle w:val="ListBullet"/>
      </w:pPr>
      <w:r>
        <w:t>MoSPI Release Calendar — https://mospi.gov.in/release-calendar</w:t>
      </w:r>
    </w:p>
    <w:p>
      <w:pPr>
        <w:pStyle w:val="ListBullet"/>
      </w:pPr>
      <w:r>
        <w:t>RBI Database on Indian Economy (DBIE) — https://data.rbi.org.in/DBIE/</w:t>
      </w:r>
    </w:p>
    <w:p>
      <w:pPr>
        <w:pStyle w:val="ListBullet"/>
      </w:pPr>
      <w:r>
        <w:t>World Bank Data API documentation — https://datahelpdesk.worldbank.org/knowledgebase/articles/889392</w:t>
      </w:r>
    </w:p>
    <w:p>
      <w:pPr>
        <w:pStyle w:val="ListBullet"/>
      </w:pPr>
      <w:r>
        <w:t>FRED API documentation — https://fred.stlouisfed.org/docs/api/fred/</w:t>
      </w:r>
    </w:p>
    <w:p>
      <w:pPr>
        <w:pStyle w:val="Heading1"/>
      </w:pPr>
      <w:r>
        <w:t>21. Current official-source facts used</w:t>
      </w:r>
    </w:p>
    <w:p>
      <w:r>
        <w:t>MoSPI's current catalogue shows monthly CPI releases under the 2024 base, including rural, urban and combined indices and group/division-level indices. MoSPI's FAQ states that the current CPI base is 2024=100, the All-India basket contains 299 weighted items, and CPI is released monthly, normally on the 12th at 5:30 PM. These details directly inform the project's temporal data architecture.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