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63A5F"/>
          <w:sz w:val="46"/>
        </w:rPr>
        <w:t>MARKET MICROSTRUCTURE,</w:t>
        <w:br/>
        <w:t>LIQUIDITY &amp; TRADING ACTIVITY</w:t>
      </w:r>
    </w:p>
    <w:p>
      <w:pPr>
        <w:jc w:val="center"/>
      </w:pPr>
      <w:r>
        <w:rPr>
          <w:i/>
          <w:sz w:val="26"/>
        </w:rPr>
        <w:t>Research Dimensions for an Indian Stock-Market Prediction Project</w:t>
      </w:r>
    </w:p>
    <w:p>
      <w:pPr>
        <w:jc w:val="center"/>
      </w:pPr>
      <w:r>
        <w:t>Category 9 | Research and feature-engineering plan | 14 October 2026</w:t>
      </w:r>
    </w:p>
    <w:p>
      <w:r>
        <w:t>Purpose: investigate whether trading activity, liquidity and market microstructure variables add useful information to stock-market prediction. This is a research blueprint, not investment advice or proof of predictive value.</w:t>
      </w:r>
    </w:p>
    <w:p>
      <w:r>
        <w:br w:type="page"/>
      </w:r>
    </w:p>
    <w:p>
      <w:pPr>
        <w:pStyle w:val="Heading1"/>
      </w:pPr>
      <w:r>
        <w:t>1. Executive Summary</w:t>
      </w:r>
    </w:p>
    <w:p>
      <w:r>
        <w:t>Price returns show what happened to a security's price; microstructure and liquidity features help describe the trading conditions under which that move occurred. A large price move on unusually high volume may have a different interpretation from the same move on thin trading. A wide bid–ask spread or shallow order book can signal higher execution costs and greater sensitivity to order flow.</w:t>
      </w:r>
    </w:p>
    <w:p>
      <w:r>
        <w:t>This category has two data tiers. Tier A can be explored using daily OHLCV data and selected exchange reports: volume, turnover, relative volume, volume-price divergence and delivery-based measures where definitions are available. Tier B needs intraday trades, quotes or order-book snapshots: spread, depth, imbalance, effective spread, realised volatility by interval and price impact. The exact product, history, latency and licence must be checked before planning Tier B.</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Dimension</w:t>
            </w:r>
          </w:p>
        </w:tc>
        <w:tc>
          <w:tcPr>
            <w:tcW w:type="dxa" w:w="2520"/>
            <w:shd w:fill="D9EAF2"/>
          </w:tcPr>
          <w:p>
            <w:r>
              <w:rPr>
                <w:b/>
                <w:sz w:val="16"/>
              </w:rPr>
              <w:t>Candidate variables</w:t>
            </w:r>
          </w:p>
        </w:tc>
        <w:tc>
          <w:tcPr>
            <w:tcW w:type="dxa" w:w="2520"/>
            <w:shd w:fill="D9EAF2"/>
          </w:tcPr>
          <w:p>
            <w:r>
              <w:rPr>
                <w:b/>
                <w:sz w:val="16"/>
              </w:rPr>
              <w:t>Potential value</w:t>
            </w:r>
          </w:p>
        </w:tc>
        <w:tc>
          <w:tcPr>
            <w:tcW w:type="dxa" w:w="2520"/>
            <w:shd w:fill="D9EAF2"/>
          </w:tcPr>
          <w:p>
            <w:r>
              <w:rPr>
                <w:b/>
                <w:sz w:val="16"/>
              </w:rPr>
              <w:t>Initial priority</w:t>
            </w:r>
          </w:p>
        </w:tc>
      </w:tr>
      <w:tr>
        <w:tc>
          <w:tcPr>
            <w:tcW w:type="dxa" w:w="2520"/>
            <w:vAlign w:val="center"/>
          </w:tcPr>
          <w:p>
            <w:pPr>
              <w:spacing w:after="40"/>
            </w:pPr>
            <w:r>
              <w:rPr>
                <w:sz w:val="16"/>
              </w:rPr>
              <w:t>Trading activity</w:t>
            </w:r>
          </w:p>
        </w:tc>
        <w:tc>
          <w:tcPr>
            <w:tcW w:type="dxa" w:w="2520"/>
            <w:vAlign w:val="center"/>
          </w:tcPr>
          <w:p>
            <w:pPr>
              <w:spacing w:after="40"/>
            </w:pPr>
            <w:r>
              <w:rPr>
                <w:sz w:val="16"/>
              </w:rPr>
              <w:t>Volume, turnover, trade count, relative volume, activity surprise</w:t>
            </w:r>
          </w:p>
        </w:tc>
        <w:tc>
          <w:tcPr>
            <w:tcW w:type="dxa" w:w="2520"/>
            <w:vAlign w:val="center"/>
          </w:tcPr>
          <w:p>
            <w:pPr>
              <w:spacing w:after="40"/>
            </w:pPr>
            <w:r>
              <w:rPr>
                <w:sz w:val="16"/>
              </w:rPr>
              <w:t>Measures participation and unusual attention</w:t>
            </w:r>
          </w:p>
        </w:tc>
        <w:tc>
          <w:tcPr>
            <w:tcW w:type="dxa" w:w="2520"/>
            <w:vAlign w:val="center"/>
          </w:tcPr>
          <w:p>
            <w:pPr>
              <w:spacing w:after="40"/>
            </w:pPr>
            <w:r>
              <w:rPr>
                <w:sz w:val="16"/>
              </w:rPr>
              <w:t>High</w:t>
            </w:r>
          </w:p>
        </w:tc>
      </w:tr>
      <w:tr>
        <w:tc>
          <w:tcPr>
            <w:tcW w:type="dxa" w:w="2520"/>
            <w:vAlign w:val="center"/>
          </w:tcPr>
          <w:p>
            <w:pPr>
              <w:spacing w:after="40"/>
            </w:pPr>
            <w:r>
              <w:rPr>
                <w:sz w:val="16"/>
              </w:rPr>
              <w:t>Liquidity / spread</w:t>
            </w:r>
          </w:p>
        </w:tc>
        <w:tc>
          <w:tcPr>
            <w:tcW w:type="dxa" w:w="2520"/>
            <w:vAlign w:val="center"/>
          </w:tcPr>
          <w:p>
            <w:pPr>
              <w:spacing w:after="40"/>
            </w:pPr>
            <w:r>
              <w:rPr>
                <w:sz w:val="16"/>
              </w:rPr>
              <w:t>Quoted spread, effective spread, depth, depth imbalance</w:t>
            </w:r>
          </w:p>
        </w:tc>
        <w:tc>
          <w:tcPr>
            <w:tcW w:type="dxa" w:w="2520"/>
            <w:vAlign w:val="center"/>
          </w:tcPr>
          <w:p>
            <w:pPr>
              <w:spacing w:after="40"/>
            </w:pPr>
            <w:r>
              <w:rPr>
                <w:sz w:val="16"/>
              </w:rPr>
              <w:t>Execution friction and immediate supply/demand</w:t>
            </w:r>
          </w:p>
        </w:tc>
        <w:tc>
          <w:tcPr>
            <w:tcW w:type="dxa" w:w="2520"/>
            <w:vAlign w:val="center"/>
          </w:tcPr>
          <w:p>
            <w:pPr>
              <w:spacing w:after="40"/>
            </w:pPr>
            <w:r>
              <w:rPr>
                <w:sz w:val="16"/>
              </w:rPr>
              <w:t>High if reliable quote data</w:t>
            </w:r>
          </w:p>
        </w:tc>
      </w:tr>
      <w:tr>
        <w:tc>
          <w:tcPr>
            <w:tcW w:type="dxa" w:w="2520"/>
            <w:vAlign w:val="center"/>
          </w:tcPr>
          <w:p>
            <w:pPr>
              <w:spacing w:after="40"/>
            </w:pPr>
            <w:r>
              <w:rPr>
                <w:sz w:val="16"/>
              </w:rPr>
              <w:t>Order flow</w:t>
            </w:r>
          </w:p>
        </w:tc>
        <w:tc>
          <w:tcPr>
            <w:tcW w:type="dxa" w:w="2520"/>
            <w:vAlign w:val="center"/>
          </w:tcPr>
          <w:p>
            <w:pPr>
              <w:spacing w:after="40"/>
            </w:pPr>
            <w:r>
              <w:rPr>
                <w:sz w:val="16"/>
              </w:rPr>
              <w:t>Buyer/seller-initiated volume, signed volume, imbalance</w:t>
            </w:r>
          </w:p>
        </w:tc>
        <w:tc>
          <w:tcPr>
            <w:tcW w:type="dxa" w:w="2520"/>
            <w:vAlign w:val="center"/>
          </w:tcPr>
          <w:p>
            <w:pPr>
              <w:spacing w:after="40"/>
            </w:pPr>
            <w:r>
              <w:rPr>
                <w:sz w:val="16"/>
              </w:rPr>
              <w:t>Direction of trading pressure</w:t>
            </w:r>
          </w:p>
        </w:tc>
        <w:tc>
          <w:tcPr>
            <w:tcW w:type="dxa" w:w="2520"/>
            <w:vAlign w:val="center"/>
          </w:tcPr>
          <w:p>
            <w:pPr>
              <w:spacing w:after="40"/>
            </w:pPr>
            <w:r>
              <w:rPr>
                <w:sz w:val="16"/>
              </w:rPr>
              <w:t>High data requirements</w:t>
            </w:r>
          </w:p>
        </w:tc>
      </w:tr>
      <w:tr>
        <w:tc>
          <w:tcPr>
            <w:tcW w:type="dxa" w:w="2520"/>
            <w:vAlign w:val="center"/>
          </w:tcPr>
          <w:p>
            <w:pPr>
              <w:spacing w:after="40"/>
            </w:pPr>
            <w:r>
              <w:rPr>
                <w:sz w:val="16"/>
              </w:rPr>
              <w:t>Price impact</w:t>
            </w:r>
          </w:p>
        </w:tc>
        <w:tc>
          <w:tcPr>
            <w:tcW w:type="dxa" w:w="2520"/>
            <w:vAlign w:val="center"/>
          </w:tcPr>
          <w:p>
            <w:pPr>
              <w:spacing w:after="40"/>
            </w:pPr>
            <w:r>
              <w:rPr>
                <w:sz w:val="16"/>
              </w:rPr>
              <w:t>Return per unit of signed flow/turnover; Amihud-style measure</w:t>
            </w:r>
          </w:p>
        </w:tc>
        <w:tc>
          <w:tcPr>
            <w:tcW w:type="dxa" w:w="2520"/>
            <w:vAlign w:val="center"/>
          </w:tcPr>
          <w:p>
            <w:pPr>
              <w:spacing w:after="40"/>
            </w:pPr>
            <w:r>
              <w:rPr>
                <w:sz w:val="16"/>
              </w:rPr>
              <w:t>How much price moves for trading activity</w:t>
            </w:r>
          </w:p>
        </w:tc>
        <w:tc>
          <w:tcPr>
            <w:tcW w:type="dxa" w:w="2520"/>
            <w:vAlign w:val="center"/>
          </w:tcPr>
          <w:p>
            <w:pPr>
              <w:spacing w:after="40"/>
            </w:pPr>
            <w:r>
              <w:rPr>
                <w:sz w:val="16"/>
              </w:rPr>
              <w:t>Medium-high</w:t>
            </w:r>
          </w:p>
        </w:tc>
      </w:tr>
      <w:tr>
        <w:tc>
          <w:tcPr>
            <w:tcW w:type="dxa" w:w="2520"/>
            <w:vAlign w:val="center"/>
          </w:tcPr>
          <w:p>
            <w:pPr>
              <w:spacing w:after="40"/>
            </w:pPr>
            <w:r>
              <w:rPr>
                <w:sz w:val="16"/>
              </w:rPr>
              <w:t>Delivery-based activity</w:t>
            </w:r>
          </w:p>
        </w:tc>
        <w:tc>
          <w:tcPr>
            <w:tcW w:type="dxa" w:w="2520"/>
            <w:vAlign w:val="center"/>
          </w:tcPr>
          <w:p>
            <w:pPr>
              <w:spacing w:after="40"/>
            </w:pPr>
            <w:r>
              <w:rPr>
                <w:sz w:val="16"/>
              </w:rPr>
              <w:t>Delivery quantity, delivery percentage, volume/delivery divergence</w:t>
            </w:r>
          </w:p>
        </w:tc>
        <w:tc>
          <w:tcPr>
            <w:tcW w:type="dxa" w:w="2520"/>
            <w:vAlign w:val="center"/>
          </w:tcPr>
          <w:p>
            <w:pPr>
              <w:spacing w:after="40"/>
            </w:pPr>
            <w:r>
              <w:rPr>
                <w:sz w:val="16"/>
              </w:rPr>
              <w:t>Indian cash-market activity context</w:t>
            </w:r>
          </w:p>
        </w:tc>
        <w:tc>
          <w:tcPr>
            <w:tcW w:type="dxa" w:w="2520"/>
            <w:vAlign w:val="center"/>
          </w:tcPr>
          <w:p>
            <w:pPr>
              <w:spacing w:after="40"/>
            </w:pPr>
            <w:r>
              <w:rPr>
                <w:sz w:val="16"/>
              </w:rPr>
              <w:t>Medium; interpretation is limited</w:t>
            </w:r>
          </w:p>
        </w:tc>
      </w:tr>
      <w:tr>
        <w:tc>
          <w:tcPr>
            <w:tcW w:type="dxa" w:w="2520"/>
            <w:vAlign w:val="center"/>
          </w:tcPr>
          <w:p>
            <w:pPr>
              <w:spacing w:after="40"/>
            </w:pPr>
            <w:r>
              <w:rPr>
                <w:sz w:val="16"/>
              </w:rPr>
              <w:t>Intraday patterns</w:t>
            </w:r>
          </w:p>
        </w:tc>
        <w:tc>
          <w:tcPr>
            <w:tcW w:type="dxa" w:w="2520"/>
            <w:vAlign w:val="center"/>
          </w:tcPr>
          <w:p>
            <w:pPr>
              <w:spacing w:after="40"/>
            </w:pPr>
            <w:r>
              <w:rPr>
                <w:sz w:val="16"/>
              </w:rPr>
              <w:t>Time-of-day volume/volatility, opening/closing effects, intraday range</w:t>
            </w:r>
          </w:p>
        </w:tc>
        <w:tc>
          <w:tcPr>
            <w:tcW w:type="dxa" w:w="2520"/>
            <w:vAlign w:val="center"/>
          </w:tcPr>
          <w:p>
            <w:pPr>
              <w:spacing w:after="40"/>
            </w:pPr>
            <w:r>
              <w:rPr>
                <w:sz w:val="16"/>
              </w:rPr>
              <w:t>Session-specific activity and risk</w:t>
            </w:r>
          </w:p>
        </w:tc>
        <w:tc>
          <w:tcPr>
            <w:tcW w:type="dxa" w:w="2520"/>
            <w:vAlign w:val="center"/>
          </w:tcPr>
          <w:p>
            <w:pPr>
              <w:spacing w:after="40"/>
            </w:pPr>
            <w:r>
              <w:rPr>
                <w:sz w:val="16"/>
              </w:rPr>
              <w:t>Medium; intraday data needed</w:t>
            </w:r>
          </w:p>
        </w:tc>
      </w:tr>
      <w:tr>
        <w:tc>
          <w:tcPr>
            <w:tcW w:type="dxa" w:w="2520"/>
            <w:vAlign w:val="center"/>
          </w:tcPr>
          <w:p>
            <w:pPr>
              <w:spacing w:after="40"/>
            </w:pPr>
            <w:r>
              <w:rPr>
                <w:sz w:val="16"/>
              </w:rPr>
              <w:t>Liquidity stress</w:t>
            </w:r>
          </w:p>
        </w:tc>
        <w:tc>
          <w:tcPr>
            <w:tcW w:type="dxa" w:w="2520"/>
            <w:vAlign w:val="center"/>
          </w:tcPr>
          <w:p>
            <w:pPr>
              <w:spacing w:after="40"/>
            </w:pPr>
            <w:r>
              <w:rPr>
                <w:sz w:val="16"/>
              </w:rPr>
              <w:t>Spread spikes, depth drops, volatility/volume regime</w:t>
            </w:r>
          </w:p>
        </w:tc>
        <w:tc>
          <w:tcPr>
            <w:tcW w:type="dxa" w:w="2520"/>
            <w:vAlign w:val="center"/>
          </w:tcPr>
          <w:p>
            <w:pPr>
              <w:spacing w:after="40"/>
            </w:pPr>
            <w:r>
              <w:rPr>
                <w:sz w:val="16"/>
              </w:rPr>
              <w:t>Potential stress and execution risk</w:t>
            </w:r>
          </w:p>
        </w:tc>
        <w:tc>
          <w:tcPr>
            <w:tcW w:type="dxa" w:w="2520"/>
            <w:vAlign w:val="center"/>
          </w:tcPr>
          <w:p>
            <w:pPr>
              <w:spacing w:after="40"/>
            </w:pPr>
            <w:r>
              <w:rPr>
                <w:sz w:val="16"/>
              </w:rPr>
              <w:t>Medium</w:t>
            </w:r>
          </w:p>
        </w:tc>
      </w:tr>
      <w:tr>
        <w:tc>
          <w:tcPr>
            <w:tcW w:type="dxa" w:w="2520"/>
            <w:vAlign w:val="center"/>
          </w:tcPr>
          <w:p>
            <w:pPr>
              <w:spacing w:after="40"/>
            </w:pPr>
            <w:r>
              <w:rPr>
                <w:sz w:val="16"/>
              </w:rPr>
              <w:t>Data-quality controls</w:t>
            </w:r>
          </w:p>
        </w:tc>
        <w:tc>
          <w:tcPr>
            <w:tcW w:type="dxa" w:w="2520"/>
            <w:vAlign w:val="center"/>
          </w:tcPr>
          <w:p>
            <w:pPr>
              <w:spacing w:after="40"/>
            </w:pPr>
            <w:r>
              <w:rPr>
                <w:sz w:val="16"/>
              </w:rPr>
              <w:t>Stale quotes, zero volume, auction/suspension flags, tick size</w:t>
            </w:r>
          </w:p>
        </w:tc>
        <w:tc>
          <w:tcPr>
            <w:tcW w:type="dxa" w:w="2520"/>
            <w:vAlign w:val="center"/>
          </w:tcPr>
          <w:p>
            <w:pPr>
              <w:spacing w:after="40"/>
            </w:pPr>
            <w:r>
              <w:rPr>
                <w:sz w:val="16"/>
              </w:rPr>
              <w:t>Prevents false features</w:t>
            </w:r>
          </w:p>
        </w:tc>
        <w:tc>
          <w:tcPr>
            <w:tcW w:type="dxa" w:w="2520"/>
            <w:vAlign w:val="center"/>
          </w:tcPr>
          <w:p>
            <w:pPr>
              <w:spacing w:after="40"/>
            </w:pPr>
            <w:r>
              <w:rPr>
                <w:sz w:val="16"/>
              </w:rPr>
              <w:t>Essential</w:t>
            </w:r>
          </w:p>
        </w:tc>
      </w:tr>
    </w:tbl>
    <w:p/>
    <w:p>
      <w:pPr>
        <w:pStyle w:val="Heading1"/>
      </w:pPr>
      <w:r>
        <w:t>2. Scope and Relationship to Technical Indicators</w:t>
      </w:r>
    </w:p>
    <w:p>
      <w:r>
        <w:t>Technical indicators often transform price history into returns, trends, momentum or volatility. Microstructure focuses more on transactions, quotes, order-book supply/demand and the ease of trading. Some variables overlap: volume and volatility may appear in both categories. Avoid duplicating the same raw field under different names; instead, document the shared source and test whether a microstructure transformation adds incremental value.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Level</w:t>
            </w:r>
          </w:p>
        </w:tc>
        <w:tc>
          <w:tcPr>
            <w:tcW w:type="dxa" w:w="2520"/>
            <w:shd w:fill="D9EAF2"/>
          </w:tcPr>
          <w:p>
            <w:r>
              <w:rPr>
                <w:b/>
                <w:sz w:val="16"/>
              </w:rPr>
              <w:t>Example</w:t>
            </w:r>
          </w:p>
        </w:tc>
        <w:tc>
          <w:tcPr>
            <w:tcW w:type="dxa" w:w="2520"/>
            <w:shd w:fill="D9EAF2"/>
          </w:tcPr>
          <w:p>
            <w:r>
              <w:rPr>
                <w:b/>
                <w:sz w:val="16"/>
              </w:rPr>
              <w:t>Data needed</w:t>
            </w:r>
          </w:p>
        </w:tc>
        <w:tc>
          <w:tcPr>
            <w:tcW w:type="dxa" w:w="2520"/>
            <w:shd w:fill="D9EAF2"/>
          </w:tcPr>
          <w:p>
            <w:r>
              <w:rPr>
                <w:b/>
                <w:sz w:val="16"/>
              </w:rPr>
              <w:t>What it tells you</w:t>
            </w:r>
          </w:p>
        </w:tc>
      </w:tr>
      <w:tr>
        <w:tc>
          <w:tcPr>
            <w:tcW w:type="dxa" w:w="2520"/>
            <w:vAlign w:val="center"/>
          </w:tcPr>
          <w:p>
            <w:pPr>
              <w:spacing w:after="40"/>
            </w:pPr>
            <w:r>
              <w:rPr>
                <w:sz w:val="16"/>
              </w:rPr>
              <w:t>Daily activity</w:t>
            </w:r>
          </w:p>
        </w:tc>
        <w:tc>
          <w:tcPr>
            <w:tcW w:type="dxa" w:w="2520"/>
            <w:vAlign w:val="center"/>
          </w:tcPr>
          <w:p>
            <w:pPr>
              <w:spacing w:after="40"/>
            </w:pPr>
            <w:r>
              <w:rPr>
                <w:sz w:val="16"/>
              </w:rPr>
              <w:t>Daily volume and turnover</w:t>
            </w:r>
          </w:p>
        </w:tc>
        <w:tc>
          <w:tcPr>
            <w:tcW w:type="dxa" w:w="2520"/>
            <w:vAlign w:val="center"/>
          </w:tcPr>
          <w:p>
            <w:pPr>
              <w:spacing w:after="40"/>
            </w:pPr>
            <w:r>
              <w:rPr>
                <w:sz w:val="16"/>
              </w:rPr>
              <w:t>Daily OHLCV/exchange data</w:t>
            </w:r>
          </w:p>
        </w:tc>
        <w:tc>
          <w:tcPr>
            <w:tcW w:type="dxa" w:w="2520"/>
            <w:vAlign w:val="center"/>
          </w:tcPr>
          <w:p>
            <w:pPr>
              <w:spacing w:after="40"/>
            </w:pPr>
            <w:r>
              <w:rPr>
                <w:sz w:val="16"/>
              </w:rPr>
              <w:t>How much trading occurred</w:t>
            </w:r>
          </w:p>
        </w:tc>
      </w:tr>
      <w:tr>
        <w:tc>
          <w:tcPr>
            <w:tcW w:type="dxa" w:w="2520"/>
            <w:vAlign w:val="center"/>
          </w:tcPr>
          <w:p>
            <w:pPr>
              <w:spacing w:after="40"/>
            </w:pPr>
            <w:r>
              <w:rPr>
                <w:sz w:val="16"/>
              </w:rPr>
              <w:t>Relative activity</w:t>
            </w:r>
          </w:p>
        </w:tc>
        <w:tc>
          <w:tcPr>
            <w:tcW w:type="dxa" w:w="2520"/>
            <w:vAlign w:val="center"/>
          </w:tcPr>
          <w:p>
            <w:pPr>
              <w:spacing w:after="40"/>
            </w:pPr>
            <w:r>
              <w:rPr>
                <w:sz w:val="16"/>
              </w:rPr>
              <w:t>Volume divided by trailing average/median</w:t>
            </w:r>
          </w:p>
        </w:tc>
        <w:tc>
          <w:tcPr>
            <w:tcW w:type="dxa" w:w="2520"/>
            <w:vAlign w:val="center"/>
          </w:tcPr>
          <w:p>
            <w:pPr>
              <w:spacing w:after="40"/>
            </w:pPr>
            <w:r>
              <w:rPr>
                <w:sz w:val="16"/>
              </w:rPr>
              <w:t>Daily volume history</w:t>
            </w:r>
          </w:p>
        </w:tc>
        <w:tc>
          <w:tcPr>
            <w:tcW w:type="dxa" w:w="2520"/>
            <w:vAlign w:val="center"/>
          </w:tcPr>
          <w:p>
            <w:pPr>
              <w:spacing w:after="40"/>
            </w:pPr>
            <w:r>
              <w:rPr>
                <w:sz w:val="16"/>
              </w:rPr>
              <w:t>Whether activity is unusual for that stock</w:t>
            </w:r>
          </w:p>
        </w:tc>
      </w:tr>
      <w:tr>
        <w:tc>
          <w:tcPr>
            <w:tcW w:type="dxa" w:w="2520"/>
            <w:vAlign w:val="center"/>
          </w:tcPr>
          <w:p>
            <w:pPr>
              <w:spacing w:after="40"/>
            </w:pPr>
            <w:r>
              <w:rPr>
                <w:sz w:val="16"/>
              </w:rPr>
              <w:t>Quote liquidity</w:t>
            </w:r>
          </w:p>
        </w:tc>
        <w:tc>
          <w:tcPr>
            <w:tcW w:type="dxa" w:w="2520"/>
            <w:vAlign w:val="center"/>
          </w:tcPr>
          <w:p>
            <w:pPr>
              <w:spacing w:after="40"/>
            </w:pPr>
            <w:r>
              <w:rPr>
                <w:sz w:val="16"/>
              </w:rPr>
              <w:t>Bid–ask spread and quote depth</w:t>
            </w:r>
          </w:p>
        </w:tc>
        <w:tc>
          <w:tcPr>
            <w:tcW w:type="dxa" w:w="2520"/>
            <w:vAlign w:val="center"/>
          </w:tcPr>
          <w:p>
            <w:pPr>
              <w:spacing w:after="40"/>
            </w:pPr>
            <w:r>
              <w:rPr>
                <w:sz w:val="16"/>
              </w:rPr>
              <w:t>Timestamped bid/ask quotes</w:t>
            </w:r>
          </w:p>
        </w:tc>
        <w:tc>
          <w:tcPr>
            <w:tcW w:type="dxa" w:w="2520"/>
            <w:vAlign w:val="center"/>
          </w:tcPr>
          <w:p>
            <w:pPr>
              <w:spacing w:after="40"/>
            </w:pPr>
            <w:r>
              <w:rPr>
                <w:sz w:val="16"/>
              </w:rPr>
              <w:t>Cost and availability of immediate execution</w:t>
            </w:r>
          </w:p>
        </w:tc>
      </w:tr>
      <w:tr>
        <w:tc>
          <w:tcPr>
            <w:tcW w:type="dxa" w:w="2520"/>
            <w:vAlign w:val="center"/>
          </w:tcPr>
          <w:p>
            <w:pPr>
              <w:spacing w:after="40"/>
            </w:pPr>
            <w:r>
              <w:rPr>
                <w:sz w:val="16"/>
              </w:rPr>
              <w:t>Trade flow</w:t>
            </w:r>
          </w:p>
        </w:tc>
        <w:tc>
          <w:tcPr>
            <w:tcW w:type="dxa" w:w="2520"/>
            <w:vAlign w:val="center"/>
          </w:tcPr>
          <w:p>
            <w:pPr>
              <w:spacing w:after="40"/>
            </w:pPr>
            <w:r>
              <w:rPr>
                <w:sz w:val="16"/>
              </w:rPr>
              <w:t>Buy-initiated vs sell-initiated volume</w:t>
            </w:r>
          </w:p>
        </w:tc>
        <w:tc>
          <w:tcPr>
            <w:tcW w:type="dxa" w:w="2520"/>
            <w:vAlign w:val="center"/>
          </w:tcPr>
          <w:p>
            <w:pPr>
              <w:spacing w:after="40"/>
            </w:pPr>
            <w:r>
              <w:rPr>
                <w:sz w:val="16"/>
              </w:rPr>
              <w:t>Trades plus classification rule</w:t>
            </w:r>
          </w:p>
        </w:tc>
        <w:tc>
          <w:tcPr>
            <w:tcW w:type="dxa" w:w="2520"/>
            <w:vAlign w:val="center"/>
          </w:tcPr>
          <w:p>
            <w:pPr>
              <w:spacing w:after="40"/>
            </w:pPr>
            <w:r>
              <w:rPr>
                <w:sz w:val="16"/>
              </w:rPr>
              <w:t>Direction of observed order flow, subject to classification error</w:t>
            </w:r>
          </w:p>
        </w:tc>
      </w:tr>
      <w:tr>
        <w:tc>
          <w:tcPr>
            <w:tcW w:type="dxa" w:w="2520"/>
            <w:vAlign w:val="center"/>
          </w:tcPr>
          <w:p>
            <w:pPr>
              <w:spacing w:after="40"/>
            </w:pPr>
            <w:r>
              <w:rPr>
                <w:sz w:val="16"/>
              </w:rPr>
              <w:t>Impact</w:t>
            </w:r>
          </w:p>
        </w:tc>
        <w:tc>
          <w:tcPr>
            <w:tcW w:type="dxa" w:w="2520"/>
            <w:vAlign w:val="center"/>
          </w:tcPr>
          <w:p>
            <w:pPr>
              <w:spacing w:after="40"/>
            </w:pPr>
            <w:r>
              <w:rPr>
                <w:sz w:val="16"/>
              </w:rPr>
              <w:t>Price change relative to turnover or signed flow</w:t>
            </w:r>
          </w:p>
        </w:tc>
        <w:tc>
          <w:tcPr>
            <w:tcW w:type="dxa" w:w="2520"/>
            <w:vAlign w:val="center"/>
          </w:tcPr>
          <w:p>
            <w:pPr>
              <w:spacing w:after="40"/>
            </w:pPr>
            <w:r>
              <w:rPr>
                <w:sz w:val="16"/>
              </w:rPr>
              <w:t>Price plus activity/flow series</w:t>
            </w:r>
          </w:p>
        </w:tc>
        <w:tc>
          <w:tcPr>
            <w:tcW w:type="dxa" w:w="2520"/>
            <w:vAlign w:val="center"/>
          </w:tcPr>
          <w:p>
            <w:pPr>
              <w:spacing w:after="40"/>
            </w:pPr>
            <w:r>
              <w:rPr>
                <w:sz w:val="16"/>
              </w:rPr>
              <w:t>How sensitive prices are to trading pressure</w:t>
            </w:r>
          </w:p>
        </w:tc>
      </w:tr>
    </w:tbl>
    <w:p/>
    <w:p>
      <w:pPr>
        <w:pStyle w:val="Heading1"/>
      </w:pPr>
      <w:r>
        <w:t>3. Research Dimension Tree</w:t>
      </w:r>
    </w:p>
    <w:p>
      <w:pPr>
        <w:pStyle w:val="ListBullet"/>
        <w:spacing w:after="40"/>
      </w:pPr>
      <w:r>
        <w:t>3.1 Daily activity: traded volume, traded value/turnover, number of trades, average trade size and relative activity.</w:t>
      </w:r>
    </w:p>
    <w:p>
      <w:pPr>
        <w:pStyle w:val="ListBullet"/>
        <w:spacing w:after="40"/>
      </w:pPr>
      <w:r>
        <w:t>3.2 Volume-price relationships: price move with volume confirmation, volume divergence, volume spikes on positive/negative returns.</w:t>
      </w:r>
    </w:p>
    <w:p>
      <w:pPr>
        <w:pStyle w:val="ListBullet"/>
        <w:spacing w:after="40"/>
      </w:pPr>
      <w:r>
        <w:t>3.3 Quoted liquidity: best bid/ask, absolute and percentage spread, quote size, depth at top of book and across multiple levels.</w:t>
      </w:r>
    </w:p>
    <w:p>
      <w:pPr>
        <w:pStyle w:val="ListBullet"/>
        <w:spacing w:after="40"/>
      </w:pPr>
      <w:r>
        <w:t>3.4 Trade-based liquidity: effective spread, realised spread where calculable, signed volume, trade-size distribution and trade direction.</w:t>
      </w:r>
    </w:p>
    <w:p>
      <w:pPr>
        <w:pStyle w:val="ListBullet"/>
        <w:spacing w:after="40"/>
      </w:pPr>
      <w:r>
        <w:t>3.5 Order-book structure: bid/ask depth, depth imbalance, book slope, cancellation/replenishment and quote persistence.</w:t>
      </w:r>
    </w:p>
    <w:p>
      <w:pPr>
        <w:pStyle w:val="ListBullet"/>
        <w:spacing w:after="40"/>
      </w:pPr>
      <w:r>
        <w:t>3.6 Price impact: Amihud illiquidity proxy, return per unit turnover, impact of signed order flow, temporary versus persistent impact where data support it.</w:t>
      </w:r>
    </w:p>
    <w:p>
      <w:pPr>
        <w:pStyle w:val="ListBullet"/>
        <w:spacing w:after="40"/>
      </w:pPr>
      <w:r>
        <w:t>3.7 Indian cash-market delivery data: delivery quantity, delivery percentage, traded quantity and value; compare across comparable instruments and dates.</w:t>
      </w:r>
    </w:p>
    <w:p>
      <w:pPr>
        <w:pStyle w:val="ListBullet"/>
        <w:spacing w:after="40"/>
      </w:pPr>
      <w:r>
        <w:t>3.8 Intraday seasonality: opening/closing interval activity, time-of-day volume profile, intraday high-low range, realised volatility and volatility bursts.</w:t>
      </w:r>
    </w:p>
    <w:p>
      <w:pPr>
        <w:pStyle w:val="ListBullet"/>
        <w:spacing w:after="40"/>
      </w:pPr>
      <w:r>
        <w:t>3.9 Market stress: spread widening, depth collapse, high volume with low depth, volatility/liquidity co-movement, market-wide liquidity proxies.</w:t>
      </w:r>
    </w:p>
    <w:p>
      <w:pPr>
        <w:pStyle w:val="ListBullet"/>
        <w:spacing w:after="40"/>
      </w:pPr>
      <w:r>
        <w:t>3.10 Tradability and constraints: tick size, price bands/circuit limits, trading halts, auction periods, lot size and stock liquidity tier.</w:t>
      </w:r>
    </w:p>
    <w:p>
      <w:pPr>
        <w:pStyle w:val="ListBullet"/>
        <w:spacing w:after="40"/>
      </w:pPr>
      <w:r>
        <w:t>3.11 Data quality and survivorship: stale quotes, no-trade periods, symbol changes, delistings, suspensions, corporate actions and historical universe membership.</w:t>
      </w:r>
    </w:p>
    <w:p>
      <w:pPr>
        <w:pStyle w:val="Heading1"/>
      </w:pPr>
      <w:r>
        <w:t>4. Mechanisms: Why Trading Activity May Matter</w:t>
      </w:r>
    </w:p>
    <w:p>
      <w:pPr>
        <w:pStyle w:val="Heading2"/>
      </w:pPr>
      <w:r>
        <w:t>4.1 Volume and price movement</w:t>
      </w:r>
    </w:p>
    <w:p>
      <w:r>
        <w:t>Volume measures how much trading occurred, not whether buying exceeded selling: every completed trade has both a buyer and a seller. Unusually high volume alongside a large price move can indicate a strong response to new information or changing participation, but high volume alone does not establish direction.</w:t>
      </w:r>
    </w:p>
    <w:p>
      <w:pPr>
        <w:pStyle w:val="Heading2"/>
      </w:pPr>
      <w:r>
        <w:t>4.2 Bid–ask spread</w:t>
      </w:r>
    </w:p>
    <w:p>
      <w:r>
        <w:t>The bid is the highest displayed price a buyer is willing to pay; the ask is the lowest displayed price a seller is willing to accept. The spread is the gap between them. A wider spread often means a higher immediate execution cost or greater uncertainty, but the quote can be small, stale or rapidly changing.</w:t>
      </w:r>
    </w:p>
    <w:p>
      <w:pPr>
        <w:pStyle w:val="Heading2"/>
      </w:pPr>
      <w:r>
        <w:t>4.3 Depth and imbalance</w:t>
      </w:r>
    </w:p>
    <w:p>
      <w:r>
        <w:t>Order-book depth describes the quantity available at quoted prices. A shallow book can mean a relatively small market order moves the price more. Bid/ask depth imbalance may reflect short-lived pressure, but visible orders can be cancelled and may not represent the full market.</w:t>
      </w:r>
    </w:p>
    <w:p>
      <w:pPr>
        <w:pStyle w:val="Heading2"/>
      </w:pPr>
      <w:r>
        <w:t>4.4 Price impact</w:t>
      </w:r>
    </w:p>
    <w:p>
      <w:r>
        <w:t>Price impact measures how much price changes in relation to trading activity or signed order flow. A stock that moves sharply on modest turnover may be less liquid than one that absorbs large turnover with little price movement. Impact measures depend strongly on the chosen time window and data quality.</w:t>
      </w:r>
    </w:p>
    <w:p>
      <w:pPr>
        <w:pStyle w:val="Heading2"/>
      </w:pPr>
      <w:r>
        <w:t>4.5 Delivery-based data in India</w:t>
      </w:r>
    </w:p>
    <w:p>
      <w:r>
        <w:t>Delivery quantity/percentage can provide context about cash-market settlement activity, but it is not a direct count of long-term investors or proof of accumulation. Delivery ratios vary by stock, date, settlement mechanics and market conditions. Treat them as descriptive features to test, not a guaranteed bullish/bearish signal.</w:t>
      </w:r>
    </w:p>
    <w:p>
      <w:pPr>
        <w:pStyle w:val="Heading2"/>
      </w:pPr>
      <w:r>
        <w:t>4.6 Intraday seasonality</w:t>
      </w:r>
    </w:p>
    <w:p>
      <w:r>
        <w:t>Volume and volatility often vary within a trading session. Opening and closing intervals can be more active than quieter middle intervals. Compare a given time bucket with the same bucket on prior sessions rather than with the entire day's average.</w:t>
      </w:r>
    </w:p>
    <w:p>
      <w:pPr>
        <w:pStyle w:val="Heading1"/>
      </w:pPr>
      <w:r>
        <w:t>5. Raw Data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Dataset</w:t>
            </w:r>
          </w:p>
        </w:tc>
        <w:tc>
          <w:tcPr>
            <w:tcW w:type="dxa" w:w="2520"/>
            <w:shd w:fill="D9EAF2"/>
          </w:tcPr>
          <w:p>
            <w:r>
              <w:rPr>
                <w:b/>
                <w:sz w:val="16"/>
              </w:rPr>
              <w:t>Minimum raw fields</w:t>
            </w:r>
          </w:p>
        </w:tc>
        <w:tc>
          <w:tcPr>
            <w:tcW w:type="dxa" w:w="2520"/>
            <w:shd w:fill="D9EAF2"/>
          </w:tcPr>
          <w:p>
            <w:r>
              <w:rPr>
                <w:b/>
                <w:sz w:val="16"/>
              </w:rPr>
              <w:t>Frequency/history</w:t>
            </w:r>
          </w:p>
        </w:tc>
        <w:tc>
          <w:tcPr>
            <w:tcW w:type="dxa" w:w="2520"/>
            <w:shd w:fill="D9EAF2"/>
          </w:tcPr>
          <w:p>
            <w:r>
              <w:rPr>
                <w:b/>
                <w:sz w:val="16"/>
              </w:rPr>
              <w:t>Quality checks</w:t>
            </w:r>
          </w:p>
        </w:tc>
      </w:tr>
      <w:tr>
        <w:tc>
          <w:tcPr>
            <w:tcW w:type="dxa" w:w="2520"/>
            <w:vAlign w:val="center"/>
          </w:tcPr>
          <w:p>
            <w:pPr>
              <w:spacing w:after="40"/>
            </w:pPr>
            <w:r>
              <w:rPr>
                <w:sz w:val="16"/>
              </w:rPr>
              <w:t>Daily OHLCV</w:t>
            </w:r>
          </w:p>
        </w:tc>
        <w:tc>
          <w:tcPr>
            <w:tcW w:type="dxa" w:w="2520"/>
            <w:vAlign w:val="center"/>
          </w:tcPr>
          <w:p>
            <w:pPr>
              <w:spacing w:after="40"/>
            </w:pPr>
            <w:r>
              <w:rPr>
                <w:sz w:val="16"/>
              </w:rPr>
              <w:t>Security ID, date, open/high/low/close, volume, turnover, trade count if available, source</w:t>
            </w:r>
          </w:p>
        </w:tc>
        <w:tc>
          <w:tcPr>
            <w:tcW w:type="dxa" w:w="2520"/>
            <w:vAlign w:val="center"/>
          </w:tcPr>
          <w:p>
            <w:pPr>
              <w:spacing w:after="40"/>
            </w:pPr>
            <w:r>
              <w:rPr>
                <w:sz w:val="16"/>
              </w:rPr>
              <w:t>Daily; aim for broad history</w:t>
            </w:r>
          </w:p>
        </w:tc>
        <w:tc>
          <w:tcPr>
            <w:tcW w:type="dxa" w:w="2520"/>
            <w:vAlign w:val="center"/>
          </w:tcPr>
          <w:p>
            <w:pPr>
              <w:spacing w:after="40"/>
            </w:pPr>
            <w:r>
              <w:rPr>
                <w:sz w:val="16"/>
              </w:rPr>
              <w:t>Corporate-action adjustments, suspensions, zero-volume days, units</w:t>
            </w:r>
          </w:p>
        </w:tc>
      </w:tr>
      <w:tr>
        <w:tc>
          <w:tcPr>
            <w:tcW w:type="dxa" w:w="2520"/>
            <w:vAlign w:val="center"/>
          </w:tcPr>
          <w:p>
            <w:pPr>
              <w:spacing w:after="40"/>
            </w:pPr>
            <w:r>
              <w:rPr>
                <w:sz w:val="16"/>
              </w:rPr>
              <w:t>Trades/tick data</w:t>
            </w:r>
          </w:p>
        </w:tc>
        <w:tc>
          <w:tcPr>
            <w:tcW w:type="dxa" w:w="2520"/>
            <w:vAlign w:val="center"/>
          </w:tcPr>
          <w:p>
            <w:pPr>
              <w:spacing w:after="40"/>
            </w:pPr>
            <w:r>
              <w:rPr>
                <w:sz w:val="16"/>
              </w:rPr>
              <w:t>Timestamp, price, quantity, trade ID, venue, condition flags</w:t>
            </w:r>
          </w:p>
        </w:tc>
        <w:tc>
          <w:tcPr>
            <w:tcW w:type="dxa" w:w="2520"/>
            <w:vAlign w:val="center"/>
          </w:tcPr>
          <w:p>
            <w:pPr>
              <w:spacing w:after="40"/>
            </w:pPr>
            <w:r>
              <w:rPr>
                <w:sz w:val="16"/>
              </w:rPr>
              <w:t>Tick-level or event-level</w:t>
            </w:r>
          </w:p>
        </w:tc>
        <w:tc>
          <w:tcPr>
            <w:tcW w:type="dxa" w:w="2520"/>
            <w:vAlign w:val="center"/>
          </w:tcPr>
          <w:p>
            <w:pPr>
              <w:spacing w:after="40"/>
            </w:pPr>
            <w:r>
              <w:rPr>
                <w:sz w:val="16"/>
              </w:rPr>
              <w:t>Duplicate/cancelled trades, timestamps, auction trades, sequence gaps</w:t>
            </w:r>
          </w:p>
        </w:tc>
      </w:tr>
      <w:tr>
        <w:tc>
          <w:tcPr>
            <w:tcW w:type="dxa" w:w="2520"/>
            <w:vAlign w:val="center"/>
          </w:tcPr>
          <w:p>
            <w:pPr>
              <w:spacing w:after="40"/>
            </w:pPr>
            <w:r>
              <w:rPr>
                <w:sz w:val="16"/>
              </w:rPr>
              <w:t>Quotes/order book</w:t>
            </w:r>
          </w:p>
        </w:tc>
        <w:tc>
          <w:tcPr>
            <w:tcW w:type="dxa" w:w="2520"/>
            <w:vAlign w:val="center"/>
          </w:tcPr>
          <w:p>
            <w:pPr>
              <w:spacing w:after="40"/>
            </w:pPr>
            <w:r>
              <w:rPr>
                <w:sz w:val="16"/>
              </w:rPr>
              <w:t>Timestamp, best bid/ask prices and sizes, multi-level depth, venue</w:t>
            </w:r>
          </w:p>
        </w:tc>
        <w:tc>
          <w:tcPr>
            <w:tcW w:type="dxa" w:w="2520"/>
            <w:vAlign w:val="center"/>
          </w:tcPr>
          <w:p>
            <w:pPr>
              <w:spacing w:after="40"/>
            </w:pPr>
            <w:r>
              <w:rPr>
                <w:sz w:val="16"/>
              </w:rPr>
              <w:t>Quote snapshots or updates</w:t>
            </w:r>
          </w:p>
        </w:tc>
        <w:tc>
          <w:tcPr>
            <w:tcW w:type="dxa" w:w="2520"/>
            <w:vAlign w:val="center"/>
          </w:tcPr>
          <w:p>
            <w:pPr>
              <w:spacing w:after="40"/>
            </w:pPr>
            <w:r>
              <w:rPr>
                <w:sz w:val="16"/>
              </w:rPr>
              <w:t>Stale quotes, crossed/locked markets, update latency, book reconstruction rules</w:t>
            </w:r>
          </w:p>
        </w:tc>
      </w:tr>
      <w:tr>
        <w:tc>
          <w:tcPr>
            <w:tcW w:type="dxa" w:w="2520"/>
            <w:vAlign w:val="center"/>
          </w:tcPr>
          <w:p>
            <w:pPr>
              <w:spacing w:after="40"/>
            </w:pPr>
            <w:r>
              <w:rPr>
                <w:sz w:val="16"/>
              </w:rPr>
              <w:t>Delivery data</w:t>
            </w:r>
          </w:p>
        </w:tc>
        <w:tc>
          <w:tcPr>
            <w:tcW w:type="dxa" w:w="2520"/>
            <w:vAlign w:val="center"/>
          </w:tcPr>
          <w:p>
            <w:pPr>
              <w:spacing w:after="40"/>
            </w:pPr>
            <w:r>
              <w:rPr>
                <w:sz w:val="16"/>
              </w:rPr>
              <w:t>Date, security ID, traded quantity, delivery quantity, delivery percentage</w:t>
            </w:r>
          </w:p>
        </w:tc>
        <w:tc>
          <w:tcPr>
            <w:tcW w:type="dxa" w:w="2520"/>
            <w:vAlign w:val="center"/>
          </w:tcPr>
          <w:p>
            <w:pPr>
              <w:spacing w:after="40"/>
            </w:pPr>
            <w:r>
              <w:rPr>
                <w:sz w:val="16"/>
              </w:rPr>
              <w:t>Daily where published</w:t>
            </w:r>
          </w:p>
        </w:tc>
        <w:tc>
          <w:tcPr>
            <w:tcW w:type="dxa" w:w="2520"/>
            <w:vAlign w:val="center"/>
          </w:tcPr>
          <w:p>
            <w:pPr>
              <w:spacing w:after="40"/>
            </w:pPr>
            <w:r>
              <w:rPr>
                <w:sz w:val="16"/>
              </w:rPr>
              <w:t>Definitions, settlement conventions, source revisions</w:t>
            </w:r>
          </w:p>
        </w:tc>
      </w:tr>
      <w:tr>
        <w:tc>
          <w:tcPr>
            <w:tcW w:type="dxa" w:w="2520"/>
            <w:vAlign w:val="center"/>
          </w:tcPr>
          <w:p>
            <w:pPr>
              <w:spacing w:after="40"/>
            </w:pPr>
            <w:r>
              <w:rPr>
                <w:sz w:val="16"/>
              </w:rPr>
              <w:t>Instrument reference</w:t>
            </w:r>
          </w:p>
        </w:tc>
        <w:tc>
          <w:tcPr>
            <w:tcW w:type="dxa" w:w="2520"/>
            <w:vAlign w:val="center"/>
          </w:tcPr>
          <w:p>
            <w:pPr>
              <w:spacing w:after="40"/>
            </w:pPr>
            <w:r>
              <w:rPr>
                <w:sz w:val="16"/>
              </w:rPr>
              <w:t>ISIN, symbol history, tick size, lot size, price bands, sector, listing status</w:t>
            </w:r>
          </w:p>
        </w:tc>
        <w:tc>
          <w:tcPr>
            <w:tcW w:type="dxa" w:w="2520"/>
            <w:vAlign w:val="center"/>
          </w:tcPr>
          <w:p>
            <w:pPr>
              <w:spacing w:after="40"/>
            </w:pPr>
            <w:r>
              <w:rPr>
                <w:sz w:val="16"/>
              </w:rPr>
              <w:t>Versioned reference data</w:t>
            </w:r>
          </w:p>
        </w:tc>
        <w:tc>
          <w:tcPr>
            <w:tcW w:type="dxa" w:w="2520"/>
            <w:vAlign w:val="center"/>
          </w:tcPr>
          <w:p>
            <w:pPr>
              <w:spacing w:after="40"/>
            </w:pPr>
            <w:r>
              <w:rPr>
                <w:sz w:val="16"/>
              </w:rPr>
              <w:t>Symbol changes, splits, mergers, suspensions</w:t>
            </w:r>
          </w:p>
        </w:tc>
      </w:tr>
      <w:tr>
        <w:tc>
          <w:tcPr>
            <w:tcW w:type="dxa" w:w="2520"/>
            <w:vAlign w:val="center"/>
          </w:tcPr>
          <w:p>
            <w:pPr>
              <w:spacing w:after="40"/>
            </w:pPr>
            <w:r>
              <w:rPr>
                <w:sz w:val="16"/>
              </w:rPr>
              <w:t>Market calendar</w:t>
            </w:r>
          </w:p>
        </w:tc>
        <w:tc>
          <w:tcPr>
            <w:tcW w:type="dxa" w:w="2520"/>
            <w:vAlign w:val="center"/>
          </w:tcPr>
          <w:p>
            <w:pPr>
              <w:spacing w:after="40"/>
            </w:pPr>
            <w:r>
              <w:rPr>
                <w:sz w:val="16"/>
              </w:rPr>
              <w:t>Session open/close, holidays, auctions, special sessions</w:t>
            </w:r>
          </w:p>
        </w:tc>
        <w:tc>
          <w:tcPr>
            <w:tcW w:type="dxa" w:w="2520"/>
            <w:vAlign w:val="center"/>
          </w:tcPr>
          <w:p>
            <w:pPr>
              <w:spacing w:after="40"/>
            </w:pPr>
            <w:r>
              <w:rPr>
                <w:sz w:val="16"/>
              </w:rPr>
              <w:t>Calendar</w:t>
            </w:r>
          </w:p>
        </w:tc>
        <w:tc>
          <w:tcPr>
            <w:tcW w:type="dxa" w:w="2520"/>
            <w:vAlign w:val="center"/>
          </w:tcPr>
          <w:p>
            <w:pPr>
              <w:spacing w:after="40"/>
            </w:pPr>
            <w:r>
              <w:rPr>
                <w:sz w:val="16"/>
              </w:rPr>
              <w:t>Time zones, special sessions, early closes</w:t>
            </w:r>
          </w:p>
        </w:tc>
      </w:tr>
      <w:tr>
        <w:tc>
          <w:tcPr>
            <w:tcW w:type="dxa" w:w="2520"/>
            <w:vAlign w:val="center"/>
          </w:tcPr>
          <w:p>
            <w:pPr>
              <w:spacing w:after="40"/>
            </w:pPr>
            <w:r>
              <w:rPr>
                <w:sz w:val="16"/>
              </w:rPr>
              <w:t>Benchmark/sector series</w:t>
            </w:r>
          </w:p>
        </w:tc>
        <w:tc>
          <w:tcPr>
            <w:tcW w:type="dxa" w:w="2520"/>
            <w:vAlign w:val="center"/>
          </w:tcPr>
          <w:p>
            <w:pPr>
              <w:spacing w:after="40"/>
            </w:pPr>
            <w:r>
              <w:rPr>
                <w:sz w:val="16"/>
              </w:rPr>
              <w:t>Index returns and sector returns with timestamps</w:t>
            </w:r>
          </w:p>
        </w:tc>
        <w:tc>
          <w:tcPr>
            <w:tcW w:type="dxa" w:w="2520"/>
            <w:vAlign w:val="center"/>
          </w:tcPr>
          <w:p>
            <w:pPr>
              <w:spacing w:after="40"/>
            </w:pPr>
            <w:r>
              <w:rPr>
                <w:sz w:val="16"/>
              </w:rPr>
              <w:t>Daily/intraday aligned</w:t>
            </w:r>
          </w:p>
        </w:tc>
        <w:tc>
          <w:tcPr>
            <w:tcW w:type="dxa" w:w="2520"/>
            <w:vAlign w:val="center"/>
          </w:tcPr>
          <w:p>
            <w:pPr>
              <w:spacing w:after="40"/>
            </w:pPr>
            <w:r>
              <w:rPr>
                <w:sz w:val="16"/>
              </w:rPr>
              <w:t>Same intervals and market sessions</w:t>
            </w:r>
          </w:p>
        </w:tc>
      </w:tr>
      <w:tr>
        <w:tc>
          <w:tcPr>
            <w:tcW w:type="dxa" w:w="2520"/>
            <w:vAlign w:val="center"/>
          </w:tcPr>
          <w:p>
            <w:pPr>
              <w:spacing w:after="40"/>
            </w:pPr>
            <w:r>
              <w:rPr>
                <w:sz w:val="16"/>
              </w:rPr>
              <w:t>Execution context</w:t>
            </w:r>
          </w:p>
        </w:tc>
        <w:tc>
          <w:tcPr>
            <w:tcW w:type="dxa" w:w="2520"/>
            <w:vAlign w:val="center"/>
          </w:tcPr>
          <w:p>
            <w:pPr>
              <w:spacing w:after="40"/>
            </w:pPr>
            <w:r>
              <w:rPr>
                <w:sz w:val="16"/>
              </w:rPr>
              <w:t>Trade size assumptions, fees, taxes, slippage, latency if backtesting</w:t>
            </w:r>
          </w:p>
        </w:tc>
        <w:tc>
          <w:tcPr>
            <w:tcW w:type="dxa" w:w="2520"/>
            <w:vAlign w:val="center"/>
          </w:tcPr>
          <w:p>
            <w:pPr>
              <w:spacing w:after="40"/>
            </w:pPr>
            <w:r>
              <w:rPr>
                <w:sz w:val="16"/>
              </w:rPr>
              <w:t>Scenario-based</w:t>
            </w:r>
          </w:p>
        </w:tc>
        <w:tc>
          <w:tcPr>
            <w:tcW w:type="dxa" w:w="2520"/>
            <w:vAlign w:val="center"/>
          </w:tcPr>
          <w:p>
            <w:pPr>
              <w:spacing w:after="40"/>
            </w:pPr>
            <w:r>
              <w:rPr>
                <w:sz w:val="16"/>
              </w:rPr>
              <w:t>Do not assume fills at mid-price or close</w:t>
            </w:r>
          </w:p>
        </w:tc>
      </w:tr>
    </w:tbl>
    <w:p/>
    <w:p>
      <w:r>
        <w:t>For a prototype, daily OHLCV is usually the easiest starting point. A genuine spread/depth/flow model needs quote/trade data with appropriate history, precise timestamps and permission to store and analyse it.</w:t>
      </w:r>
    </w:p>
    <w:p>
      <w:pPr>
        <w:pStyle w:val="Heading1"/>
      </w:pPr>
      <w:r>
        <w:t>6. Candidate Features and Mathematical Definitions</w:t>
      </w:r>
    </w:p>
    <w:p>
      <w:r>
        <w:t>Let P_t be close price, V_t be traded volume, TV_t be turnover/traded value, bid_t and ask_t be best displayed prices, and Q^b_t and Q^a_t be displayed bid/ask quantities. Definitions should be consistent across the chosen data source.</w:t>
      </w:r>
    </w:p>
    <w:p>
      <w:pPr>
        <w:pStyle w:val="Heading2"/>
      </w:pPr>
      <w:r>
        <w:t>6.1 Daily activity</w:t>
      </w:r>
    </w:p>
    <w:p>
      <w:pPr>
        <w:pStyle w:val="ListBullet"/>
        <w:spacing w:after="40"/>
      </w:pPr>
      <w:r>
        <w:t>Relative volume: relvol_t = V_t / mean(V_(t−1), …, V_(t−k)). A trailing median can be more robust to outliers.</w:t>
      </w:r>
    </w:p>
    <w:p>
      <w:pPr>
        <w:pStyle w:val="ListBullet"/>
        <w:spacing w:after="40"/>
      </w:pPr>
      <w:r>
        <w:t>Volume surprise: vol_z_t = (V_t − trailing_mean(V)) / trailing_std(V), with all statistics computed from past observations only.</w:t>
      </w:r>
    </w:p>
    <w:p>
      <w:pPr>
        <w:pStyle w:val="ListBullet"/>
        <w:spacing w:after="40"/>
      </w:pPr>
      <w:r>
        <w:t>Turnover: TV_t = sum(price_i × quantity_i) across eligible trades, or the provider's defined traded-value field. Do not confuse traded value with number of shares.</w:t>
      </w:r>
    </w:p>
    <w:p>
      <w:pPr>
        <w:pStyle w:val="ListBullet"/>
        <w:spacing w:after="40"/>
      </w:pPr>
      <w:r>
        <w:t>Average trade size: avg_trade_size_t = V_t / trade_count_t, when trade count is defined and non-zero.</w:t>
      </w:r>
    </w:p>
    <w:p>
      <w:pPr>
        <w:pStyle w:val="ListBullet"/>
        <w:spacing w:after="40"/>
      </w:pPr>
      <w:r>
        <w:t>Price-volume interaction: pv_t = sign(return_t) × relvol_t, or retain return and relative volume separately before testing interactions.</w:t>
      </w:r>
    </w:p>
    <w:p>
      <w:pPr>
        <w:pStyle w:val="ListBullet"/>
        <w:spacing w:after="40"/>
      </w:pPr>
      <w:r>
        <w:t>Volume-price divergence: compare return direction with whether volume is above/below its trailing baseline; define discrete rules in advance.</w:t>
      </w:r>
    </w:p>
    <w:p>
      <w:pPr>
        <w:pStyle w:val="Heading2"/>
      </w:pPr>
      <w:r>
        <w:t>6.2 Bid–ask spread and depth</w:t>
      </w:r>
    </w:p>
    <w:p>
      <w:pPr>
        <w:pStyle w:val="ListBullet"/>
        <w:spacing w:after="40"/>
      </w:pPr>
      <w:r>
        <w:t>Absolute quoted spread: spread_t = ask_t − bid_t.</w:t>
      </w:r>
    </w:p>
    <w:p>
      <w:pPr>
        <w:pStyle w:val="ListBullet"/>
        <w:spacing w:after="40"/>
      </w:pPr>
      <w:r>
        <w:t>Mid-price: mid_t = (ask_t + bid_t) / 2.</w:t>
      </w:r>
    </w:p>
    <w:p>
      <w:pPr>
        <w:pStyle w:val="ListBullet"/>
        <w:spacing w:after="40"/>
      </w:pPr>
      <w:r>
        <w:t>Relative spread in basis points: relspread_bp = ((ask_t − bid_t) / mid_t) × 10,000.</w:t>
      </w:r>
    </w:p>
    <w:p>
      <w:pPr>
        <w:pStyle w:val="ListBullet"/>
        <w:spacing w:after="40"/>
      </w:pPr>
      <w:r>
        <w:t>Top-of-book depth: depth_t = Q^b_t + Q^a_t, or keep bid and ask depth separately.</w:t>
      </w:r>
    </w:p>
    <w:p>
      <w:pPr>
        <w:pStyle w:val="ListBullet"/>
        <w:spacing w:after="40"/>
      </w:pPr>
      <w:r>
        <w:t>Depth imbalance: imbalance_t = (Q^b_t − Q^a_t) / (Q^b_t + Q^a_t). The result lies between −1 and +1 when the denominator is positive.</w:t>
      </w:r>
    </w:p>
    <w:p>
      <w:pPr>
        <w:pStyle w:val="ListBullet"/>
        <w:spacing w:after="40"/>
      </w:pPr>
      <w:r>
        <w:t>Multi-level depth: sum displayed quantities across the first n bid levels and first n ask levels; record n and the price-distance band.</w:t>
      </w:r>
    </w:p>
    <w:p>
      <w:pPr>
        <w:pStyle w:val="Heading2"/>
      </w:pPr>
      <w:r>
        <w:t>6.3 Trade-based liquidity and impact</w:t>
      </w:r>
    </w:p>
    <w:p>
      <w:pPr>
        <w:pStyle w:val="ListBullet"/>
        <w:spacing w:after="40"/>
      </w:pPr>
      <w:r>
        <w:t>Effective spread (using trade price p_t and mid-price m_t at the trade time): effective_spread = 2 × sign(p_t − m_t) × (p_t − m_t), where the sign/classification convention must be defined. Alternative absolute effective-spread definitions exist; document the chosen one.</w:t>
      </w:r>
    </w:p>
    <w:p>
      <w:pPr>
        <w:pStyle w:val="ListBullet"/>
        <w:spacing w:after="40"/>
      </w:pPr>
      <w:r>
        <w:t>Amihud-style illiquidity proxy: mean(|daily return_t| / traded value_t) over a trailing window. Define units and handle zero turnover explicitly.</w:t>
      </w:r>
    </w:p>
    <w:p>
      <w:pPr>
        <w:pStyle w:val="ListBullet"/>
        <w:spacing w:after="40"/>
      </w:pPr>
      <w:r>
        <w:t>Return per turnover: |return_t| / TV_t, as a rough sensitivity proxy rather than a universal liquidity measure.</w:t>
      </w:r>
    </w:p>
    <w:p>
      <w:pPr>
        <w:pStyle w:val="ListBullet"/>
        <w:spacing w:after="40"/>
      </w:pPr>
      <w:r>
        <w:t>Signed order-flow imbalance: (buyer-initiated volume − seller-initiated volume) / total classified volume. Results depend on the trade-direction classification algorithm.</w:t>
      </w:r>
    </w:p>
    <w:p>
      <w:pPr>
        <w:pStyle w:val="ListBullet"/>
        <w:spacing w:after="40"/>
      </w:pPr>
      <w:r>
        <w:t>Order-book imbalance persistence: average or fraction of snapshots with imbalance above/below a threshold during a pre-defined interval.</w:t>
      </w:r>
    </w:p>
    <w:p>
      <w:pPr>
        <w:pStyle w:val="ListBullet"/>
        <w:spacing w:after="40"/>
      </w:pPr>
      <w:r>
        <w:t>Spread/depth stress: current spread percentile and depth percentile versus the trailing history for the same time-of-day bucket.</w:t>
      </w:r>
    </w:p>
    <w:p>
      <w:pPr>
        <w:pStyle w:val="Heading2"/>
      </w:pPr>
      <w:r>
        <w:t>6.4 Delivery and intraday features</w:t>
      </w:r>
    </w:p>
    <w:p>
      <w:pPr>
        <w:pStyle w:val="ListBullet"/>
        <w:spacing w:after="40"/>
      </w:pPr>
      <w:r>
        <w:t>Delivery percentage: delivery_quantity / traded_quantity × 100, when both quantities use the same source definition.</w:t>
      </w:r>
    </w:p>
    <w:p>
      <w:pPr>
        <w:pStyle w:val="ListBullet"/>
        <w:spacing w:after="40"/>
      </w:pPr>
      <w:r>
        <w:t>Delivery activity surprise: current delivery percentage minus its trailing mean/median, or a training-derived z-score.</w:t>
      </w:r>
    </w:p>
    <w:p>
      <w:pPr>
        <w:pStyle w:val="ListBullet"/>
        <w:spacing w:after="40"/>
      </w:pPr>
      <w:r>
        <w:t>Intraday realised volatility: square root of the sum of squared intraday returns over a defined session; document sampling interval and microstructure-noise treatment.</w:t>
      </w:r>
    </w:p>
    <w:p>
      <w:pPr>
        <w:pStyle w:val="ListBullet"/>
        <w:spacing w:after="40"/>
      </w:pPr>
      <w:r>
        <w:t>Time-bucket relative volume: volume in a given 5/15/30-minute bucket divided by the trailing average for that same bucket.</w:t>
      </w:r>
    </w:p>
    <w:p>
      <w:pPr>
        <w:pStyle w:val="ListBullet"/>
        <w:spacing w:after="40"/>
      </w:pPr>
      <w:r>
        <w:t>Intraday range: (high − low) / prior close, using the defined interval and avoiding any use of future interval extremes before the interval completes.</w:t>
      </w:r>
    </w:p>
    <w:p>
      <w:pPr>
        <w:pStyle w:val="ListBullet"/>
        <w:spacing w:after="40"/>
      </w:pPr>
      <w:r>
        <w:t>Opening gap and first-interval activity: calculate only after the opening data are observed; not available to a pre-open prediction.</w:t>
      </w:r>
    </w:p>
    <w:p>
      <w:pPr>
        <w:pStyle w:val="Heading1"/>
      </w:pPr>
      <w:r>
        <w:t>7. Worked Examples (Illustrative Only)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sz w:val="16"/>
              </w:rPr>
              <w:t>Input</w:t>
            </w:r>
          </w:p>
        </w:tc>
        <w:tc>
          <w:tcPr>
            <w:tcW w:type="dxa" w:w="3360"/>
            <w:shd w:fill="D9EAF2"/>
          </w:tcPr>
          <w:p>
            <w:r>
              <w:rPr>
                <w:b/>
                <w:sz w:val="16"/>
              </w:rPr>
              <w:t>Calculation</w:t>
            </w:r>
          </w:p>
        </w:tc>
        <w:tc>
          <w:tcPr>
            <w:tcW w:type="dxa" w:w="3360"/>
            <w:shd w:fill="D9EAF2"/>
          </w:tcPr>
          <w:p>
            <w:r>
              <w:rPr>
                <w:b/>
                <w:sz w:val="16"/>
              </w:rPr>
              <w:t>Interpretation</w:t>
            </w:r>
          </w:p>
        </w:tc>
      </w:tr>
      <w:tr>
        <w:tc>
          <w:tcPr>
            <w:tcW w:type="dxa" w:w="3360"/>
            <w:vAlign w:val="center"/>
          </w:tcPr>
          <w:p>
            <w:pPr>
              <w:spacing w:after="40"/>
            </w:pPr>
            <w:r>
              <w:rPr>
                <w:sz w:val="16"/>
              </w:rPr>
              <w:t>Today's volume 1.5 million; trailing 20-day average 1.0 million</w:t>
            </w:r>
          </w:p>
        </w:tc>
        <w:tc>
          <w:tcPr>
            <w:tcW w:type="dxa" w:w="3360"/>
            <w:vAlign w:val="center"/>
          </w:tcPr>
          <w:p>
            <w:pPr>
              <w:spacing w:after="40"/>
            </w:pPr>
            <w:r>
              <w:rPr>
                <w:sz w:val="16"/>
              </w:rPr>
              <w:t>Relative volume = 1.5 / 1.0 = 1.5×</w:t>
            </w:r>
          </w:p>
        </w:tc>
        <w:tc>
          <w:tcPr>
            <w:tcW w:type="dxa" w:w="3360"/>
            <w:vAlign w:val="center"/>
          </w:tcPr>
          <w:p>
            <w:pPr>
              <w:spacing w:after="40"/>
            </w:pPr>
            <w:r>
              <w:rPr>
                <w:sz w:val="16"/>
              </w:rPr>
              <w:t>Trading volume is 50% above the trailing average; this alone does not reveal buying or selling direction.</w:t>
            </w:r>
          </w:p>
        </w:tc>
      </w:tr>
      <w:tr>
        <w:tc>
          <w:tcPr>
            <w:tcW w:type="dxa" w:w="3360"/>
            <w:vAlign w:val="center"/>
          </w:tcPr>
          <w:p>
            <w:pPr>
              <w:spacing w:after="40"/>
            </w:pPr>
            <w:r>
              <w:rPr>
                <w:sz w:val="16"/>
              </w:rPr>
              <w:t>Best bid ₹99.90; best ask ₹100.10</w:t>
            </w:r>
          </w:p>
        </w:tc>
        <w:tc>
          <w:tcPr>
            <w:tcW w:type="dxa" w:w="3360"/>
            <w:vAlign w:val="center"/>
          </w:tcPr>
          <w:p>
            <w:pPr>
              <w:spacing w:after="40"/>
            </w:pPr>
            <w:r>
              <w:rPr>
                <w:sz w:val="16"/>
              </w:rPr>
              <w:t>Spread = ₹0.20; mid = ₹100; relative spread = 20 bp</w:t>
            </w:r>
          </w:p>
        </w:tc>
        <w:tc>
          <w:tcPr>
            <w:tcW w:type="dxa" w:w="3360"/>
            <w:vAlign w:val="center"/>
          </w:tcPr>
          <w:p>
            <w:pPr>
              <w:spacing w:after="40"/>
            </w:pPr>
            <w:r>
              <w:rPr>
                <w:sz w:val="16"/>
              </w:rPr>
              <w:t>The displayed spread equals 0.20% of mid-price, before fees and slippage.</w:t>
            </w:r>
          </w:p>
        </w:tc>
      </w:tr>
      <w:tr>
        <w:tc>
          <w:tcPr>
            <w:tcW w:type="dxa" w:w="3360"/>
            <w:vAlign w:val="center"/>
          </w:tcPr>
          <w:p>
            <w:pPr>
              <w:spacing w:after="40"/>
            </w:pPr>
            <w:r>
              <w:rPr>
                <w:sz w:val="16"/>
              </w:rPr>
              <w:t>Bid depth 8,000 shares; ask depth 12,000 shares</w:t>
            </w:r>
          </w:p>
        </w:tc>
        <w:tc>
          <w:tcPr>
            <w:tcW w:type="dxa" w:w="3360"/>
            <w:vAlign w:val="center"/>
          </w:tcPr>
          <w:p>
            <w:pPr>
              <w:spacing w:after="40"/>
            </w:pPr>
            <w:r>
              <w:rPr>
                <w:sz w:val="16"/>
              </w:rPr>
              <w:t>(8,000 − 12,000) / 20,000 = −0.20</w:t>
            </w:r>
          </w:p>
        </w:tc>
        <w:tc>
          <w:tcPr>
            <w:tcW w:type="dxa" w:w="3360"/>
            <w:vAlign w:val="center"/>
          </w:tcPr>
          <w:p>
            <w:pPr>
              <w:spacing w:after="40"/>
            </w:pPr>
            <w:r>
              <w:rPr>
                <w:sz w:val="16"/>
              </w:rPr>
              <w:t>Displayed top-of-book depth is ask-heavy at that snapshot; it is not a guaranteed prediction of price direction.</w:t>
            </w:r>
          </w:p>
        </w:tc>
      </w:tr>
      <w:tr>
        <w:tc>
          <w:tcPr>
            <w:tcW w:type="dxa" w:w="3360"/>
            <w:vAlign w:val="center"/>
          </w:tcPr>
          <w:p>
            <w:pPr>
              <w:spacing w:after="40"/>
            </w:pPr>
            <w:r>
              <w:rPr>
                <w:sz w:val="16"/>
              </w:rPr>
              <w:t>Daily return 2%; turnover ₹20 crore</w:t>
            </w:r>
          </w:p>
        </w:tc>
        <w:tc>
          <w:tcPr>
            <w:tcW w:type="dxa" w:w="3360"/>
            <w:vAlign w:val="center"/>
          </w:tcPr>
          <w:p>
            <w:pPr>
              <w:spacing w:after="40"/>
            </w:pPr>
            <w:r>
              <w:rPr>
                <w:sz w:val="16"/>
              </w:rPr>
              <w:t>|0.02| / 20 = 0.001 per ₹ crore under this unit convention</w:t>
            </w:r>
          </w:p>
        </w:tc>
        <w:tc>
          <w:tcPr>
            <w:tcW w:type="dxa" w:w="3360"/>
            <w:vAlign w:val="center"/>
          </w:tcPr>
          <w:p>
            <w:pPr>
              <w:spacing w:after="40"/>
            </w:pPr>
            <w:r>
              <w:rPr>
                <w:sz w:val="16"/>
              </w:rPr>
              <w:t>Illustrates a return-per-turnover proxy; compare only with consistent units and historical context.</w:t>
            </w:r>
          </w:p>
        </w:tc>
      </w:tr>
      <w:tr>
        <w:tc>
          <w:tcPr>
            <w:tcW w:type="dxa" w:w="3360"/>
            <w:vAlign w:val="center"/>
          </w:tcPr>
          <w:p>
            <w:pPr>
              <w:spacing w:after="40"/>
            </w:pPr>
            <w:r>
              <w:rPr>
                <w:sz w:val="16"/>
              </w:rPr>
              <w:t>Delivery 300,000 shares; traded quantity 1,000,000</w:t>
            </w:r>
          </w:p>
        </w:tc>
        <w:tc>
          <w:tcPr>
            <w:tcW w:type="dxa" w:w="3360"/>
            <w:vAlign w:val="center"/>
          </w:tcPr>
          <w:p>
            <w:pPr>
              <w:spacing w:after="40"/>
            </w:pPr>
            <w:r>
              <w:rPr>
                <w:sz w:val="16"/>
              </w:rPr>
              <w:t>300,000 / 1,000,000 × 100 = 30%</w:t>
            </w:r>
          </w:p>
        </w:tc>
        <w:tc>
          <w:tcPr>
            <w:tcW w:type="dxa" w:w="3360"/>
            <w:vAlign w:val="center"/>
          </w:tcPr>
          <w:p>
            <w:pPr>
              <w:spacing w:after="40"/>
            </w:pPr>
            <w:r>
              <w:rPr>
                <w:sz w:val="16"/>
              </w:rPr>
              <w:t>Delivery percentage is 30% under these definitions; it does not prove long-term accumulation.</w:t>
            </w:r>
          </w:p>
        </w:tc>
      </w:tr>
    </w:tbl>
    <w:p/>
    <w:p>
      <w:r>
        <w:t>Numbers are invented for teaching feature construction, not actual market observations.</w:t>
      </w:r>
    </w:p>
    <w:p>
      <w:pPr>
        <w:pStyle w:val="Heading1"/>
      </w:pPr>
      <w:r>
        <w:t>8. Candidate Dataset Columns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Column</w:t>
            </w:r>
          </w:p>
        </w:tc>
        <w:tc>
          <w:tcPr>
            <w:tcW w:type="dxa" w:w="2520"/>
            <w:shd w:fill="D9EAF2"/>
          </w:tcPr>
          <w:p>
            <w:r>
              <w:rPr>
                <w:b/>
                <w:sz w:val="16"/>
              </w:rPr>
              <w:t>Definition</w:t>
            </w:r>
          </w:p>
        </w:tc>
        <w:tc>
          <w:tcPr>
            <w:tcW w:type="dxa" w:w="2520"/>
            <w:shd w:fill="D9EAF2"/>
          </w:tcPr>
          <w:p>
            <w:r>
              <w:rPr>
                <w:b/>
                <w:sz w:val="16"/>
              </w:rPr>
              <w:t>Data tier / timing</w:t>
            </w:r>
          </w:p>
        </w:tc>
        <w:tc>
          <w:tcPr>
            <w:tcW w:type="dxa" w:w="2520"/>
            <w:shd w:fill="D9EAF2"/>
          </w:tcPr>
          <w:p>
            <w:r>
              <w:rPr>
                <w:b/>
                <w:sz w:val="16"/>
              </w:rPr>
              <w:t>Caveat</w:t>
            </w:r>
          </w:p>
        </w:tc>
      </w:tr>
      <w:tr>
        <w:tc>
          <w:tcPr>
            <w:tcW w:type="dxa" w:w="2520"/>
            <w:vAlign w:val="center"/>
          </w:tcPr>
          <w:p>
            <w:pPr>
              <w:spacing w:after="40"/>
            </w:pPr>
            <w:r>
              <w:rPr>
                <w:sz w:val="16"/>
              </w:rPr>
              <w:t>volume</w:t>
            </w:r>
          </w:p>
        </w:tc>
        <w:tc>
          <w:tcPr>
            <w:tcW w:type="dxa" w:w="2520"/>
            <w:vAlign w:val="center"/>
          </w:tcPr>
          <w:p>
            <w:pPr>
              <w:spacing w:after="40"/>
            </w:pPr>
            <w:r>
              <w:rPr>
                <w:sz w:val="16"/>
              </w:rPr>
              <w:t>Daily traded quantity</w:t>
            </w:r>
          </w:p>
        </w:tc>
        <w:tc>
          <w:tcPr>
            <w:tcW w:type="dxa" w:w="2520"/>
            <w:vAlign w:val="center"/>
          </w:tcPr>
          <w:p>
            <w:pPr>
              <w:spacing w:after="40"/>
            </w:pPr>
            <w:r>
              <w:rPr>
                <w:sz w:val="16"/>
              </w:rPr>
              <w:t>Daily OHLCV</w:t>
            </w:r>
          </w:p>
        </w:tc>
        <w:tc>
          <w:tcPr>
            <w:tcW w:type="dxa" w:w="2520"/>
            <w:vAlign w:val="center"/>
          </w:tcPr>
          <w:p>
            <w:pPr>
              <w:spacing w:after="40"/>
            </w:pPr>
            <w:r>
              <w:rPr>
                <w:sz w:val="16"/>
              </w:rPr>
              <w:t>Corporate actions and instrument units</w:t>
            </w:r>
          </w:p>
        </w:tc>
      </w:tr>
      <w:tr>
        <w:tc>
          <w:tcPr>
            <w:tcW w:type="dxa" w:w="2520"/>
            <w:vAlign w:val="center"/>
          </w:tcPr>
          <w:p>
            <w:pPr>
              <w:spacing w:after="40"/>
            </w:pPr>
            <w:r>
              <w:rPr>
                <w:sz w:val="16"/>
              </w:rPr>
              <w:t>turnover_value</w:t>
            </w:r>
          </w:p>
        </w:tc>
        <w:tc>
          <w:tcPr>
            <w:tcW w:type="dxa" w:w="2520"/>
            <w:vAlign w:val="center"/>
          </w:tcPr>
          <w:p>
            <w:pPr>
              <w:spacing w:after="40"/>
            </w:pPr>
            <w:r>
              <w:rPr>
                <w:sz w:val="16"/>
              </w:rPr>
              <w:t>Daily traded value</w:t>
            </w:r>
          </w:p>
        </w:tc>
        <w:tc>
          <w:tcPr>
            <w:tcW w:type="dxa" w:w="2520"/>
            <w:vAlign w:val="center"/>
          </w:tcPr>
          <w:p>
            <w:pPr>
              <w:spacing w:after="40"/>
            </w:pPr>
            <w:r>
              <w:rPr>
                <w:sz w:val="16"/>
              </w:rPr>
              <w:t>Daily OHLCV/exchange report</w:t>
            </w:r>
          </w:p>
        </w:tc>
        <w:tc>
          <w:tcPr>
            <w:tcW w:type="dxa" w:w="2520"/>
            <w:vAlign w:val="center"/>
          </w:tcPr>
          <w:p>
            <w:pPr>
              <w:spacing w:after="40"/>
            </w:pPr>
            <w:r>
              <w:rPr>
                <w:sz w:val="16"/>
              </w:rPr>
              <w:t>Currency and source definition</w:t>
            </w:r>
          </w:p>
        </w:tc>
      </w:tr>
      <w:tr>
        <w:tc>
          <w:tcPr>
            <w:tcW w:type="dxa" w:w="2520"/>
            <w:vAlign w:val="center"/>
          </w:tcPr>
          <w:p>
            <w:pPr>
              <w:spacing w:after="40"/>
            </w:pPr>
            <w:r>
              <w:rPr>
                <w:sz w:val="16"/>
              </w:rPr>
              <w:t>relative_volume_20d</w:t>
            </w:r>
          </w:p>
        </w:tc>
        <w:tc>
          <w:tcPr>
            <w:tcW w:type="dxa" w:w="2520"/>
            <w:vAlign w:val="center"/>
          </w:tcPr>
          <w:p>
            <w:pPr>
              <w:spacing w:after="40"/>
            </w:pPr>
            <w:r>
              <w:rPr>
                <w:sz w:val="16"/>
              </w:rPr>
              <w:t>Volume / trailing 20-session average</w:t>
            </w:r>
          </w:p>
        </w:tc>
        <w:tc>
          <w:tcPr>
            <w:tcW w:type="dxa" w:w="2520"/>
            <w:vAlign w:val="center"/>
          </w:tcPr>
          <w:p>
            <w:pPr>
              <w:spacing w:after="40"/>
            </w:pPr>
            <w:r>
              <w:rPr>
                <w:sz w:val="16"/>
              </w:rPr>
              <w:t>Daily</w:t>
            </w:r>
          </w:p>
        </w:tc>
        <w:tc>
          <w:tcPr>
            <w:tcW w:type="dxa" w:w="2520"/>
            <w:vAlign w:val="center"/>
          </w:tcPr>
          <w:p>
            <w:pPr>
              <w:spacing w:after="40"/>
            </w:pPr>
            <w:r>
              <w:rPr>
                <w:sz w:val="16"/>
              </w:rPr>
              <w:t>Use past observations only</w:t>
            </w:r>
          </w:p>
        </w:tc>
      </w:tr>
      <w:tr>
        <w:tc>
          <w:tcPr>
            <w:tcW w:type="dxa" w:w="2520"/>
            <w:vAlign w:val="center"/>
          </w:tcPr>
          <w:p>
            <w:pPr>
              <w:spacing w:after="40"/>
            </w:pPr>
            <w:r>
              <w:rPr>
                <w:sz w:val="16"/>
              </w:rPr>
              <w:t>volume_z_20d</w:t>
            </w:r>
          </w:p>
        </w:tc>
        <w:tc>
          <w:tcPr>
            <w:tcW w:type="dxa" w:w="2520"/>
            <w:vAlign w:val="center"/>
          </w:tcPr>
          <w:p>
            <w:pPr>
              <w:spacing w:after="40"/>
            </w:pPr>
            <w:r>
              <w:rPr>
                <w:sz w:val="16"/>
              </w:rPr>
              <w:t>Training/history-based volume z-score</w:t>
            </w:r>
          </w:p>
        </w:tc>
        <w:tc>
          <w:tcPr>
            <w:tcW w:type="dxa" w:w="2520"/>
            <w:vAlign w:val="center"/>
          </w:tcPr>
          <w:p>
            <w:pPr>
              <w:spacing w:after="40"/>
            </w:pPr>
            <w:r>
              <w:rPr>
                <w:sz w:val="16"/>
              </w:rPr>
              <w:t>Daily</w:t>
            </w:r>
          </w:p>
        </w:tc>
        <w:tc>
          <w:tcPr>
            <w:tcW w:type="dxa" w:w="2520"/>
            <w:vAlign w:val="center"/>
          </w:tcPr>
          <w:p>
            <w:pPr>
              <w:spacing w:after="40"/>
            </w:pPr>
            <w:r>
              <w:rPr>
                <w:sz w:val="16"/>
              </w:rPr>
              <w:t>Handle zero variance/outliers</w:t>
            </w:r>
          </w:p>
        </w:tc>
      </w:tr>
      <w:tr>
        <w:tc>
          <w:tcPr>
            <w:tcW w:type="dxa" w:w="2520"/>
            <w:vAlign w:val="center"/>
          </w:tcPr>
          <w:p>
            <w:pPr>
              <w:spacing w:after="40"/>
            </w:pPr>
            <w:r>
              <w:rPr>
                <w:sz w:val="16"/>
              </w:rPr>
              <w:t>trade_count</w:t>
            </w:r>
          </w:p>
        </w:tc>
        <w:tc>
          <w:tcPr>
            <w:tcW w:type="dxa" w:w="2520"/>
            <w:vAlign w:val="center"/>
          </w:tcPr>
          <w:p>
            <w:pPr>
              <w:spacing w:after="40"/>
            </w:pPr>
            <w:r>
              <w:rPr>
                <w:sz w:val="16"/>
              </w:rPr>
              <w:t>Number of trades</w:t>
            </w:r>
          </w:p>
        </w:tc>
        <w:tc>
          <w:tcPr>
            <w:tcW w:type="dxa" w:w="2520"/>
            <w:vAlign w:val="center"/>
          </w:tcPr>
          <w:p>
            <w:pPr>
              <w:spacing w:after="40"/>
            </w:pPr>
            <w:r>
              <w:rPr>
                <w:sz w:val="16"/>
              </w:rPr>
              <w:t>Daily or trade data</w:t>
            </w:r>
          </w:p>
        </w:tc>
        <w:tc>
          <w:tcPr>
            <w:tcW w:type="dxa" w:w="2520"/>
            <w:vAlign w:val="center"/>
          </w:tcPr>
          <w:p>
            <w:pPr>
              <w:spacing w:after="40"/>
            </w:pPr>
            <w:r>
              <w:rPr>
                <w:sz w:val="16"/>
              </w:rPr>
              <w:t>May not be available for all feeds</w:t>
            </w:r>
          </w:p>
        </w:tc>
      </w:tr>
      <w:tr>
        <w:tc>
          <w:tcPr>
            <w:tcW w:type="dxa" w:w="2520"/>
            <w:vAlign w:val="center"/>
          </w:tcPr>
          <w:p>
            <w:pPr>
              <w:spacing w:after="40"/>
            </w:pPr>
            <w:r>
              <w:rPr>
                <w:sz w:val="16"/>
              </w:rPr>
              <w:t>avg_trade_size</w:t>
            </w:r>
          </w:p>
        </w:tc>
        <w:tc>
          <w:tcPr>
            <w:tcW w:type="dxa" w:w="2520"/>
            <w:vAlign w:val="center"/>
          </w:tcPr>
          <w:p>
            <w:pPr>
              <w:spacing w:after="40"/>
            </w:pPr>
            <w:r>
              <w:rPr>
                <w:sz w:val="16"/>
              </w:rPr>
              <w:t>Volume / trade count</w:t>
            </w:r>
          </w:p>
        </w:tc>
        <w:tc>
          <w:tcPr>
            <w:tcW w:type="dxa" w:w="2520"/>
            <w:vAlign w:val="center"/>
          </w:tcPr>
          <w:p>
            <w:pPr>
              <w:spacing w:after="40"/>
            </w:pPr>
            <w:r>
              <w:rPr>
                <w:sz w:val="16"/>
              </w:rPr>
              <w:t>Daily</w:t>
            </w:r>
          </w:p>
        </w:tc>
        <w:tc>
          <w:tcPr>
            <w:tcW w:type="dxa" w:w="2520"/>
            <w:vAlign w:val="center"/>
          </w:tcPr>
          <w:p>
            <w:pPr>
              <w:spacing w:after="40"/>
            </w:pPr>
            <w:r>
              <w:rPr>
                <w:sz w:val="16"/>
              </w:rPr>
              <w:t>Only with compatible definitions</w:t>
            </w:r>
          </w:p>
        </w:tc>
      </w:tr>
      <w:tr>
        <w:tc>
          <w:tcPr>
            <w:tcW w:type="dxa" w:w="2520"/>
            <w:vAlign w:val="center"/>
          </w:tcPr>
          <w:p>
            <w:pPr>
              <w:spacing w:after="40"/>
            </w:pPr>
            <w:r>
              <w:rPr>
                <w:sz w:val="16"/>
              </w:rPr>
              <w:t>spread_abs</w:t>
            </w:r>
          </w:p>
        </w:tc>
        <w:tc>
          <w:tcPr>
            <w:tcW w:type="dxa" w:w="2520"/>
            <w:vAlign w:val="center"/>
          </w:tcPr>
          <w:p>
            <w:pPr>
              <w:spacing w:after="40"/>
            </w:pPr>
            <w:r>
              <w:rPr>
                <w:sz w:val="16"/>
              </w:rPr>
              <w:t>Ask minus bid</w:t>
            </w:r>
          </w:p>
        </w:tc>
        <w:tc>
          <w:tcPr>
            <w:tcW w:type="dxa" w:w="2520"/>
            <w:vAlign w:val="center"/>
          </w:tcPr>
          <w:p>
            <w:pPr>
              <w:spacing w:after="40"/>
            </w:pPr>
            <w:r>
              <w:rPr>
                <w:sz w:val="16"/>
              </w:rPr>
              <w:t>Quote data</w:t>
            </w:r>
          </w:p>
        </w:tc>
        <w:tc>
          <w:tcPr>
            <w:tcW w:type="dxa" w:w="2520"/>
            <w:vAlign w:val="center"/>
          </w:tcPr>
          <w:p>
            <w:pPr>
              <w:spacing w:after="40"/>
            </w:pPr>
            <w:r>
              <w:rPr>
                <w:sz w:val="16"/>
              </w:rPr>
              <w:t>Snapshot timing and stale quote checks</w:t>
            </w:r>
          </w:p>
        </w:tc>
      </w:tr>
      <w:tr>
        <w:tc>
          <w:tcPr>
            <w:tcW w:type="dxa" w:w="2520"/>
            <w:vAlign w:val="center"/>
          </w:tcPr>
          <w:p>
            <w:pPr>
              <w:spacing w:after="40"/>
            </w:pPr>
            <w:r>
              <w:rPr>
                <w:sz w:val="16"/>
              </w:rPr>
              <w:t>spread_rel_bp</w:t>
            </w:r>
          </w:p>
        </w:tc>
        <w:tc>
          <w:tcPr>
            <w:tcW w:type="dxa" w:w="2520"/>
            <w:vAlign w:val="center"/>
          </w:tcPr>
          <w:p>
            <w:pPr>
              <w:spacing w:after="40"/>
            </w:pPr>
            <w:r>
              <w:rPr>
                <w:sz w:val="16"/>
              </w:rPr>
              <w:t>Quoted spread / mid × 10,000</w:t>
            </w:r>
          </w:p>
        </w:tc>
        <w:tc>
          <w:tcPr>
            <w:tcW w:type="dxa" w:w="2520"/>
            <w:vAlign w:val="center"/>
          </w:tcPr>
          <w:p>
            <w:pPr>
              <w:spacing w:after="40"/>
            </w:pPr>
            <w:r>
              <w:rPr>
                <w:sz w:val="16"/>
              </w:rPr>
              <w:t>Quote data</w:t>
            </w:r>
          </w:p>
        </w:tc>
        <w:tc>
          <w:tcPr>
            <w:tcW w:type="dxa" w:w="2520"/>
            <w:vAlign w:val="center"/>
          </w:tcPr>
          <w:p>
            <w:pPr>
              <w:spacing w:after="40"/>
            </w:pPr>
            <w:r>
              <w:rPr>
                <w:sz w:val="16"/>
              </w:rPr>
              <w:t>Use mid and quote sizes at same timestamp</w:t>
            </w:r>
          </w:p>
        </w:tc>
      </w:tr>
      <w:tr>
        <w:tc>
          <w:tcPr>
            <w:tcW w:type="dxa" w:w="2520"/>
            <w:vAlign w:val="center"/>
          </w:tcPr>
          <w:p>
            <w:pPr>
              <w:spacing w:after="40"/>
            </w:pPr>
            <w:r>
              <w:rPr>
                <w:sz w:val="16"/>
              </w:rPr>
              <w:t>top_depth</w:t>
            </w:r>
          </w:p>
        </w:tc>
        <w:tc>
          <w:tcPr>
            <w:tcW w:type="dxa" w:w="2520"/>
            <w:vAlign w:val="center"/>
          </w:tcPr>
          <w:p>
            <w:pPr>
              <w:spacing w:after="40"/>
            </w:pPr>
            <w:r>
              <w:rPr>
                <w:sz w:val="16"/>
              </w:rPr>
              <w:t>Bid plus ask size at top of book</w:t>
            </w:r>
          </w:p>
        </w:tc>
        <w:tc>
          <w:tcPr>
            <w:tcW w:type="dxa" w:w="2520"/>
            <w:vAlign w:val="center"/>
          </w:tcPr>
          <w:p>
            <w:pPr>
              <w:spacing w:after="40"/>
            </w:pPr>
            <w:r>
              <w:rPr>
                <w:sz w:val="16"/>
              </w:rPr>
              <w:t>Order-book data</w:t>
            </w:r>
          </w:p>
        </w:tc>
        <w:tc>
          <w:tcPr>
            <w:tcW w:type="dxa" w:w="2520"/>
            <w:vAlign w:val="center"/>
          </w:tcPr>
          <w:p>
            <w:pPr>
              <w:spacing w:after="40"/>
            </w:pPr>
            <w:r>
              <w:rPr>
                <w:sz w:val="16"/>
              </w:rPr>
              <w:t>Visible depth may cancel</w:t>
            </w:r>
          </w:p>
        </w:tc>
      </w:tr>
      <w:tr>
        <w:tc>
          <w:tcPr>
            <w:tcW w:type="dxa" w:w="2520"/>
            <w:vAlign w:val="center"/>
          </w:tcPr>
          <w:p>
            <w:pPr>
              <w:spacing w:after="40"/>
            </w:pPr>
            <w:r>
              <w:rPr>
                <w:sz w:val="16"/>
              </w:rPr>
              <w:t>depth_imbalance</w:t>
            </w:r>
          </w:p>
        </w:tc>
        <w:tc>
          <w:tcPr>
            <w:tcW w:type="dxa" w:w="2520"/>
            <w:vAlign w:val="center"/>
          </w:tcPr>
          <w:p>
            <w:pPr>
              <w:spacing w:after="40"/>
            </w:pPr>
            <w:r>
              <w:rPr>
                <w:sz w:val="16"/>
              </w:rPr>
              <w:t>(bid depth − ask depth)/(sum)</w:t>
            </w:r>
          </w:p>
        </w:tc>
        <w:tc>
          <w:tcPr>
            <w:tcW w:type="dxa" w:w="2520"/>
            <w:vAlign w:val="center"/>
          </w:tcPr>
          <w:p>
            <w:pPr>
              <w:spacing w:after="40"/>
            </w:pPr>
            <w:r>
              <w:rPr>
                <w:sz w:val="16"/>
              </w:rPr>
              <w:t>Order-book data</w:t>
            </w:r>
          </w:p>
        </w:tc>
        <w:tc>
          <w:tcPr>
            <w:tcW w:type="dxa" w:w="2520"/>
            <w:vAlign w:val="center"/>
          </w:tcPr>
          <w:p>
            <w:pPr>
              <w:spacing w:after="40"/>
            </w:pPr>
            <w:r>
              <w:rPr>
                <w:sz w:val="16"/>
              </w:rPr>
              <w:t>Not a guaranteed directional signal</w:t>
            </w:r>
          </w:p>
        </w:tc>
      </w:tr>
      <w:tr>
        <w:tc>
          <w:tcPr>
            <w:tcW w:type="dxa" w:w="2520"/>
            <w:vAlign w:val="center"/>
          </w:tcPr>
          <w:p>
            <w:pPr>
              <w:spacing w:after="40"/>
            </w:pPr>
            <w:r>
              <w:rPr>
                <w:sz w:val="16"/>
              </w:rPr>
              <w:t>effective_spread</w:t>
            </w:r>
          </w:p>
        </w:tc>
        <w:tc>
          <w:tcPr>
            <w:tcW w:type="dxa" w:w="2520"/>
            <w:vAlign w:val="center"/>
          </w:tcPr>
          <w:p>
            <w:pPr>
              <w:spacing w:after="40"/>
            </w:pPr>
            <w:r>
              <w:rPr>
                <w:sz w:val="16"/>
              </w:rPr>
              <w:t>Trade-price vs contemporaneous mid measure</w:t>
            </w:r>
          </w:p>
        </w:tc>
        <w:tc>
          <w:tcPr>
            <w:tcW w:type="dxa" w:w="2520"/>
            <w:vAlign w:val="center"/>
          </w:tcPr>
          <w:p>
            <w:pPr>
              <w:spacing w:after="40"/>
            </w:pPr>
            <w:r>
              <w:rPr>
                <w:sz w:val="16"/>
              </w:rPr>
              <w:t>Trades + quotes</w:t>
            </w:r>
          </w:p>
        </w:tc>
        <w:tc>
          <w:tcPr>
            <w:tcW w:type="dxa" w:w="2520"/>
            <w:vAlign w:val="center"/>
          </w:tcPr>
          <w:p>
            <w:pPr>
              <w:spacing w:after="40"/>
            </w:pPr>
            <w:r>
              <w:rPr>
                <w:sz w:val="16"/>
              </w:rPr>
              <w:t>Classification and synchronisation</w:t>
            </w:r>
          </w:p>
        </w:tc>
      </w:tr>
      <w:tr>
        <w:tc>
          <w:tcPr>
            <w:tcW w:type="dxa" w:w="2520"/>
            <w:vAlign w:val="center"/>
          </w:tcPr>
          <w:p>
            <w:pPr>
              <w:spacing w:after="40"/>
            </w:pPr>
            <w:r>
              <w:rPr>
                <w:sz w:val="16"/>
              </w:rPr>
              <w:t>amihud_illiquidity</w:t>
            </w:r>
          </w:p>
        </w:tc>
        <w:tc>
          <w:tcPr>
            <w:tcW w:type="dxa" w:w="2520"/>
            <w:vAlign w:val="center"/>
          </w:tcPr>
          <w:p>
            <w:pPr>
              <w:spacing w:after="40"/>
            </w:pPr>
            <w:r>
              <w:rPr>
                <w:sz w:val="16"/>
              </w:rPr>
              <w:t>Trailing mean absolute return / turnover</w:t>
            </w:r>
          </w:p>
        </w:tc>
        <w:tc>
          <w:tcPr>
            <w:tcW w:type="dxa" w:w="2520"/>
            <w:vAlign w:val="center"/>
          </w:tcPr>
          <w:p>
            <w:pPr>
              <w:spacing w:after="40"/>
            </w:pPr>
            <w:r>
              <w:rPr>
                <w:sz w:val="16"/>
              </w:rPr>
              <w:t>Daily OHLCV</w:t>
            </w:r>
          </w:p>
        </w:tc>
        <w:tc>
          <w:tcPr>
            <w:tcW w:type="dxa" w:w="2520"/>
            <w:vAlign w:val="center"/>
          </w:tcPr>
          <w:p>
            <w:pPr>
              <w:spacing w:after="40"/>
            </w:pPr>
            <w:r>
              <w:rPr>
                <w:sz w:val="16"/>
              </w:rPr>
              <w:t>Units, zero turnover and price adjustments</w:t>
            </w:r>
          </w:p>
        </w:tc>
      </w:tr>
      <w:tr>
        <w:tc>
          <w:tcPr>
            <w:tcW w:type="dxa" w:w="2520"/>
            <w:vAlign w:val="center"/>
          </w:tcPr>
          <w:p>
            <w:pPr>
              <w:spacing w:after="40"/>
            </w:pPr>
            <w:r>
              <w:rPr>
                <w:sz w:val="16"/>
              </w:rPr>
              <w:t>signed_flow_imbalance</w:t>
            </w:r>
          </w:p>
        </w:tc>
        <w:tc>
          <w:tcPr>
            <w:tcW w:type="dxa" w:w="2520"/>
            <w:vAlign w:val="center"/>
          </w:tcPr>
          <w:p>
            <w:pPr>
              <w:spacing w:after="40"/>
            </w:pPr>
            <w:r>
              <w:rPr>
                <w:sz w:val="16"/>
              </w:rPr>
              <w:t>Buy-initiated minus sell-initiated volume / total</w:t>
            </w:r>
          </w:p>
        </w:tc>
        <w:tc>
          <w:tcPr>
            <w:tcW w:type="dxa" w:w="2520"/>
            <w:vAlign w:val="center"/>
          </w:tcPr>
          <w:p>
            <w:pPr>
              <w:spacing w:after="40"/>
            </w:pPr>
            <w:r>
              <w:rPr>
                <w:sz w:val="16"/>
              </w:rPr>
              <w:t>Trades/classifier</w:t>
            </w:r>
          </w:p>
        </w:tc>
        <w:tc>
          <w:tcPr>
            <w:tcW w:type="dxa" w:w="2520"/>
            <w:vAlign w:val="center"/>
          </w:tcPr>
          <w:p>
            <w:pPr>
              <w:spacing w:after="40"/>
            </w:pPr>
            <w:r>
              <w:rPr>
                <w:sz w:val="16"/>
              </w:rPr>
              <w:t>Classification error</w:t>
            </w:r>
          </w:p>
        </w:tc>
      </w:tr>
      <w:tr>
        <w:tc>
          <w:tcPr>
            <w:tcW w:type="dxa" w:w="2520"/>
            <w:vAlign w:val="center"/>
          </w:tcPr>
          <w:p>
            <w:pPr>
              <w:spacing w:after="40"/>
            </w:pPr>
            <w:r>
              <w:rPr>
                <w:sz w:val="16"/>
              </w:rPr>
              <w:t>delivery_pct</w:t>
            </w:r>
          </w:p>
        </w:tc>
        <w:tc>
          <w:tcPr>
            <w:tcW w:type="dxa" w:w="2520"/>
            <w:vAlign w:val="center"/>
          </w:tcPr>
          <w:p>
            <w:pPr>
              <w:spacing w:after="40"/>
            </w:pPr>
            <w:r>
              <w:rPr>
                <w:sz w:val="16"/>
              </w:rPr>
              <w:t>Delivery quantity / traded quantity × 100</w:t>
            </w:r>
          </w:p>
        </w:tc>
        <w:tc>
          <w:tcPr>
            <w:tcW w:type="dxa" w:w="2520"/>
            <w:vAlign w:val="center"/>
          </w:tcPr>
          <w:p>
            <w:pPr>
              <w:spacing w:after="40"/>
            </w:pPr>
            <w:r>
              <w:rPr>
                <w:sz w:val="16"/>
              </w:rPr>
              <w:t>Indian cash-market data</w:t>
            </w:r>
          </w:p>
        </w:tc>
        <w:tc>
          <w:tcPr>
            <w:tcW w:type="dxa" w:w="2520"/>
            <w:vAlign w:val="center"/>
          </w:tcPr>
          <w:p>
            <w:pPr>
              <w:spacing w:after="40"/>
            </w:pPr>
            <w:r>
              <w:rPr>
                <w:sz w:val="16"/>
              </w:rPr>
              <w:t>Definition and settlement context</w:t>
            </w:r>
          </w:p>
        </w:tc>
      </w:tr>
      <w:tr>
        <w:tc>
          <w:tcPr>
            <w:tcW w:type="dxa" w:w="2520"/>
            <w:vAlign w:val="center"/>
          </w:tcPr>
          <w:p>
            <w:pPr>
              <w:spacing w:after="40"/>
            </w:pPr>
            <w:r>
              <w:rPr>
                <w:sz w:val="16"/>
              </w:rPr>
              <w:t>delivery_pct_anomaly</w:t>
            </w:r>
          </w:p>
        </w:tc>
        <w:tc>
          <w:tcPr>
            <w:tcW w:type="dxa" w:w="2520"/>
            <w:vAlign w:val="center"/>
          </w:tcPr>
          <w:p>
            <w:pPr>
              <w:spacing w:after="40"/>
            </w:pPr>
            <w:r>
              <w:rPr>
                <w:sz w:val="16"/>
              </w:rPr>
              <w:t>Current delivery percentage vs trailing baseline</w:t>
            </w:r>
          </w:p>
        </w:tc>
        <w:tc>
          <w:tcPr>
            <w:tcW w:type="dxa" w:w="2520"/>
            <w:vAlign w:val="center"/>
          </w:tcPr>
          <w:p>
            <w:pPr>
              <w:spacing w:after="40"/>
            </w:pPr>
            <w:r>
              <w:rPr>
                <w:sz w:val="16"/>
              </w:rPr>
              <w:t>Daily delivery data</w:t>
            </w:r>
          </w:p>
        </w:tc>
        <w:tc>
          <w:tcPr>
            <w:tcW w:type="dxa" w:w="2520"/>
            <w:vAlign w:val="center"/>
          </w:tcPr>
          <w:p>
            <w:pPr>
              <w:spacing w:after="40"/>
            </w:pPr>
            <w:r>
              <w:rPr>
                <w:sz w:val="16"/>
              </w:rPr>
              <w:t>Use same stock/history and only past data</w:t>
            </w:r>
          </w:p>
        </w:tc>
      </w:tr>
      <w:tr>
        <w:tc>
          <w:tcPr>
            <w:tcW w:type="dxa" w:w="2520"/>
            <w:vAlign w:val="center"/>
          </w:tcPr>
          <w:p>
            <w:pPr>
              <w:spacing w:after="40"/>
            </w:pPr>
            <w:r>
              <w:rPr>
                <w:sz w:val="16"/>
              </w:rPr>
              <w:t>intraday_realised_vol</w:t>
            </w:r>
          </w:p>
        </w:tc>
        <w:tc>
          <w:tcPr>
            <w:tcW w:type="dxa" w:w="2520"/>
            <w:vAlign w:val="center"/>
          </w:tcPr>
          <w:p>
            <w:pPr>
              <w:spacing w:after="40"/>
            </w:pPr>
            <w:r>
              <w:rPr>
                <w:sz w:val="16"/>
              </w:rPr>
              <w:t>Square root of sum of squared intraday returns</w:t>
            </w:r>
          </w:p>
        </w:tc>
        <w:tc>
          <w:tcPr>
            <w:tcW w:type="dxa" w:w="2520"/>
            <w:vAlign w:val="center"/>
          </w:tcPr>
          <w:p>
            <w:pPr>
              <w:spacing w:after="40"/>
            </w:pPr>
            <w:r>
              <w:rPr>
                <w:sz w:val="16"/>
              </w:rPr>
              <w:t>Intraday data</w:t>
            </w:r>
          </w:p>
        </w:tc>
        <w:tc>
          <w:tcPr>
            <w:tcW w:type="dxa" w:w="2520"/>
            <w:vAlign w:val="center"/>
          </w:tcPr>
          <w:p>
            <w:pPr>
              <w:spacing w:after="40"/>
            </w:pPr>
            <w:r>
              <w:rPr>
                <w:sz w:val="16"/>
              </w:rPr>
              <w:t>Sampling and microstructure noise</w:t>
            </w:r>
          </w:p>
        </w:tc>
      </w:tr>
      <w:tr>
        <w:tc>
          <w:tcPr>
            <w:tcW w:type="dxa" w:w="2520"/>
            <w:vAlign w:val="center"/>
          </w:tcPr>
          <w:p>
            <w:pPr>
              <w:spacing w:after="40"/>
            </w:pPr>
            <w:r>
              <w:rPr>
                <w:sz w:val="16"/>
              </w:rPr>
              <w:t>time_bucket_relvol</w:t>
            </w:r>
          </w:p>
        </w:tc>
        <w:tc>
          <w:tcPr>
            <w:tcW w:type="dxa" w:w="2520"/>
            <w:vAlign w:val="center"/>
          </w:tcPr>
          <w:p>
            <w:pPr>
              <w:spacing w:after="40"/>
            </w:pPr>
            <w:r>
              <w:rPr>
                <w:sz w:val="16"/>
              </w:rPr>
              <w:t>Volume in same time bucket / trailing same-bucket average</w:t>
            </w:r>
          </w:p>
        </w:tc>
        <w:tc>
          <w:tcPr>
            <w:tcW w:type="dxa" w:w="2520"/>
            <w:vAlign w:val="center"/>
          </w:tcPr>
          <w:p>
            <w:pPr>
              <w:spacing w:after="40"/>
            </w:pPr>
            <w:r>
              <w:rPr>
                <w:sz w:val="16"/>
              </w:rPr>
              <w:t>Intraday data</w:t>
            </w:r>
          </w:p>
        </w:tc>
        <w:tc>
          <w:tcPr>
            <w:tcW w:type="dxa" w:w="2520"/>
            <w:vAlign w:val="center"/>
          </w:tcPr>
          <w:p>
            <w:pPr>
              <w:spacing w:after="40"/>
            </w:pPr>
            <w:r>
              <w:rPr>
                <w:sz w:val="16"/>
              </w:rPr>
              <w:t>Must align session/time buckets</w:t>
            </w:r>
          </w:p>
        </w:tc>
      </w:tr>
      <w:tr>
        <w:tc>
          <w:tcPr>
            <w:tcW w:type="dxa" w:w="2520"/>
            <w:vAlign w:val="center"/>
          </w:tcPr>
          <w:p>
            <w:pPr>
              <w:spacing w:after="40"/>
            </w:pPr>
            <w:r>
              <w:rPr>
                <w:sz w:val="16"/>
              </w:rPr>
              <w:t>liquidity_stress_flag</w:t>
            </w:r>
          </w:p>
        </w:tc>
        <w:tc>
          <w:tcPr>
            <w:tcW w:type="dxa" w:w="2520"/>
            <w:vAlign w:val="center"/>
          </w:tcPr>
          <w:p>
            <w:pPr>
              <w:spacing w:after="40"/>
            </w:pPr>
            <w:r>
              <w:rPr>
                <w:sz w:val="16"/>
              </w:rPr>
              <w:t>Spread high and/or depth low vs historical threshold</w:t>
            </w:r>
          </w:p>
        </w:tc>
        <w:tc>
          <w:tcPr>
            <w:tcW w:type="dxa" w:w="2520"/>
            <w:vAlign w:val="center"/>
          </w:tcPr>
          <w:p>
            <w:pPr>
              <w:spacing w:after="40"/>
            </w:pPr>
            <w:r>
              <w:rPr>
                <w:sz w:val="16"/>
              </w:rPr>
              <w:t>Quote/book data</w:t>
            </w:r>
          </w:p>
        </w:tc>
        <w:tc>
          <w:tcPr>
            <w:tcW w:type="dxa" w:w="2520"/>
            <w:vAlign w:val="center"/>
          </w:tcPr>
          <w:p>
            <w:pPr>
              <w:spacing w:after="40"/>
            </w:pPr>
            <w:r>
              <w:rPr>
                <w:sz w:val="16"/>
              </w:rPr>
              <w:t>Thresholds must be training-derived</w:t>
            </w:r>
          </w:p>
        </w:tc>
      </w:tr>
      <w:tr>
        <w:tc>
          <w:tcPr>
            <w:tcW w:type="dxa" w:w="2520"/>
            <w:vAlign w:val="center"/>
          </w:tcPr>
          <w:p>
            <w:pPr>
              <w:spacing w:after="40"/>
            </w:pPr>
            <w:r>
              <w:rPr>
                <w:sz w:val="16"/>
              </w:rPr>
              <w:t>stale_quote_flag</w:t>
            </w:r>
          </w:p>
        </w:tc>
        <w:tc>
          <w:tcPr>
            <w:tcW w:type="dxa" w:w="2520"/>
            <w:vAlign w:val="center"/>
          </w:tcPr>
          <w:p>
            <w:pPr>
              <w:spacing w:after="40"/>
            </w:pPr>
            <w:r>
              <w:rPr>
                <w:sz w:val="16"/>
              </w:rPr>
              <w:t>Quote age exceeds defined tolerance</w:t>
            </w:r>
          </w:p>
        </w:tc>
        <w:tc>
          <w:tcPr>
            <w:tcW w:type="dxa" w:w="2520"/>
            <w:vAlign w:val="center"/>
          </w:tcPr>
          <w:p>
            <w:pPr>
              <w:spacing w:after="40"/>
            </w:pPr>
            <w:r>
              <w:rPr>
                <w:sz w:val="16"/>
              </w:rPr>
              <w:t>Quote data</w:t>
            </w:r>
          </w:p>
        </w:tc>
        <w:tc>
          <w:tcPr>
            <w:tcW w:type="dxa" w:w="2520"/>
            <w:vAlign w:val="center"/>
          </w:tcPr>
          <w:p>
            <w:pPr>
              <w:spacing w:after="40"/>
            </w:pPr>
            <w:r>
              <w:rPr>
                <w:sz w:val="16"/>
              </w:rPr>
              <w:t>Tolerance depends on feed and target horizon</w:t>
            </w:r>
          </w:p>
        </w:tc>
      </w:tr>
      <w:tr>
        <w:tc>
          <w:tcPr>
            <w:tcW w:type="dxa" w:w="2520"/>
            <w:vAlign w:val="center"/>
          </w:tcPr>
          <w:p>
            <w:pPr>
              <w:spacing w:after="40"/>
            </w:pPr>
            <w:r>
              <w:rPr>
                <w:sz w:val="16"/>
              </w:rPr>
              <w:t>trading_halt_flag</w:t>
            </w:r>
          </w:p>
        </w:tc>
        <w:tc>
          <w:tcPr>
            <w:tcW w:type="dxa" w:w="2520"/>
            <w:vAlign w:val="center"/>
          </w:tcPr>
          <w:p>
            <w:pPr>
              <w:spacing w:after="40"/>
            </w:pPr>
            <w:r>
              <w:rPr>
                <w:sz w:val="16"/>
              </w:rPr>
              <w:t>Halt/suspension/price-band event</w:t>
            </w:r>
          </w:p>
        </w:tc>
        <w:tc>
          <w:tcPr>
            <w:tcW w:type="dxa" w:w="2520"/>
            <w:vAlign w:val="center"/>
          </w:tcPr>
          <w:p>
            <w:pPr>
              <w:spacing w:after="40"/>
            </w:pPr>
            <w:r>
              <w:rPr>
                <w:sz w:val="16"/>
              </w:rPr>
              <w:t>Exchange/reference data</w:t>
            </w:r>
          </w:p>
        </w:tc>
        <w:tc>
          <w:tcPr>
            <w:tcW w:type="dxa" w:w="2520"/>
            <w:vAlign w:val="center"/>
          </w:tcPr>
          <w:p>
            <w:pPr>
              <w:spacing w:after="40"/>
            </w:pPr>
            <w:r>
              <w:rPr>
                <w:sz w:val="16"/>
              </w:rPr>
              <w:t>Keep separate from ordinary missingness</w:t>
            </w:r>
          </w:p>
        </w:tc>
      </w:tr>
    </w:tbl>
    <w:p/>
    <w:p>
      <w:r>
        <w:t>Start with daily relative volume, turnover, volume-price interaction and delivery-based variables where accessible. Do not fabricate spreads or order-book imbalance from daily OHLCV; those require quotes or book data.</w:t>
      </w:r>
    </w:p>
    <w:p>
      <w:pPr>
        <w:pStyle w:val="Heading1"/>
      </w:pPr>
      <w:r>
        <w:t>9. Data Sources and Access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Source</w:t>
            </w:r>
          </w:p>
        </w:tc>
        <w:tc>
          <w:tcPr>
            <w:tcW w:type="dxa" w:w="2520"/>
            <w:shd w:fill="D9EAF2"/>
          </w:tcPr>
          <w:p>
            <w:r>
              <w:rPr>
                <w:b/>
                <w:sz w:val="16"/>
              </w:rPr>
              <w:t>Useful for</w:t>
            </w:r>
          </w:p>
        </w:tc>
        <w:tc>
          <w:tcPr>
            <w:tcW w:type="dxa" w:w="2520"/>
            <w:shd w:fill="D9EAF2"/>
          </w:tcPr>
          <w:p>
            <w:r>
              <w:rPr>
                <w:b/>
                <w:sz w:val="16"/>
              </w:rPr>
              <w:t>Strengths</w:t>
            </w:r>
          </w:p>
        </w:tc>
        <w:tc>
          <w:tcPr>
            <w:tcW w:type="dxa" w:w="2520"/>
            <w:shd w:fill="D9EAF2"/>
          </w:tcPr>
          <w:p>
            <w:r>
              <w:rPr>
                <w:b/>
                <w:sz w:val="16"/>
              </w:rPr>
              <w:t>Limitations / checks</w:t>
            </w:r>
          </w:p>
        </w:tc>
      </w:tr>
      <w:tr>
        <w:tc>
          <w:tcPr>
            <w:tcW w:type="dxa" w:w="2520"/>
            <w:vAlign w:val="center"/>
          </w:tcPr>
          <w:p>
            <w:pPr>
              <w:spacing w:after="40"/>
            </w:pPr>
            <w:r>
              <w:rPr>
                <w:sz w:val="16"/>
              </w:rPr>
              <w:t>NSE Data &amp; Analytics</w:t>
            </w:r>
          </w:p>
        </w:tc>
        <w:tc>
          <w:tcPr>
            <w:tcW w:type="dxa" w:w="2520"/>
            <w:vAlign w:val="center"/>
          </w:tcPr>
          <w:p>
            <w:pPr>
              <w:spacing w:after="40"/>
            </w:pPr>
            <w:r>
              <w:rPr>
                <w:sz w:val="16"/>
              </w:rPr>
              <w:t>https://www.nse.in/static/nse-data-and-analytics/data-information-vending</w:t>
            </w:r>
          </w:p>
        </w:tc>
        <w:tc>
          <w:tcPr>
            <w:tcW w:type="dxa" w:w="2520"/>
            <w:vAlign w:val="center"/>
          </w:tcPr>
          <w:p>
            <w:pPr>
              <w:spacing w:after="40"/>
            </w:pPr>
            <w:r>
              <w:rPr>
                <w:sz w:val="16"/>
              </w:rPr>
              <w:t>Official EOD/historical, real-time and other market-data product information</w:t>
            </w:r>
          </w:p>
        </w:tc>
        <w:tc>
          <w:tcPr>
            <w:tcW w:type="dxa" w:w="2520"/>
            <w:vAlign w:val="center"/>
          </w:tcPr>
          <w:p>
            <w:pPr>
              <w:spacing w:after="40"/>
            </w:pPr>
            <w:r>
              <w:rPr>
                <w:sz w:val="16"/>
              </w:rPr>
              <w:t>Product availability, depth, history and licensing vary; some products are paid.</w:t>
            </w:r>
          </w:p>
        </w:tc>
      </w:tr>
      <w:tr>
        <w:tc>
          <w:tcPr>
            <w:tcW w:type="dxa" w:w="2520"/>
            <w:vAlign w:val="center"/>
          </w:tcPr>
          <w:p>
            <w:pPr>
              <w:spacing w:after="40"/>
            </w:pPr>
            <w:r>
              <w:rPr>
                <w:sz w:val="16"/>
              </w:rPr>
              <w:t>NSE real-time data subscription</w:t>
            </w:r>
          </w:p>
        </w:tc>
        <w:tc>
          <w:tcPr>
            <w:tcW w:type="dxa" w:w="2520"/>
            <w:vAlign w:val="center"/>
          </w:tcPr>
          <w:p>
            <w:pPr>
              <w:spacing w:after="40"/>
            </w:pPr>
            <w:r>
              <w:rPr>
                <w:sz w:val="16"/>
              </w:rPr>
              <w:t>https://www.nseindia.com/static/market-data/real-time-data-subscription</w:t>
            </w:r>
          </w:p>
        </w:tc>
        <w:tc>
          <w:tcPr>
            <w:tcW w:type="dxa" w:w="2520"/>
            <w:vAlign w:val="center"/>
          </w:tcPr>
          <w:p>
            <w:pPr>
              <w:spacing w:after="40"/>
            </w:pPr>
            <w:r>
              <w:rPr>
                <w:sz w:val="16"/>
              </w:rPr>
              <w:t>Official information on real-time and delayed market-data products</w:t>
            </w:r>
          </w:p>
        </w:tc>
        <w:tc>
          <w:tcPr>
            <w:tcW w:type="dxa" w:w="2520"/>
            <w:vAlign w:val="center"/>
          </w:tcPr>
          <w:p>
            <w:pPr>
              <w:spacing w:after="40"/>
            </w:pPr>
            <w:r>
              <w:rPr>
                <w:sz w:val="16"/>
              </w:rPr>
              <w:t>Check exact feed granularity, latency, fields, history and redistribution rights.</w:t>
            </w:r>
          </w:p>
        </w:tc>
      </w:tr>
      <w:tr>
        <w:tc>
          <w:tcPr>
            <w:tcW w:type="dxa" w:w="2520"/>
            <w:vAlign w:val="center"/>
          </w:tcPr>
          <w:p>
            <w:pPr>
              <w:spacing w:after="40"/>
            </w:pPr>
            <w:r>
              <w:rPr>
                <w:sz w:val="16"/>
              </w:rPr>
              <w:t>NSE historical reports</w:t>
            </w:r>
          </w:p>
        </w:tc>
        <w:tc>
          <w:tcPr>
            <w:tcW w:type="dxa" w:w="2520"/>
            <w:vAlign w:val="center"/>
          </w:tcPr>
          <w:p>
            <w:pPr>
              <w:spacing w:after="40"/>
            </w:pPr>
            <w:r>
              <w:rPr>
                <w:sz w:val="16"/>
              </w:rPr>
              <w:t>https://www.nseindia.com/all-reports</w:t>
            </w:r>
          </w:p>
        </w:tc>
        <w:tc>
          <w:tcPr>
            <w:tcW w:type="dxa" w:w="2520"/>
            <w:vAlign w:val="center"/>
          </w:tcPr>
          <w:p>
            <w:pPr>
              <w:spacing w:after="40"/>
            </w:pPr>
            <w:r>
              <w:rPr>
                <w:sz w:val="16"/>
              </w:rPr>
              <w:t>Exchange reports and downloadable market information, subject to current interface</w:t>
            </w:r>
          </w:p>
        </w:tc>
        <w:tc>
          <w:tcPr>
            <w:tcW w:type="dxa" w:w="2520"/>
            <w:vAlign w:val="center"/>
          </w:tcPr>
          <w:p>
            <w:pPr>
              <w:spacing w:after="40"/>
            </w:pPr>
            <w:r>
              <w:rPr>
                <w:sz w:val="16"/>
              </w:rPr>
              <w:t>Report definitions and historical coverage vary; verify field names and formats.</w:t>
            </w:r>
          </w:p>
        </w:tc>
      </w:tr>
      <w:tr>
        <w:tc>
          <w:tcPr>
            <w:tcW w:type="dxa" w:w="2520"/>
            <w:vAlign w:val="center"/>
          </w:tcPr>
          <w:p>
            <w:pPr>
              <w:spacing w:after="40"/>
            </w:pPr>
            <w:r>
              <w:rPr>
                <w:sz w:val="16"/>
              </w:rPr>
              <w:t>BSE market data</w:t>
            </w:r>
          </w:p>
        </w:tc>
        <w:tc>
          <w:tcPr>
            <w:tcW w:type="dxa" w:w="2520"/>
            <w:vAlign w:val="center"/>
          </w:tcPr>
          <w:p>
            <w:pPr>
              <w:spacing w:after="40"/>
            </w:pPr>
            <w:r>
              <w:rPr>
                <w:sz w:val="16"/>
              </w:rPr>
              <w:t>https://www.bseindia.com/</w:t>
            </w:r>
          </w:p>
        </w:tc>
        <w:tc>
          <w:tcPr>
            <w:tcW w:type="dxa" w:w="2520"/>
            <w:vAlign w:val="center"/>
          </w:tcPr>
          <w:p>
            <w:pPr>
              <w:spacing w:after="40"/>
            </w:pPr>
            <w:r>
              <w:rPr>
                <w:sz w:val="16"/>
              </w:rPr>
              <w:t>Official BSE market data and reports</w:t>
            </w:r>
          </w:p>
        </w:tc>
        <w:tc>
          <w:tcPr>
            <w:tcW w:type="dxa" w:w="2520"/>
            <w:vAlign w:val="center"/>
          </w:tcPr>
          <w:p>
            <w:pPr>
              <w:spacing w:after="40"/>
            </w:pPr>
            <w:r>
              <w:rPr>
                <w:sz w:val="16"/>
              </w:rPr>
              <w:t>Find the exact product/report and verify depth, timestamps and terms.</w:t>
            </w:r>
          </w:p>
        </w:tc>
      </w:tr>
      <w:tr>
        <w:tc>
          <w:tcPr>
            <w:tcW w:type="dxa" w:w="2520"/>
            <w:vAlign w:val="center"/>
          </w:tcPr>
          <w:p>
            <w:pPr>
              <w:spacing w:after="40"/>
            </w:pPr>
            <w:r>
              <w:rPr>
                <w:sz w:val="16"/>
              </w:rPr>
              <w:t>NSE/BSE security files and corporate data</w:t>
            </w:r>
          </w:p>
        </w:tc>
        <w:tc>
          <w:tcPr>
            <w:tcW w:type="dxa" w:w="2520"/>
            <w:vAlign w:val="center"/>
          </w:tcPr>
          <w:p>
            <w:pPr>
              <w:spacing w:after="40"/>
            </w:pPr>
            <w:r>
              <w:rPr>
                <w:sz w:val="16"/>
              </w:rPr>
              <w:t>Official exchange portals</w:t>
            </w:r>
          </w:p>
        </w:tc>
        <w:tc>
          <w:tcPr>
            <w:tcW w:type="dxa" w:w="2520"/>
            <w:vAlign w:val="center"/>
          </w:tcPr>
          <w:p>
            <w:pPr>
              <w:spacing w:after="40"/>
            </w:pPr>
            <w:r>
              <w:rPr>
                <w:sz w:val="16"/>
              </w:rPr>
              <w:t>Instrument identifiers, trading status and some daily activity/settlement context</w:t>
            </w:r>
          </w:p>
        </w:tc>
        <w:tc>
          <w:tcPr>
            <w:tcW w:type="dxa" w:w="2520"/>
            <w:vAlign w:val="center"/>
          </w:tcPr>
          <w:p>
            <w:pPr>
              <w:spacing w:after="40"/>
            </w:pPr>
            <w:r>
              <w:rPr>
                <w:sz w:val="16"/>
              </w:rPr>
              <w:t>Symbol history, delisted securities and delivery field definitions need validation.</w:t>
            </w:r>
          </w:p>
        </w:tc>
      </w:tr>
      <w:tr>
        <w:tc>
          <w:tcPr>
            <w:tcW w:type="dxa" w:w="2520"/>
            <w:vAlign w:val="center"/>
          </w:tcPr>
          <w:p>
            <w:pPr>
              <w:spacing w:after="40"/>
            </w:pPr>
            <w:r>
              <w:rPr>
                <w:sz w:val="16"/>
              </w:rPr>
              <w:t>Vendor APIs (e.g. Twelve Data and other providers)</w:t>
            </w:r>
          </w:p>
        </w:tc>
        <w:tc>
          <w:tcPr>
            <w:tcW w:type="dxa" w:w="2520"/>
            <w:vAlign w:val="center"/>
          </w:tcPr>
          <w:p>
            <w:pPr>
              <w:spacing w:after="40"/>
            </w:pPr>
            <w:r>
              <w:rPr>
                <w:sz w:val="16"/>
              </w:rPr>
              <w:t>Provider-specific market-data endpoints</w:t>
            </w:r>
          </w:p>
        </w:tc>
        <w:tc>
          <w:tcPr>
            <w:tcW w:type="dxa" w:w="2520"/>
            <w:vAlign w:val="center"/>
          </w:tcPr>
          <w:p>
            <w:pPr>
              <w:spacing w:after="40"/>
            </w:pPr>
            <w:r>
              <w:rPr>
                <w:sz w:val="16"/>
              </w:rPr>
              <w:t>Can simplify multi-asset collection and normalisation</w:t>
            </w:r>
          </w:p>
        </w:tc>
        <w:tc>
          <w:tcPr>
            <w:tcW w:type="dxa" w:w="2520"/>
            <w:vAlign w:val="center"/>
          </w:tcPr>
          <w:p>
            <w:pPr>
              <w:spacing w:after="40"/>
            </w:pPr>
            <w:r>
              <w:rPr>
                <w:sz w:val="16"/>
              </w:rPr>
              <w:t>Coverage, quote depth, latency, historical ticks, API limits, fees and rights vary by plan.</w:t>
            </w:r>
          </w:p>
        </w:tc>
      </w:tr>
      <w:tr>
        <w:tc>
          <w:tcPr>
            <w:tcW w:type="dxa" w:w="2520"/>
            <w:vAlign w:val="center"/>
          </w:tcPr>
          <w:p>
            <w:pPr>
              <w:spacing w:after="40"/>
            </w:pPr>
            <w:r>
              <w:rPr>
                <w:sz w:val="16"/>
              </w:rPr>
              <w:t>Broker APIs</w:t>
            </w:r>
          </w:p>
        </w:tc>
        <w:tc>
          <w:tcPr>
            <w:tcW w:type="dxa" w:w="2520"/>
            <w:vAlign w:val="center"/>
          </w:tcPr>
          <w:p>
            <w:pPr>
              <w:spacing w:after="40"/>
            </w:pPr>
            <w:r>
              <w:rPr>
                <w:sz w:val="16"/>
              </w:rPr>
              <w:t>Broker-specific market-data APIs</w:t>
            </w:r>
          </w:p>
        </w:tc>
        <w:tc>
          <w:tcPr>
            <w:tcW w:type="dxa" w:w="2520"/>
            <w:vAlign w:val="center"/>
          </w:tcPr>
          <w:p>
            <w:pPr>
              <w:spacing w:after="40"/>
            </w:pPr>
            <w:r>
              <w:rPr>
                <w:sz w:val="16"/>
              </w:rPr>
              <w:t>May support intraday quotes and order-book fields for eligible users</w:t>
            </w:r>
          </w:p>
        </w:tc>
        <w:tc>
          <w:tcPr>
            <w:tcW w:type="dxa" w:w="2520"/>
            <w:vAlign w:val="center"/>
          </w:tcPr>
          <w:p>
            <w:pPr>
              <w:spacing w:after="40"/>
            </w:pPr>
            <w:r>
              <w:rPr>
                <w:sz w:val="16"/>
              </w:rPr>
              <w:t>Availability, historical depth, rate limits, entitlement and terms vary; not automatically a research-grade archive.</w:t>
            </w:r>
          </w:p>
        </w:tc>
      </w:tr>
      <w:tr>
        <w:tc>
          <w:tcPr>
            <w:tcW w:type="dxa" w:w="2520"/>
            <w:vAlign w:val="center"/>
          </w:tcPr>
          <w:p>
            <w:pPr>
              <w:spacing w:after="40"/>
            </w:pPr>
            <w:r>
              <w:rPr>
                <w:sz w:val="16"/>
              </w:rPr>
              <w:t>Public finance sites / yfinance-style tools</w:t>
            </w:r>
          </w:p>
        </w:tc>
        <w:tc>
          <w:tcPr>
            <w:tcW w:type="dxa" w:w="2520"/>
            <w:vAlign w:val="center"/>
          </w:tcPr>
          <w:p>
            <w:pPr>
              <w:spacing w:after="40"/>
            </w:pPr>
            <w:r>
              <w:rPr>
                <w:sz w:val="16"/>
              </w:rPr>
              <w:t>Exploratory daily price/volume series</w:t>
            </w:r>
          </w:p>
        </w:tc>
        <w:tc>
          <w:tcPr>
            <w:tcW w:type="dxa" w:w="2520"/>
            <w:vAlign w:val="center"/>
          </w:tcPr>
          <w:p>
            <w:pPr>
              <w:spacing w:after="40"/>
            </w:pPr>
            <w:r>
              <w:rPr>
                <w:sz w:val="16"/>
              </w:rPr>
              <w:t>Fast prototype for basic OHLCV features</w:t>
            </w:r>
          </w:p>
        </w:tc>
        <w:tc>
          <w:tcPr>
            <w:tcW w:type="dxa" w:w="2520"/>
            <w:vAlign w:val="center"/>
          </w:tcPr>
          <w:p>
            <w:pPr>
              <w:spacing w:after="40"/>
            </w:pPr>
            <w:r>
              <w:rPr>
                <w:sz w:val="16"/>
              </w:rPr>
              <w:t>Unofficial access, gaps, adjusted-price differences, service changes and usage terms make them unsuitable as an assumed production feed.</w:t>
            </w:r>
          </w:p>
        </w:tc>
      </w:tr>
    </w:tbl>
    <w:p/>
    <w:p>
      <w:r>
        <w:t>Source selection checklist: exact fields; tick/quote depth; exchange coverage; historical retention; timestamp precision; sequence completeness; corporate-action treatment; API limits; storage/redistribution rights; and cost. Do not choose a vendor solely because a demo API returns prices.</w:t>
      </w:r>
    </w:p>
    <w:p>
      <w:pPr>
        <w:pStyle w:val="Heading1"/>
      </w:pPr>
      <w:r>
        <w:t>10. Timing, Data Quality and Leakage Prevention</w:t>
      </w:r>
    </w:p>
    <w:p>
      <w:pPr>
        <w:pStyle w:val="ListBullet"/>
        <w:spacing w:after="40"/>
      </w:pPr>
      <w:r>
        <w:t>Every intraday record needs an exchange timestamp and, where possible, a feed-received timestamp. The time the vendor delivered data may lag the exchange event.</w:t>
      </w:r>
    </w:p>
    <w:p>
      <w:pPr>
        <w:pStyle w:val="ListBullet"/>
        <w:spacing w:after="40"/>
      </w:pPr>
      <w:r>
        <w:t>Define whether the model predicts before open, during the session, at close or after close. Only features observed by that timestamp are eligible.</w:t>
      </w:r>
    </w:p>
    <w:p>
      <w:pPr>
        <w:pStyle w:val="ListBullet"/>
        <w:spacing w:after="40"/>
      </w:pPr>
      <w:r>
        <w:t>Do not use a full day's volume, high, low, closing price or realised volatility to make a prediction earlier in that same day.</w:t>
      </w:r>
    </w:p>
    <w:p>
      <w:pPr>
        <w:pStyle w:val="ListBullet"/>
        <w:spacing w:after="40"/>
      </w:pPr>
      <w:r>
        <w:t>Use the same time-of-day bucket for intraday seasonality comparisons; the first 15 minutes should not be compared naively with a quiet midday interval.</w:t>
      </w:r>
    </w:p>
    <w:p>
      <w:pPr>
        <w:pStyle w:val="ListBullet"/>
        <w:spacing w:after="40"/>
      </w:pPr>
      <w:r>
        <w:t>Filter or flag auction prints, special sessions, cancelled trades, stale quotes, locked/crossed quotes, halts and price-band events according to the vendor's definitions.</w:t>
      </w:r>
    </w:p>
    <w:p>
      <w:pPr>
        <w:pStyle w:val="ListBullet"/>
        <w:spacing w:after="40"/>
      </w:pPr>
      <w:r>
        <w:t>Align trade and quote feeds before calculating effective spreads or signed flow. Unsynchronised clocks can create impossible negative/large spreads or wrong trade classification.</w:t>
      </w:r>
    </w:p>
    <w:p>
      <w:pPr>
        <w:pStyle w:val="ListBullet"/>
        <w:spacing w:after="40"/>
      </w:pPr>
      <w:r>
        <w:t>Handle zero turnover, no-trade days and stale prices separately. Do not automatically fill them as ordinary zero returns.</w:t>
      </w:r>
    </w:p>
    <w:p>
      <w:pPr>
        <w:pStyle w:val="ListBullet"/>
        <w:spacing w:after="40"/>
      </w:pPr>
      <w:r>
        <w:t>Adjust prices and share quantities consistently for splits, bonuses and other corporate actions; retain raw and adjusted versions.</w:t>
      </w:r>
    </w:p>
    <w:p>
      <w:pPr>
        <w:pStyle w:val="ListBullet"/>
        <w:spacing w:after="40"/>
      </w:pPr>
      <w:r>
        <w:t>Use trailing windows and training-only thresholds; do not use full-sample averages or future information to define high-volume or stress regimes.</w:t>
      </w:r>
    </w:p>
    <w:p>
      <w:pPr>
        <w:pStyle w:val="ListBullet"/>
        <w:spacing w:after="40"/>
      </w:pPr>
      <w:r>
        <w:t>Backtests should model realistic execution: a signal based on the closing price generally cannot also transact at that same close unless a feasible order process is specified.</w:t>
      </w:r>
    </w:p>
    <w:p>
      <w:pPr>
        <w:pStyle w:val="ListBullet"/>
        <w:spacing w:after="40"/>
      </w:pPr>
      <w:r>
        <w:t>Check survivorship bias: historical data should include delisted/suspended securities when relevant, not only today's listed universe.</w:t>
      </w:r>
    </w:p>
    <w:p>
      <w:pPr>
        <w:pStyle w:val="ListBullet"/>
        <w:spacing w:after="40"/>
      </w:pPr>
      <w:r>
        <w:t>Keep source/version metadata so data revisions and vendor changes can be traced.</w:t>
      </w:r>
    </w:p>
    <w:p>
      <w:pPr>
        <w:pStyle w:val="Heading2"/>
      </w:pPr>
      <w:r>
        <w:t>10.1 Example</w:t>
      </w:r>
    </w:p>
    <w:p>
      <w:r>
        <w:t>If a model predicts at 10:00 IST, it can use only the volume, quotes and trades observed up to 10:00—not the day's final volume, high, low or closing price. If the model predicts after market close, daily totals may be eligible for the next-session target, provided they were published/available by that prediction time.</w:t>
      </w:r>
    </w:p>
    <w:p>
      <w:pPr>
        <w:pStyle w:val="Heading2"/>
      </w:pPr>
      <w:r>
        <w:t>10.2 Suggested raw schema</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rPr>
                <w:b/>
                <w:sz w:val="16"/>
              </w:rPr>
              <w:t>Field</w:t>
            </w:r>
          </w:p>
        </w:tc>
        <w:tc>
          <w:tcPr>
            <w:tcW w:type="dxa" w:w="5040"/>
            <w:shd w:fill="D9EAF2"/>
          </w:tcPr>
          <w:p>
            <w:r>
              <w:rPr>
                <w:b/>
                <w:sz w:val="16"/>
              </w:rPr>
              <w:t>Purpose</w:t>
            </w:r>
          </w:p>
        </w:tc>
      </w:tr>
      <w:tr>
        <w:tc>
          <w:tcPr>
            <w:tcW w:type="dxa" w:w="5040"/>
            <w:vAlign w:val="center"/>
          </w:tcPr>
          <w:p>
            <w:pPr>
              <w:spacing w:after="40"/>
            </w:pPr>
            <w:r>
              <w:rPr>
                <w:sz w:val="16"/>
              </w:rPr>
              <w:t>security_id / ISIN</w:t>
            </w:r>
          </w:p>
        </w:tc>
        <w:tc>
          <w:tcPr>
            <w:tcW w:type="dxa" w:w="5040"/>
            <w:vAlign w:val="center"/>
          </w:tcPr>
          <w:p>
            <w:pPr>
              <w:spacing w:after="40"/>
            </w:pPr>
            <w:r>
              <w:rPr>
                <w:sz w:val="16"/>
              </w:rPr>
              <w:t>Stable security identity</w:t>
            </w:r>
          </w:p>
        </w:tc>
      </w:tr>
      <w:tr>
        <w:tc>
          <w:tcPr>
            <w:tcW w:type="dxa" w:w="5040"/>
            <w:vAlign w:val="center"/>
          </w:tcPr>
          <w:p>
            <w:pPr>
              <w:spacing w:after="40"/>
            </w:pPr>
            <w:r>
              <w:rPr>
                <w:sz w:val="16"/>
              </w:rPr>
              <w:t>exchange_timestamp_utc</w:t>
            </w:r>
          </w:p>
        </w:tc>
        <w:tc>
          <w:tcPr>
            <w:tcW w:type="dxa" w:w="5040"/>
            <w:vAlign w:val="center"/>
          </w:tcPr>
          <w:p>
            <w:pPr>
              <w:spacing w:after="40"/>
            </w:pPr>
            <w:r>
              <w:rPr>
                <w:sz w:val="16"/>
              </w:rPr>
              <w:t>Time of the trade/quote on the exchange</w:t>
            </w:r>
          </w:p>
        </w:tc>
      </w:tr>
      <w:tr>
        <w:tc>
          <w:tcPr>
            <w:tcW w:type="dxa" w:w="5040"/>
            <w:vAlign w:val="center"/>
          </w:tcPr>
          <w:p>
            <w:pPr>
              <w:spacing w:after="40"/>
            </w:pPr>
            <w:r>
              <w:rPr>
                <w:sz w:val="16"/>
              </w:rPr>
              <w:t>received_timestamp_utc</w:t>
            </w:r>
          </w:p>
        </w:tc>
        <w:tc>
          <w:tcPr>
            <w:tcW w:type="dxa" w:w="5040"/>
            <w:vAlign w:val="center"/>
          </w:tcPr>
          <w:p>
            <w:pPr>
              <w:spacing w:after="40"/>
            </w:pPr>
            <w:r>
              <w:rPr>
                <w:sz w:val="16"/>
              </w:rPr>
              <w:t>Time received by feed/client, if available</w:t>
            </w:r>
          </w:p>
        </w:tc>
      </w:tr>
      <w:tr>
        <w:tc>
          <w:tcPr>
            <w:tcW w:type="dxa" w:w="5040"/>
            <w:vAlign w:val="center"/>
          </w:tcPr>
          <w:p>
            <w:pPr>
              <w:spacing w:after="40"/>
            </w:pPr>
            <w:r>
              <w:rPr>
                <w:sz w:val="16"/>
              </w:rPr>
              <w:t>event_type</w:t>
            </w:r>
          </w:p>
        </w:tc>
        <w:tc>
          <w:tcPr>
            <w:tcW w:type="dxa" w:w="5040"/>
            <w:vAlign w:val="center"/>
          </w:tcPr>
          <w:p>
            <w:pPr>
              <w:spacing w:after="40"/>
            </w:pPr>
            <w:r>
              <w:rPr>
                <w:sz w:val="16"/>
              </w:rPr>
              <w:t>Trade, quote update, auction, correction, halt, etc.</w:t>
            </w:r>
          </w:p>
        </w:tc>
      </w:tr>
      <w:tr>
        <w:tc>
          <w:tcPr>
            <w:tcW w:type="dxa" w:w="5040"/>
            <w:vAlign w:val="center"/>
          </w:tcPr>
          <w:p>
            <w:pPr>
              <w:spacing w:after="40"/>
            </w:pPr>
            <w:r>
              <w:rPr>
                <w:sz w:val="16"/>
              </w:rPr>
              <w:t>price / quantity</w:t>
            </w:r>
          </w:p>
        </w:tc>
        <w:tc>
          <w:tcPr>
            <w:tcW w:type="dxa" w:w="5040"/>
            <w:vAlign w:val="center"/>
          </w:tcPr>
          <w:p>
            <w:pPr>
              <w:spacing w:after="40"/>
            </w:pPr>
            <w:r>
              <w:rPr>
                <w:sz w:val="16"/>
              </w:rPr>
              <w:t>Trade or quote values with explicit units</w:t>
            </w:r>
          </w:p>
        </w:tc>
      </w:tr>
      <w:tr>
        <w:tc>
          <w:tcPr>
            <w:tcW w:type="dxa" w:w="5040"/>
            <w:vAlign w:val="center"/>
          </w:tcPr>
          <w:p>
            <w:pPr>
              <w:spacing w:after="40"/>
            </w:pPr>
            <w:r>
              <w:rPr>
                <w:sz w:val="16"/>
              </w:rPr>
              <w:t>bid/ask prices and sizes</w:t>
            </w:r>
          </w:p>
        </w:tc>
        <w:tc>
          <w:tcPr>
            <w:tcW w:type="dxa" w:w="5040"/>
            <w:vAlign w:val="center"/>
          </w:tcPr>
          <w:p>
            <w:pPr>
              <w:spacing w:after="40"/>
            </w:pPr>
            <w:r>
              <w:rPr>
                <w:sz w:val="16"/>
              </w:rPr>
              <w:t>Quote and book state at timestamp</w:t>
            </w:r>
          </w:p>
        </w:tc>
      </w:tr>
      <w:tr>
        <w:tc>
          <w:tcPr>
            <w:tcW w:type="dxa" w:w="5040"/>
            <w:vAlign w:val="center"/>
          </w:tcPr>
          <w:p>
            <w:pPr>
              <w:spacing w:after="40"/>
            </w:pPr>
            <w:r>
              <w:rPr>
                <w:sz w:val="16"/>
              </w:rPr>
              <w:t>sequence_number / trade_id</w:t>
            </w:r>
          </w:p>
        </w:tc>
        <w:tc>
          <w:tcPr>
            <w:tcW w:type="dxa" w:w="5040"/>
            <w:vAlign w:val="center"/>
          </w:tcPr>
          <w:p>
            <w:pPr>
              <w:spacing w:after="40"/>
            </w:pPr>
            <w:r>
              <w:rPr>
                <w:sz w:val="16"/>
              </w:rPr>
              <w:t>Ordering and duplicate detection</w:t>
            </w:r>
          </w:p>
        </w:tc>
      </w:tr>
      <w:tr>
        <w:tc>
          <w:tcPr>
            <w:tcW w:type="dxa" w:w="5040"/>
            <w:vAlign w:val="center"/>
          </w:tcPr>
          <w:p>
            <w:pPr>
              <w:spacing w:after="40"/>
            </w:pPr>
            <w:r>
              <w:rPr>
                <w:sz w:val="16"/>
              </w:rPr>
              <w:t>source / feed_version</w:t>
            </w:r>
          </w:p>
        </w:tc>
        <w:tc>
          <w:tcPr>
            <w:tcW w:type="dxa" w:w="5040"/>
            <w:vAlign w:val="center"/>
          </w:tcPr>
          <w:p>
            <w:pPr>
              <w:spacing w:after="40"/>
            </w:pPr>
            <w:r>
              <w:rPr>
                <w:sz w:val="16"/>
              </w:rPr>
              <w:t>Lineage and audit trail</w:t>
            </w:r>
          </w:p>
        </w:tc>
      </w:tr>
      <w:tr>
        <w:tc>
          <w:tcPr>
            <w:tcW w:type="dxa" w:w="5040"/>
            <w:vAlign w:val="center"/>
          </w:tcPr>
          <w:p>
            <w:pPr>
              <w:spacing w:after="40"/>
            </w:pPr>
            <w:r>
              <w:rPr>
                <w:sz w:val="16"/>
              </w:rPr>
              <w:t>session_phase</w:t>
            </w:r>
          </w:p>
        </w:tc>
        <w:tc>
          <w:tcPr>
            <w:tcW w:type="dxa" w:w="5040"/>
            <w:vAlign w:val="center"/>
          </w:tcPr>
          <w:p>
            <w:pPr>
              <w:spacing w:after="40"/>
            </w:pPr>
            <w:r>
              <w:rPr>
                <w:sz w:val="16"/>
              </w:rPr>
              <w:t>Pre-open, continuous trading, closing auction or special session</w:t>
            </w:r>
          </w:p>
        </w:tc>
      </w:tr>
      <w:tr>
        <w:tc>
          <w:tcPr>
            <w:tcW w:type="dxa" w:w="5040"/>
            <w:vAlign w:val="center"/>
          </w:tcPr>
          <w:p>
            <w:pPr>
              <w:spacing w:after="40"/>
            </w:pPr>
            <w:r>
              <w:rPr>
                <w:sz w:val="16"/>
              </w:rPr>
              <w:t>quality_flags</w:t>
            </w:r>
          </w:p>
        </w:tc>
        <w:tc>
          <w:tcPr>
            <w:tcW w:type="dxa" w:w="5040"/>
            <w:vAlign w:val="center"/>
          </w:tcPr>
          <w:p>
            <w:pPr>
              <w:spacing w:after="40"/>
            </w:pPr>
            <w:r>
              <w:rPr>
                <w:sz w:val="16"/>
              </w:rPr>
              <w:t>Stale, corrected, cancelled, crossed, missing sequence, etc.</w:t>
            </w:r>
          </w:p>
        </w:tc>
      </w:tr>
    </w:tbl>
    <w:p/>
    <w:p>
      <w:pPr>
        <w:pStyle w:val="Heading1"/>
      </w:pPr>
      <w:r>
        <w:t>11. Suggested Data Architecture</w:t>
      </w:r>
    </w:p>
    <w:p>
      <w:pPr>
        <w:pStyle w:val="ListNumber"/>
        <w:spacing w:after="60"/>
      </w:pPr>
      <w:r>
        <w:t>Raw ingestion: save source data unchanged, with retrieval timestamps, sequence numbers and source/contract metadata.</w:t>
      </w:r>
    </w:p>
    <w:p>
      <w:pPr>
        <w:pStyle w:val="ListNumber"/>
        <w:spacing w:after="60"/>
      </w:pPr>
      <w:r>
        <w:t>Instrument registry: maintain stable identifiers, ticker history, tick size, lot size, trading status, sector and corporate-action history.</w:t>
      </w:r>
    </w:p>
    <w:p>
      <w:pPr>
        <w:pStyle w:val="ListNumber"/>
        <w:spacing w:after="60"/>
      </w:pPr>
      <w:r>
        <w:t>Calendar/session layer: represent regular trading, auctions, holidays, special sessions and time-of-day buckets.</w:t>
      </w:r>
    </w:p>
    <w:p>
      <w:pPr>
        <w:pStyle w:val="ListNumber"/>
        <w:spacing w:after="60"/>
      </w:pPr>
      <w:r>
        <w:t>Quality layer: detect duplicates, missing sequences, stale/crossed quotes, impossible values and zero-activity sessions.</w:t>
      </w:r>
    </w:p>
    <w:p>
      <w:pPr>
        <w:pStyle w:val="ListNumber"/>
        <w:spacing w:after="60"/>
      </w:pPr>
      <w:r>
        <w:t>Aggregation layer: create daily and intraday bars using consistent session and trade-condition rules.</w:t>
      </w:r>
    </w:p>
    <w:p>
      <w:pPr>
        <w:pStyle w:val="ListNumber"/>
        <w:spacing w:after="60"/>
      </w:pPr>
      <w:r>
        <w:t>Feature layer: calculate relative volume, spread, depth, imbalance, impact and volatility from strictly backward-looking windows.</w:t>
      </w:r>
    </w:p>
    <w:p>
      <w:pPr>
        <w:pStyle w:val="ListNumber"/>
        <w:spacing w:after="60"/>
      </w:pPr>
      <w:r>
        <w:t>As-of join: build each feature row from information observed and available before the prediction timestamp.</w:t>
      </w:r>
    </w:p>
    <w:p>
      <w:pPr>
        <w:pStyle w:val="ListNumber"/>
        <w:spacing w:after="60"/>
      </w:pPr>
      <w:r>
        <w:t>Backtest layer: simulate plausible execution prices, fees, taxes, slippage and liquidity constraints.</w:t>
      </w:r>
    </w:p>
    <w:p>
      <w:pPr>
        <w:pStyle w:val="ListNumber"/>
        <w:spacing w:after="60"/>
      </w:pPr>
      <w:r>
        <w:t>Monitoring layer: track feed delays, missingness, schema changes, spread/depth distribution shifts and corporate-action anomalies.</w:t>
      </w:r>
    </w:p>
    <w:p>
      <w:pPr>
        <w:pStyle w:val="Heading1"/>
      </w:pPr>
      <w:r>
        <w:t>12. How to Test Whether These Features Help</w:t>
      </w:r>
    </w:p>
    <w:p>
      <w:pPr>
        <w:pStyle w:val="ListNumber"/>
        <w:spacing w:after="60"/>
      </w:pPr>
      <w:r>
        <w:t>Build a daily-data baseline using returns and volume features before investing in tick/order-book data.</w:t>
      </w:r>
    </w:p>
    <w:p>
      <w:pPr>
        <w:pStyle w:val="ListNumber"/>
        <w:spacing w:after="60"/>
      </w:pPr>
      <w:r>
        <w:t>Add relative volume and turnover first; then delivery features if the data are well-defined.</w:t>
      </w:r>
    </w:p>
    <w:p>
      <w:pPr>
        <w:pStyle w:val="ListNumber"/>
        <w:spacing w:after="60"/>
      </w:pPr>
      <w:r>
        <w:t>Test whether activity features add information beyond price-based technical features, using a time-ordered test set.</w:t>
      </w:r>
    </w:p>
    <w:p>
      <w:pPr>
        <w:pStyle w:val="ListNumber"/>
        <w:spacing w:after="60"/>
      </w:pPr>
      <w:r>
        <w:t>Only then evaluate spread/depth/order-flow features on a sample where quote/trade data are sufficiently complete.</w:t>
      </w:r>
    </w:p>
    <w:p>
      <w:pPr>
        <w:pStyle w:val="ListNumber"/>
        <w:spacing w:after="60"/>
      </w:pPr>
      <w:r>
        <w:t>Evaluate per liquidity tier and market-cap/sector group; a spread feature behaves differently in a liquid large-cap and a thinly traded stock.</w:t>
      </w:r>
    </w:p>
    <w:p>
      <w:pPr>
        <w:pStyle w:val="ListNumber"/>
        <w:spacing w:after="60"/>
      </w:pPr>
      <w:r>
        <w:t>Use walk-forward testing and report results by calm/stress periods, not only a single aggregate score.</w:t>
      </w:r>
    </w:p>
    <w:p>
      <w:pPr>
        <w:pStyle w:val="ListNumber"/>
        <w:spacing w:after="60"/>
      </w:pPr>
      <w:r>
        <w:t>Use a baseline forecast and a no-skill benchmark. Separate predictive performance from simulated execution quality.</w:t>
      </w:r>
    </w:p>
    <w:p>
      <w:pPr>
        <w:pStyle w:val="ListNumber"/>
        <w:spacing w:after="60"/>
      </w:pPr>
      <w:r>
        <w:t>Include realistic spreads, market impact, slippage, fees and order-size constraints in any strategy backtest.</w:t>
      </w:r>
    </w:p>
    <w:p>
      <w:pPr>
        <w:pStyle w:val="ListNumber"/>
        <w:spacing w:after="60"/>
      </w:pPr>
      <w:r>
        <w:t>Run ablations to test incremental value and check whether results survive small changes in time windows and thresholds.</w:t>
      </w:r>
    </w:p>
    <w:p>
      <w:pPr>
        <w:pStyle w:val="ListNumber"/>
        <w:spacing w:after="60"/>
      </w:pPr>
      <w:r>
        <w:t>Do not treat correlation between imbalance and future returns as causal proof; hidden orders, quote cancellations and news can confound it.</w:t>
      </w:r>
    </w:p>
    <w:p>
      <w:pPr>
        <w:pStyle w:val="Heading1"/>
      </w:pPr>
      <w:r>
        <w:t>13. Likely Blockers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sz w:val="16"/>
              </w:rPr>
              <w:t>Blocker</w:t>
            </w:r>
          </w:p>
        </w:tc>
        <w:tc>
          <w:tcPr>
            <w:tcW w:type="dxa" w:w="3360"/>
            <w:shd w:fill="D9EAF2"/>
          </w:tcPr>
          <w:p>
            <w:r>
              <w:rPr>
                <w:b/>
                <w:sz w:val="16"/>
              </w:rPr>
              <w:t>Why it matters</w:t>
            </w:r>
          </w:p>
        </w:tc>
        <w:tc>
          <w:tcPr>
            <w:tcW w:type="dxa" w:w="3360"/>
            <w:shd w:fill="D9EAF2"/>
          </w:tcPr>
          <w:p>
            <w:r>
              <w:rPr>
                <w:b/>
                <w:sz w:val="16"/>
              </w:rPr>
              <w:t>Mitigation</w:t>
            </w:r>
          </w:p>
        </w:tc>
      </w:tr>
      <w:tr>
        <w:tc>
          <w:tcPr>
            <w:tcW w:type="dxa" w:w="3360"/>
            <w:vAlign w:val="center"/>
          </w:tcPr>
          <w:p>
            <w:pPr>
              <w:spacing w:after="40"/>
            </w:pPr>
            <w:r>
              <w:rPr>
                <w:sz w:val="16"/>
              </w:rPr>
              <w:t>Order-book/tick data cost</w:t>
            </w:r>
          </w:p>
        </w:tc>
        <w:tc>
          <w:tcPr>
            <w:tcW w:type="dxa" w:w="3360"/>
            <w:vAlign w:val="center"/>
          </w:tcPr>
          <w:p>
            <w:pPr>
              <w:spacing w:after="40"/>
            </w:pPr>
            <w:r>
              <w:rPr>
                <w:sz w:val="16"/>
              </w:rPr>
              <w:t>High-frequency history may be licensed or expensive</w:t>
            </w:r>
          </w:p>
        </w:tc>
        <w:tc>
          <w:tcPr>
            <w:tcW w:type="dxa" w:w="3360"/>
            <w:vAlign w:val="center"/>
          </w:tcPr>
          <w:p>
            <w:pPr>
              <w:spacing w:after="40"/>
            </w:pPr>
            <w:r>
              <w:rPr>
                <w:sz w:val="16"/>
              </w:rPr>
              <w:t>Start with daily OHLCV; scope a short licensed pilot before full acquisition.</w:t>
            </w:r>
          </w:p>
        </w:tc>
      </w:tr>
      <w:tr>
        <w:tc>
          <w:tcPr>
            <w:tcW w:type="dxa" w:w="3360"/>
            <w:vAlign w:val="center"/>
          </w:tcPr>
          <w:p>
            <w:pPr>
              <w:spacing w:after="40"/>
            </w:pPr>
            <w:r>
              <w:rPr>
                <w:sz w:val="16"/>
              </w:rPr>
              <w:t>Missing/stale quotes</w:t>
            </w:r>
          </w:p>
        </w:tc>
        <w:tc>
          <w:tcPr>
            <w:tcW w:type="dxa" w:w="3360"/>
            <w:vAlign w:val="center"/>
          </w:tcPr>
          <w:p>
            <w:pPr>
              <w:spacing w:after="40"/>
            </w:pPr>
            <w:r>
              <w:rPr>
                <w:sz w:val="16"/>
              </w:rPr>
              <w:t>Spread and depth features become unreliable</w:t>
            </w:r>
          </w:p>
        </w:tc>
        <w:tc>
          <w:tcPr>
            <w:tcW w:type="dxa" w:w="3360"/>
            <w:vAlign w:val="center"/>
          </w:tcPr>
          <w:p>
            <w:pPr>
              <w:spacing w:after="40"/>
            </w:pPr>
            <w:r>
              <w:rPr>
                <w:sz w:val="16"/>
              </w:rPr>
              <w:t>Define staleness limits and keep quality flags; exclude invalid snapshots.</w:t>
            </w:r>
          </w:p>
        </w:tc>
      </w:tr>
      <w:tr>
        <w:tc>
          <w:tcPr>
            <w:tcW w:type="dxa" w:w="3360"/>
            <w:vAlign w:val="center"/>
          </w:tcPr>
          <w:p>
            <w:pPr>
              <w:spacing w:after="40"/>
            </w:pPr>
            <w:r>
              <w:rPr>
                <w:sz w:val="16"/>
              </w:rPr>
              <w:t>Timestamp misalignment</w:t>
            </w:r>
          </w:p>
        </w:tc>
        <w:tc>
          <w:tcPr>
            <w:tcW w:type="dxa" w:w="3360"/>
            <w:vAlign w:val="center"/>
          </w:tcPr>
          <w:p>
            <w:pPr>
              <w:spacing w:after="40"/>
            </w:pPr>
            <w:r>
              <w:rPr>
                <w:sz w:val="16"/>
              </w:rPr>
              <w:t>Trade-flow and spread measures can be wrong</w:t>
            </w:r>
          </w:p>
        </w:tc>
        <w:tc>
          <w:tcPr>
            <w:tcW w:type="dxa" w:w="3360"/>
            <w:vAlign w:val="center"/>
          </w:tcPr>
          <w:p>
            <w:pPr>
              <w:spacing w:after="40"/>
            </w:pPr>
            <w:r>
              <w:rPr>
                <w:sz w:val="16"/>
              </w:rPr>
              <w:t>Synchronise feeds and test ordering/latency with sample data.</w:t>
            </w:r>
          </w:p>
        </w:tc>
      </w:tr>
      <w:tr>
        <w:tc>
          <w:tcPr>
            <w:tcW w:type="dxa" w:w="3360"/>
            <w:vAlign w:val="center"/>
          </w:tcPr>
          <w:p>
            <w:pPr>
              <w:spacing w:after="40"/>
            </w:pPr>
            <w:r>
              <w:rPr>
                <w:sz w:val="16"/>
              </w:rPr>
              <w:t>Delivery data interpretation</w:t>
            </w:r>
          </w:p>
        </w:tc>
        <w:tc>
          <w:tcPr>
            <w:tcW w:type="dxa" w:w="3360"/>
            <w:vAlign w:val="center"/>
          </w:tcPr>
          <w:p>
            <w:pPr>
              <w:spacing w:after="40"/>
            </w:pPr>
            <w:r>
              <w:rPr>
                <w:sz w:val="16"/>
              </w:rPr>
              <w:t>Delivery percentage is not a direct investor-intent measure</w:t>
            </w:r>
          </w:p>
        </w:tc>
        <w:tc>
          <w:tcPr>
            <w:tcW w:type="dxa" w:w="3360"/>
            <w:vAlign w:val="center"/>
          </w:tcPr>
          <w:p>
            <w:pPr>
              <w:spacing w:after="40"/>
            </w:pPr>
            <w:r>
              <w:rPr>
                <w:sz w:val="16"/>
              </w:rPr>
              <w:t>Use as descriptive proxy and validate per stock/sector.</w:t>
            </w:r>
          </w:p>
        </w:tc>
      </w:tr>
      <w:tr>
        <w:tc>
          <w:tcPr>
            <w:tcW w:type="dxa" w:w="3360"/>
            <w:vAlign w:val="center"/>
          </w:tcPr>
          <w:p>
            <w:pPr>
              <w:spacing w:after="40"/>
            </w:pPr>
            <w:r>
              <w:rPr>
                <w:sz w:val="16"/>
              </w:rPr>
              <w:t>Corporate-action distortion</w:t>
            </w:r>
          </w:p>
        </w:tc>
        <w:tc>
          <w:tcPr>
            <w:tcW w:type="dxa" w:w="3360"/>
            <w:vAlign w:val="center"/>
          </w:tcPr>
          <w:p>
            <w:pPr>
              <w:spacing w:after="40"/>
            </w:pPr>
            <w:r>
              <w:rPr>
                <w:sz w:val="16"/>
              </w:rPr>
              <w:t>Price/volume histories can contain mechanical changes</w:t>
            </w:r>
          </w:p>
        </w:tc>
        <w:tc>
          <w:tcPr>
            <w:tcW w:type="dxa" w:w="3360"/>
            <w:vAlign w:val="center"/>
          </w:tcPr>
          <w:p>
            <w:pPr>
              <w:spacing w:after="40"/>
            </w:pPr>
            <w:r>
              <w:rPr>
                <w:sz w:val="16"/>
              </w:rPr>
              <w:t>Use consistent adjustment and raw-data lineage.</w:t>
            </w:r>
          </w:p>
        </w:tc>
      </w:tr>
      <w:tr>
        <w:tc>
          <w:tcPr>
            <w:tcW w:type="dxa" w:w="3360"/>
            <w:vAlign w:val="center"/>
          </w:tcPr>
          <w:p>
            <w:pPr>
              <w:spacing w:after="40"/>
            </w:pPr>
            <w:r>
              <w:rPr>
                <w:sz w:val="16"/>
              </w:rPr>
              <w:t>Intraday seasonality</w:t>
            </w:r>
          </w:p>
        </w:tc>
        <w:tc>
          <w:tcPr>
            <w:tcW w:type="dxa" w:w="3360"/>
            <w:vAlign w:val="center"/>
          </w:tcPr>
          <w:p>
            <w:pPr>
              <w:spacing w:after="40"/>
            </w:pPr>
            <w:r>
              <w:rPr>
                <w:sz w:val="16"/>
              </w:rPr>
              <w:t>A high-volume opening interval may be normal</w:t>
            </w:r>
          </w:p>
        </w:tc>
        <w:tc>
          <w:tcPr>
            <w:tcW w:type="dxa" w:w="3360"/>
            <w:vAlign w:val="center"/>
          </w:tcPr>
          <w:p>
            <w:pPr>
              <w:spacing w:after="40"/>
            </w:pPr>
            <w:r>
              <w:rPr>
                <w:sz w:val="16"/>
              </w:rPr>
              <w:t>Compare with the same time bucket across past sessions.</w:t>
            </w:r>
          </w:p>
        </w:tc>
      </w:tr>
      <w:tr>
        <w:tc>
          <w:tcPr>
            <w:tcW w:type="dxa" w:w="3360"/>
            <w:vAlign w:val="center"/>
          </w:tcPr>
          <w:p>
            <w:pPr>
              <w:spacing w:after="40"/>
            </w:pPr>
            <w:r>
              <w:rPr>
                <w:sz w:val="16"/>
              </w:rPr>
              <w:t>Execution realism</w:t>
            </w:r>
          </w:p>
        </w:tc>
        <w:tc>
          <w:tcPr>
            <w:tcW w:type="dxa" w:w="3360"/>
            <w:vAlign w:val="center"/>
          </w:tcPr>
          <w:p>
            <w:pPr>
              <w:spacing w:after="40"/>
            </w:pPr>
            <w:r>
              <w:rPr>
                <w:sz w:val="16"/>
              </w:rPr>
              <w:t>Backtest fills may be too optimistic</w:t>
            </w:r>
          </w:p>
        </w:tc>
        <w:tc>
          <w:tcPr>
            <w:tcW w:type="dxa" w:w="3360"/>
            <w:vAlign w:val="center"/>
          </w:tcPr>
          <w:p>
            <w:pPr>
              <w:spacing w:after="40"/>
            </w:pPr>
            <w:r>
              <w:rPr>
                <w:sz w:val="16"/>
              </w:rPr>
              <w:t>Use bid/ask and impact-aware execution assumptions.</w:t>
            </w:r>
          </w:p>
        </w:tc>
      </w:tr>
      <w:tr>
        <w:tc>
          <w:tcPr>
            <w:tcW w:type="dxa" w:w="3360"/>
            <w:vAlign w:val="center"/>
          </w:tcPr>
          <w:p>
            <w:pPr>
              <w:spacing w:after="40"/>
            </w:pPr>
            <w:r>
              <w:rPr>
                <w:sz w:val="16"/>
              </w:rPr>
              <w:t>Universe/survivorship bias</w:t>
            </w:r>
          </w:p>
        </w:tc>
        <w:tc>
          <w:tcPr>
            <w:tcW w:type="dxa" w:w="3360"/>
            <w:vAlign w:val="center"/>
          </w:tcPr>
          <w:p>
            <w:pPr>
              <w:spacing w:after="40"/>
            </w:pPr>
            <w:r>
              <w:rPr>
                <w:sz w:val="16"/>
              </w:rPr>
              <w:t>Current-only stock lists overstate historical performance</w:t>
            </w:r>
          </w:p>
        </w:tc>
        <w:tc>
          <w:tcPr>
            <w:tcW w:type="dxa" w:w="3360"/>
            <w:vAlign w:val="center"/>
          </w:tcPr>
          <w:p>
            <w:pPr>
              <w:spacing w:after="40"/>
            </w:pPr>
            <w:r>
              <w:rPr>
                <w:sz w:val="16"/>
              </w:rPr>
              <w:t>Maintain point-in-time constituents and delisted/security history.</w:t>
            </w:r>
          </w:p>
        </w:tc>
      </w:tr>
      <w:tr>
        <w:tc>
          <w:tcPr>
            <w:tcW w:type="dxa" w:w="3360"/>
            <w:vAlign w:val="center"/>
          </w:tcPr>
          <w:p>
            <w:pPr>
              <w:spacing w:after="40"/>
            </w:pPr>
            <w:r>
              <w:rPr>
                <w:sz w:val="16"/>
              </w:rPr>
              <w:t>Feature overlap</w:t>
            </w:r>
          </w:p>
        </w:tc>
        <w:tc>
          <w:tcPr>
            <w:tcW w:type="dxa" w:w="3360"/>
            <w:vAlign w:val="center"/>
          </w:tcPr>
          <w:p>
            <w:pPr>
              <w:spacing w:after="40"/>
            </w:pPr>
            <w:r>
              <w:rPr>
                <w:sz w:val="16"/>
              </w:rPr>
              <w:t>Volume/volatility already appear in technical features</w:t>
            </w:r>
          </w:p>
        </w:tc>
        <w:tc>
          <w:tcPr>
            <w:tcW w:type="dxa" w:w="3360"/>
            <w:vAlign w:val="center"/>
          </w:tcPr>
          <w:p>
            <w:pPr>
              <w:spacing w:after="40"/>
            </w:pPr>
            <w:r>
              <w:rPr>
                <w:sz w:val="16"/>
              </w:rPr>
              <w:t>Test incremental value and avoid duplicate representations.</w:t>
            </w:r>
          </w:p>
        </w:tc>
      </w:tr>
      <w:tr>
        <w:tc>
          <w:tcPr>
            <w:tcW w:type="dxa" w:w="3360"/>
            <w:vAlign w:val="center"/>
          </w:tcPr>
          <w:p>
            <w:pPr>
              <w:spacing w:after="40"/>
            </w:pPr>
            <w:r>
              <w:rPr>
                <w:sz w:val="16"/>
              </w:rPr>
              <w:t>Overfitting high-frequency noise</w:t>
            </w:r>
          </w:p>
        </w:tc>
        <w:tc>
          <w:tcPr>
            <w:tcW w:type="dxa" w:w="3360"/>
            <w:vAlign w:val="center"/>
          </w:tcPr>
          <w:p>
            <w:pPr>
              <w:spacing w:after="40"/>
            </w:pPr>
            <w:r>
              <w:rPr>
                <w:sz w:val="16"/>
              </w:rPr>
              <w:t>Many observations do not guarantee independent information</w:t>
            </w:r>
          </w:p>
        </w:tc>
        <w:tc>
          <w:tcPr>
            <w:tcW w:type="dxa" w:w="3360"/>
            <w:vAlign w:val="center"/>
          </w:tcPr>
          <w:p>
            <w:pPr>
              <w:spacing w:after="40"/>
            </w:pPr>
            <w:r>
              <w:rPr>
                <w:sz w:val="16"/>
              </w:rPr>
              <w:t>Use simple hypotheses, walk-forward tests and robust out-of-sample evaluation.</w:t>
            </w:r>
          </w:p>
        </w:tc>
      </w:tr>
    </w:tbl>
    <w:p/>
    <w:p>
      <w:pPr>
        <w:pStyle w:val="Heading1"/>
      </w:pPr>
      <w:r>
        <w:t>14. Recommended Initial Shortlist</w:t>
      </w:r>
    </w:p>
    <w:p>
      <w:r>
        <w:t>This is a practical research shortlist, not an empirically validated ranking.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Priority</w:t>
            </w:r>
          </w:p>
        </w:tc>
        <w:tc>
          <w:tcPr>
            <w:tcW w:type="dxa" w:w="2520"/>
            <w:shd w:fill="D9EAF2"/>
          </w:tcPr>
          <w:p>
            <w:r>
              <w:rPr>
                <w:b/>
                <w:sz w:val="16"/>
              </w:rPr>
              <w:t>Feature</w:t>
            </w:r>
          </w:p>
        </w:tc>
        <w:tc>
          <w:tcPr>
            <w:tcW w:type="dxa" w:w="2520"/>
            <w:shd w:fill="D9EAF2"/>
          </w:tcPr>
          <w:p>
            <w:r>
              <w:rPr>
                <w:b/>
                <w:sz w:val="16"/>
              </w:rPr>
              <w:t>Why start here</w:t>
            </w:r>
          </w:p>
        </w:tc>
        <w:tc>
          <w:tcPr>
            <w:tcW w:type="dxa" w:w="2520"/>
            <w:shd w:fill="D9EAF2"/>
          </w:tcPr>
          <w:p>
            <w:r>
              <w:rPr>
                <w:b/>
                <w:sz w:val="16"/>
              </w:rPr>
              <w:t>Caution</w:t>
            </w:r>
          </w:p>
        </w:tc>
      </w:tr>
      <w:tr>
        <w:tc>
          <w:tcPr>
            <w:tcW w:type="dxa" w:w="2520"/>
            <w:vAlign w:val="center"/>
          </w:tcPr>
          <w:p>
            <w:pPr>
              <w:spacing w:after="40"/>
            </w:pPr>
            <w:r>
              <w:rPr>
                <w:sz w:val="16"/>
              </w:rPr>
              <w:t>1</w:t>
            </w:r>
          </w:p>
        </w:tc>
        <w:tc>
          <w:tcPr>
            <w:tcW w:type="dxa" w:w="2520"/>
            <w:vAlign w:val="center"/>
          </w:tcPr>
          <w:p>
            <w:pPr>
              <w:spacing w:after="40"/>
            </w:pPr>
            <w:r>
              <w:rPr>
                <w:sz w:val="16"/>
              </w:rPr>
              <w:t>Relative daily volume (20-session window)</w:t>
            </w:r>
          </w:p>
        </w:tc>
        <w:tc>
          <w:tcPr>
            <w:tcW w:type="dxa" w:w="2520"/>
            <w:vAlign w:val="center"/>
          </w:tcPr>
          <w:p>
            <w:pPr>
              <w:spacing w:after="40"/>
            </w:pPr>
            <w:r>
              <w:rPr>
                <w:sz w:val="16"/>
              </w:rPr>
              <w:t>Simple and broadly obtainable</w:t>
            </w:r>
          </w:p>
        </w:tc>
        <w:tc>
          <w:tcPr>
            <w:tcW w:type="dxa" w:w="2520"/>
            <w:vAlign w:val="center"/>
          </w:tcPr>
          <w:p>
            <w:pPr>
              <w:spacing w:after="40"/>
            </w:pPr>
            <w:r>
              <w:rPr>
                <w:sz w:val="16"/>
              </w:rPr>
              <w:t>Use trailing history and adjust for corporate events</w:t>
            </w:r>
          </w:p>
        </w:tc>
      </w:tr>
      <w:tr>
        <w:tc>
          <w:tcPr>
            <w:tcW w:type="dxa" w:w="2520"/>
            <w:vAlign w:val="center"/>
          </w:tcPr>
          <w:p>
            <w:pPr>
              <w:spacing w:after="40"/>
            </w:pPr>
            <w:r>
              <w:rPr>
                <w:sz w:val="16"/>
              </w:rPr>
              <w:t>2</w:t>
            </w:r>
          </w:p>
        </w:tc>
        <w:tc>
          <w:tcPr>
            <w:tcW w:type="dxa" w:w="2520"/>
            <w:vAlign w:val="center"/>
          </w:tcPr>
          <w:p>
            <w:pPr>
              <w:spacing w:after="40"/>
            </w:pPr>
            <w:r>
              <w:rPr>
                <w:sz w:val="16"/>
              </w:rPr>
              <w:t>Daily turnover and turnover change</w:t>
            </w:r>
          </w:p>
        </w:tc>
        <w:tc>
          <w:tcPr>
            <w:tcW w:type="dxa" w:w="2520"/>
            <w:vAlign w:val="center"/>
          </w:tcPr>
          <w:p>
            <w:pPr>
              <w:spacing w:after="40"/>
            </w:pPr>
            <w:r>
              <w:rPr>
                <w:sz w:val="16"/>
              </w:rPr>
              <w:t>Captures value traded and activity</w:t>
            </w:r>
          </w:p>
        </w:tc>
        <w:tc>
          <w:tcPr>
            <w:tcW w:type="dxa" w:w="2520"/>
            <w:vAlign w:val="center"/>
          </w:tcPr>
          <w:p>
            <w:pPr>
              <w:spacing w:after="40"/>
            </w:pPr>
            <w:r>
              <w:rPr>
                <w:sz w:val="16"/>
              </w:rPr>
              <w:t>Confirm unit and provider definition</w:t>
            </w:r>
          </w:p>
        </w:tc>
      </w:tr>
      <w:tr>
        <w:tc>
          <w:tcPr>
            <w:tcW w:type="dxa" w:w="2520"/>
            <w:vAlign w:val="center"/>
          </w:tcPr>
          <w:p>
            <w:pPr>
              <w:spacing w:after="40"/>
            </w:pPr>
            <w:r>
              <w:rPr>
                <w:sz w:val="16"/>
              </w:rPr>
              <w:t>3</w:t>
            </w:r>
          </w:p>
        </w:tc>
        <w:tc>
          <w:tcPr>
            <w:tcW w:type="dxa" w:w="2520"/>
            <w:vAlign w:val="center"/>
          </w:tcPr>
          <w:p>
            <w:pPr>
              <w:spacing w:after="40"/>
            </w:pPr>
            <w:r>
              <w:rPr>
                <w:sz w:val="16"/>
              </w:rPr>
              <w:t>Return × relative-volume interaction</w:t>
            </w:r>
          </w:p>
        </w:tc>
        <w:tc>
          <w:tcPr>
            <w:tcW w:type="dxa" w:w="2520"/>
            <w:vAlign w:val="center"/>
          </w:tcPr>
          <w:p>
            <w:pPr>
              <w:spacing w:after="40"/>
            </w:pPr>
            <w:r>
              <w:rPr>
                <w:sz w:val="16"/>
              </w:rPr>
              <w:t>Distinguishes price moves with unusual activity</w:t>
            </w:r>
          </w:p>
        </w:tc>
        <w:tc>
          <w:tcPr>
            <w:tcW w:type="dxa" w:w="2520"/>
            <w:vAlign w:val="center"/>
          </w:tcPr>
          <w:p>
            <w:pPr>
              <w:spacing w:after="40"/>
            </w:pPr>
            <w:r>
              <w:rPr>
                <w:sz w:val="16"/>
              </w:rPr>
              <w:t>Interaction does not imply causal confirmation</w:t>
            </w:r>
          </w:p>
        </w:tc>
      </w:tr>
      <w:tr>
        <w:tc>
          <w:tcPr>
            <w:tcW w:type="dxa" w:w="2520"/>
            <w:vAlign w:val="center"/>
          </w:tcPr>
          <w:p>
            <w:pPr>
              <w:spacing w:after="40"/>
            </w:pPr>
            <w:r>
              <w:rPr>
                <w:sz w:val="16"/>
              </w:rPr>
              <w:t>4</w:t>
            </w:r>
          </w:p>
        </w:tc>
        <w:tc>
          <w:tcPr>
            <w:tcW w:type="dxa" w:w="2520"/>
            <w:vAlign w:val="center"/>
          </w:tcPr>
          <w:p>
            <w:pPr>
              <w:spacing w:after="40"/>
            </w:pPr>
            <w:r>
              <w:rPr>
                <w:sz w:val="16"/>
              </w:rPr>
              <w:t>Delivery percentage and anomaly</w:t>
            </w:r>
          </w:p>
        </w:tc>
        <w:tc>
          <w:tcPr>
            <w:tcW w:type="dxa" w:w="2520"/>
            <w:vAlign w:val="center"/>
          </w:tcPr>
          <w:p>
            <w:pPr>
              <w:spacing w:after="40"/>
            </w:pPr>
            <w:r>
              <w:rPr>
                <w:sz w:val="16"/>
              </w:rPr>
              <w:t>Indian cash-market context where available</w:t>
            </w:r>
          </w:p>
        </w:tc>
        <w:tc>
          <w:tcPr>
            <w:tcW w:type="dxa" w:w="2520"/>
            <w:vAlign w:val="center"/>
          </w:tcPr>
          <w:p>
            <w:pPr>
              <w:spacing w:after="40"/>
            </w:pPr>
            <w:r>
              <w:rPr>
                <w:sz w:val="16"/>
              </w:rPr>
              <w:t>Not proof of accumulation or long-term holding</w:t>
            </w:r>
          </w:p>
        </w:tc>
      </w:tr>
      <w:tr>
        <w:tc>
          <w:tcPr>
            <w:tcW w:type="dxa" w:w="2520"/>
            <w:vAlign w:val="center"/>
          </w:tcPr>
          <w:p>
            <w:pPr>
              <w:spacing w:after="40"/>
            </w:pPr>
            <w:r>
              <w:rPr>
                <w:sz w:val="16"/>
              </w:rPr>
              <w:t>5</w:t>
            </w:r>
          </w:p>
        </w:tc>
        <w:tc>
          <w:tcPr>
            <w:tcW w:type="dxa" w:w="2520"/>
            <w:vAlign w:val="center"/>
          </w:tcPr>
          <w:p>
            <w:pPr>
              <w:spacing w:after="40"/>
            </w:pPr>
            <w:r>
              <w:rPr>
                <w:sz w:val="16"/>
              </w:rPr>
              <w:t>Amihud-style illiquidity proxy</w:t>
            </w:r>
          </w:p>
        </w:tc>
        <w:tc>
          <w:tcPr>
            <w:tcW w:type="dxa" w:w="2520"/>
            <w:vAlign w:val="center"/>
          </w:tcPr>
          <w:p>
            <w:pPr>
              <w:spacing w:after="40"/>
            </w:pPr>
            <w:r>
              <w:rPr>
                <w:sz w:val="16"/>
              </w:rPr>
              <w:t>Possible daily-data proxy for price impact</w:t>
            </w:r>
          </w:p>
        </w:tc>
        <w:tc>
          <w:tcPr>
            <w:tcW w:type="dxa" w:w="2520"/>
            <w:vAlign w:val="center"/>
          </w:tcPr>
          <w:p>
            <w:pPr>
              <w:spacing w:after="40"/>
            </w:pPr>
            <w:r>
              <w:rPr>
                <w:sz w:val="16"/>
              </w:rPr>
              <w:t>Highly sensitive to units and low/zero turnover</w:t>
            </w:r>
          </w:p>
        </w:tc>
      </w:tr>
      <w:tr>
        <w:tc>
          <w:tcPr>
            <w:tcW w:type="dxa" w:w="2520"/>
            <w:vAlign w:val="center"/>
          </w:tcPr>
          <w:p>
            <w:pPr>
              <w:spacing w:after="40"/>
            </w:pPr>
            <w:r>
              <w:rPr>
                <w:sz w:val="16"/>
              </w:rPr>
              <w:t>6</w:t>
            </w:r>
          </w:p>
        </w:tc>
        <w:tc>
          <w:tcPr>
            <w:tcW w:type="dxa" w:w="2520"/>
            <w:vAlign w:val="center"/>
          </w:tcPr>
          <w:p>
            <w:pPr>
              <w:spacing w:after="40"/>
            </w:pPr>
            <w:r>
              <w:rPr>
                <w:sz w:val="16"/>
              </w:rPr>
              <w:t>Quoted relative spread</w:t>
            </w:r>
          </w:p>
        </w:tc>
        <w:tc>
          <w:tcPr>
            <w:tcW w:type="dxa" w:w="2520"/>
            <w:vAlign w:val="center"/>
          </w:tcPr>
          <w:p>
            <w:pPr>
              <w:spacing w:after="40"/>
            </w:pPr>
            <w:r>
              <w:rPr>
                <w:sz w:val="16"/>
              </w:rPr>
              <w:t>Direct execution-friction measure</w:t>
            </w:r>
          </w:p>
        </w:tc>
        <w:tc>
          <w:tcPr>
            <w:tcW w:type="dxa" w:w="2520"/>
            <w:vAlign w:val="center"/>
          </w:tcPr>
          <w:p>
            <w:pPr>
              <w:spacing w:after="40"/>
            </w:pPr>
            <w:r>
              <w:rPr>
                <w:sz w:val="16"/>
              </w:rPr>
              <w:t>Needs timestamped bid/ask quotes</w:t>
            </w:r>
          </w:p>
        </w:tc>
      </w:tr>
      <w:tr>
        <w:tc>
          <w:tcPr>
            <w:tcW w:type="dxa" w:w="2520"/>
            <w:vAlign w:val="center"/>
          </w:tcPr>
          <w:p>
            <w:pPr>
              <w:spacing w:after="40"/>
            </w:pPr>
            <w:r>
              <w:rPr>
                <w:sz w:val="16"/>
              </w:rPr>
              <w:t>7</w:t>
            </w:r>
          </w:p>
        </w:tc>
        <w:tc>
          <w:tcPr>
            <w:tcW w:type="dxa" w:w="2520"/>
            <w:vAlign w:val="center"/>
          </w:tcPr>
          <w:p>
            <w:pPr>
              <w:spacing w:after="40"/>
            </w:pPr>
            <w:r>
              <w:rPr>
                <w:sz w:val="16"/>
              </w:rPr>
              <w:t>Top-of-book depth and imbalance</w:t>
            </w:r>
          </w:p>
        </w:tc>
        <w:tc>
          <w:tcPr>
            <w:tcW w:type="dxa" w:w="2520"/>
            <w:vAlign w:val="center"/>
          </w:tcPr>
          <w:p>
            <w:pPr>
              <w:spacing w:after="40"/>
            </w:pPr>
            <w:r>
              <w:rPr>
                <w:sz w:val="16"/>
              </w:rPr>
              <w:t>Potential short-horizon pressure/liquidity signal</w:t>
            </w:r>
          </w:p>
        </w:tc>
        <w:tc>
          <w:tcPr>
            <w:tcW w:type="dxa" w:w="2520"/>
            <w:vAlign w:val="center"/>
          </w:tcPr>
          <w:p>
            <w:pPr>
              <w:spacing w:after="40"/>
            </w:pPr>
            <w:r>
              <w:rPr>
                <w:sz w:val="16"/>
              </w:rPr>
              <w:t>Needs reliable order-book data; displayed orders can cancel</w:t>
            </w:r>
          </w:p>
        </w:tc>
      </w:tr>
      <w:tr>
        <w:tc>
          <w:tcPr>
            <w:tcW w:type="dxa" w:w="2520"/>
            <w:vAlign w:val="center"/>
          </w:tcPr>
          <w:p>
            <w:pPr>
              <w:spacing w:after="40"/>
            </w:pPr>
            <w:r>
              <w:rPr>
                <w:sz w:val="16"/>
              </w:rPr>
              <w:t>Later</w:t>
            </w:r>
          </w:p>
        </w:tc>
        <w:tc>
          <w:tcPr>
            <w:tcW w:type="dxa" w:w="2520"/>
            <w:vAlign w:val="center"/>
          </w:tcPr>
          <w:p>
            <w:pPr>
              <w:spacing w:after="40"/>
            </w:pPr>
            <w:r>
              <w:rPr>
                <w:sz w:val="16"/>
              </w:rPr>
              <w:t>Signed flow, effective spread, multi-level depth and intraday realised volatility</w:t>
            </w:r>
          </w:p>
        </w:tc>
        <w:tc>
          <w:tcPr>
            <w:tcW w:type="dxa" w:w="2520"/>
            <w:vAlign w:val="center"/>
          </w:tcPr>
          <w:p>
            <w:pPr>
              <w:spacing w:after="40"/>
            </w:pPr>
            <w:r>
              <w:rPr>
                <w:sz w:val="16"/>
              </w:rPr>
              <w:t>Richer microstructure information</w:t>
            </w:r>
          </w:p>
        </w:tc>
        <w:tc>
          <w:tcPr>
            <w:tcW w:type="dxa" w:w="2520"/>
            <w:vAlign w:val="center"/>
          </w:tcPr>
          <w:p>
            <w:pPr>
              <w:spacing w:after="40"/>
            </w:pPr>
            <w:r>
              <w:rPr>
                <w:sz w:val="16"/>
              </w:rPr>
              <w:t>Higher data cost and synchronisation burden</w:t>
            </w:r>
          </w:p>
        </w:tc>
      </w:tr>
    </w:tbl>
    <w:p/>
    <w:p>
      <w:r>
        <w:t>Recommended first experiment: daily relative volume, turnover change, daily return, a return-volume interaction and delivery percentage/anomaly where consistent data are available. Establish that baseline before purchasing or engineering high-frequency feeds.</w:t>
      </w:r>
    </w:p>
    <w:p>
      <w:pPr>
        <w:pStyle w:val="Heading1"/>
      </w:pPr>
      <w:r>
        <w:t>15. Mentor / Team-Lead Summary</w:t>
      </w:r>
    </w:p>
    <w:p>
      <w:r>
        <w:t>Objective: test whether trading activity and liquidity features add predictive information beyond price-derived technical features. Candidate dimensions include daily volume/turnover, relative activity, bid–ask spread, depth and imbalance, signed order flow, price impact, delivery-based measures and intraday seasonality.</w:t>
      </w:r>
    </w:p>
    <w:p>
      <w:r>
        <w:t>The research has two tiers: daily OHLCV-based features are relatively accessible; quote/trade/order-book features require higher-frequency data with reliable timestamps, historical depth and appropriate licences. Candidate transformations include relative volume, activity z-scores, relative spread in basis points, depth imbalance, Amihud-style illiquidity and time-bucket activity anomalies.</w:t>
      </w:r>
    </w:p>
    <w:p>
      <w:r>
        <w:t>Critical dependencies: point-in-time session alignment, data quality filters, corporate-action adjustments, instrument history and realistic execution assumptions. The full day's volume/high/low/close cannot be used for an intraday prediction made before the session ends.</w:t>
      </w:r>
    </w:p>
    <w:p>
      <w:r>
        <w:t>Recommended execution: start with daily features, measure incremental value over technical indicators using chronological validation, and proceed to order-book data only if the baseline demonstrates a clear research need. Include slippage and market impact in any trading-oriented evaluation.</w:t>
      </w:r>
    </w:p>
    <w:p>
      <w:r>
        <w:t>No feature is inherently bullish or bearish. High volume, delivery percentage, order-book imbalance and wide spreads must be interpreted as conditional measurements and empirically validated.</w:t>
      </w:r>
    </w:p>
    <w:p>
      <w:pPr>
        <w:pStyle w:val="Heading1"/>
      </w:pPr>
      <w:r>
        <w:t>16. Research Checklist</w:t>
      </w:r>
    </w:p>
    <w:p>
      <w:pPr>
        <w:pStyle w:val="ListBullet"/>
        <w:spacing w:after="40"/>
      </w:pPr>
      <w:r>
        <w:t>☐ Prediction timestamp and session phase are defined.</w:t>
      </w:r>
    </w:p>
    <w:p>
      <w:pPr>
        <w:pStyle w:val="ListBullet"/>
        <w:spacing w:after="40"/>
      </w:pPr>
      <w:r>
        <w:t>☐ Daily and intraday features are separated by data requirements.</w:t>
      </w:r>
    </w:p>
    <w:p>
      <w:pPr>
        <w:pStyle w:val="ListBullet"/>
        <w:spacing w:after="40"/>
      </w:pPr>
      <w:r>
        <w:t>☐ Quote/trade timestamps and feed delays are documented.</w:t>
      </w:r>
    </w:p>
    <w:p>
      <w:pPr>
        <w:pStyle w:val="ListBullet"/>
        <w:spacing w:after="40"/>
      </w:pPr>
      <w:r>
        <w:t>☐ Instrument IDs, tick sizes, trading status and corporate actions are versioned.</w:t>
      </w:r>
    </w:p>
    <w:p>
      <w:pPr>
        <w:pStyle w:val="ListBullet"/>
        <w:spacing w:after="40"/>
      </w:pPr>
      <w:r>
        <w:t>☐ Zero-volume, stale quote, auction, halt and correction records are handled explicitly.</w:t>
      </w:r>
    </w:p>
    <w:p>
      <w:pPr>
        <w:pStyle w:val="ListBullet"/>
        <w:spacing w:after="40"/>
      </w:pPr>
      <w:r>
        <w:t>☐ Intraday comparisons use consistent time-of-day buckets.</w:t>
      </w:r>
    </w:p>
    <w:p>
      <w:pPr>
        <w:pStyle w:val="ListBullet"/>
        <w:spacing w:after="40"/>
      </w:pPr>
      <w:r>
        <w:t>☐ All windows and thresholds are backward-looking.</w:t>
      </w:r>
    </w:p>
    <w:p>
      <w:pPr>
        <w:pStyle w:val="ListBullet"/>
        <w:spacing w:after="40"/>
      </w:pPr>
      <w:r>
        <w:t>☐ Backtests include realistic spreads, slippage, fees and market impact.</w:t>
      </w:r>
    </w:p>
    <w:p>
      <w:pPr>
        <w:pStyle w:val="ListBullet"/>
        <w:spacing w:after="40"/>
      </w:pPr>
      <w:r>
        <w:t>☐ Incremental value over technical indicators is tested on chronological holdouts.</w:t>
      </w:r>
    </w:p>
    <w:p>
      <w:pPr>
        <w:pStyle w:val="ListBullet"/>
        <w:spacing w:after="40"/>
      </w:pPr>
      <w:r>
        <w:t>☐ Data licensing and historical coverage are verified before production planning.</w:t>
      </w:r>
    </w:p>
    <w:p>
      <w:pPr>
        <w:pStyle w:val="Heading1"/>
      </w:pPr>
      <w:r>
        <w:t>17. Sources and Further Reading</w:t>
      </w:r>
    </w:p>
    <w:p>
      <w:pPr>
        <w:pStyle w:val="ListBullet"/>
        <w:spacing w:after="80"/>
      </w:pPr>
      <w:r>
        <w:rPr>
          <w:b/>
        </w:rPr>
        <w:t xml:space="preserve">NSE Data &amp; Analytics — Data and Information Vending — </w:t>
      </w:r>
      <w:r>
        <w:t>https://www.nse.in/static/nse-data-and-analytics/data-information-vending</w:t>
        <w:br/>
        <w:t>Official market-data product categories and licensing context; verify exact EOD, real-time and historical fields.</w:t>
      </w:r>
    </w:p>
    <w:p>
      <w:pPr>
        <w:pStyle w:val="ListBullet"/>
        <w:spacing w:after="80"/>
      </w:pPr>
      <w:r>
        <w:rPr>
          <w:b/>
        </w:rPr>
        <w:t xml:space="preserve">NSE — Real-Time Data Subscription — </w:t>
      </w:r>
      <w:r>
        <w:t>https://www.nseindia.com/static/market-data/real-time-data-subscription</w:t>
        <w:br/>
        <w:t>Official description of real-time/delayed data products; verify latency, depth and usage rights.</w:t>
      </w:r>
    </w:p>
    <w:p>
      <w:pPr>
        <w:pStyle w:val="ListBullet"/>
        <w:spacing w:after="80"/>
      </w:pPr>
      <w:r>
        <w:rPr>
          <w:b/>
        </w:rPr>
        <w:t xml:space="preserve">NSE All Reports — </w:t>
      </w:r>
      <w:r>
        <w:t>https://www.nseindia.com/all-reports</w:t>
        <w:br/>
        <w:t>Official report index; inspect current report definitions and availability.</w:t>
      </w:r>
    </w:p>
    <w:p>
      <w:pPr>
        <w:pStyle w:val="ListBullet"/>
        <w:spacing w:after="80"/>
      </w:pPr>
      <w:r>
        <w:rPr>
          <w:b/>
        </w:rPr>
        <w:t xml:space="preserve">BSE India — </w:t>
      </w:r>
      <w:r>
        <w:t>https://www.bseindia.com/</w:t>
        <w:br/>
        <w:t>Official exchange data and reports; locate exact market-data product and terms.</w:t>
      </w:r>
    </w:p>
    <w:p>
      <w:pPr>
        <w:pStyle w:val="ListBullet"/>
        <w:spacing w:after="80"/>
      </w:pPr>
      <w:r>
        <w:rPr>
          <w:b/>
        </w:rPr>
        <w:t xml:space="preserve">NSE India VIX / market information — </w:t>
      </w:r>
      <w:r>
        <w:t>https://www.nseindia.com/</w:t>
        <w:br/>
        <w:t>Exchange reference context; this category focuses on trading activity rather than treating volatility indices as microstructure data.</w:t>
      </w:r>
    </w:p>
    <w:p>
      <w:pPr>
        <w:pStyle w:val="ListBullet"/>
        <w:spacing w:after="80"/>
      </w:pPr>
      <w:r>
        <w:rPr>
          <w:b/>
        </w:rPr>
        <w:t xml:space="preserve">SEC — Market Structure overview — </w:t>
      </w:r>
      <w:r>
        <w:t>https://www.sec.gov/marketstructure</w:t>
        <w:br/>
        <w:t>General educational context on market structure; US-specific rules do not automatically apply to India.</w:t>
      </w:r>
    </w:p>
    <w:p>
      <w:pPr>
        <w:pStyle w:val="ListBullet"/>
        <w:spacing w:after="80"/>
      </w:pPr>
      <w:r>
        <w:rPr>
          <w:b/>
        </w:rPr>
        <w:t xml:space="preserve">CFA Institute — Market liquidity research — </w:t>
      </w:r>
      <w:r>
        <w:t>https://www.cfainstitute.org/</w:t>
        <w:br/>
        <w:t>Educational research on liquidity, trading costs and market structure; use specific research articles for formal definitions.</w:t>
      </w:r>
    </w:p>
    <w:p>
      <w:pPr>
        <w:pStyle w:val="ListBullet"/>
        <w:spacing w:after="80"/>
      </w:pPr>
      <w:r>
        <w:rPr>
          <w:b/>
        </w:rPr>
        <w:t xml:space="preserve">Amihud (2002), Illiquidity and stock returns — </w:t>
      </w:r>
      <w:r>
        <w:t>https://doi.org/10.1016/S1386-4181(01)00024-6</w:t>
        <w:br/>
        <w:t>Classic daily-data illiquidity proxy; interpret its assumptions and unit sensitivity.</w:t>
      </w:r>
    </w:p>
    <w:p>
      <w:pPr>
        <w:pStyle w:val="Heading1"/>
      </w:pPr>
      <w:r>
        <w:t>Final Research Caveat</w:t>
      </w:r>
    </w:p>
    <w:p>
      <w:r>
        <w:t>Microstructure features can be useful for understanding trading conditions, but higher-frequency data do not automatically produce better predictions. Data costs, latency, noise, survivorship, execution assumptions and licensing can dominate the value of a sophisticated feature. Use this document as a blueprint for controlled experiments, not as a claim of trading profitability.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Market Microstructure, Liquidity &amp; Trading Activity | Research document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B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B8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