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4"/>
        </w:rPr>
        <w:t>MARKET SENTIMENT &amp; INVESTOR BEHAVIOUR</w:t>
        <w:br/>
        <w:t>RESEARCH FOR STOCK-MARKET PREDICTION</w:t>
      </w:r>
    </w:p>
    <w:p>
      <w:pPr>
        <w:jc w:val="center"/>
      </w:pPr>
      <w:r>
        <w:rPr>
          <w:b/>
        </w:rPr>
        <w:t>Standalone Category Research Document</w:t>
      </w:r>
      <w:r>
        <w:br/>
        <w:t>India-focused | Candidate feature discovery | Data sources | Timing and bias controls</w:t>
      </w:r>
      <w:r>
        <w:br/>
        <w:t>Research status: candidate features only; predictive value must be tested</w:t>
      </w:r>
    </w:p>
    <w:p>
      <w:pPr>
        <w:pStyle w:val="Heading1"/>
      </w:pPr>
      <w:r>
        <w:t>1. Purpose and project position</w:t>
      </w:r>
    </w:p>
    <w:p>
      <w:r>
        <w:t>This category attempts to measure expectations, risk perception, investor positioning, money flows, public attention and the tone of information. Sentiment is not directly observable like price; it is inferred from proxies. Different proxies measure different things: fear, attention, stated opinions, options-implied uncertainty and actual buying/selling are not interchangeable.</w:t>
      </w:r>
    </w:p>
    <w:p>
      <w:r>
        <w:t>Difference from prior categories: Technical / Market measures observed price and volume; Macro / Inflation measures the broader economy; Fundamental / Company Financials measures company performance; Sentiment / Investor Behaviour studies expectations, positioning and information tone.</w:t>
      </w:r>
    </w:p>
    <w:p>
      <w:r>
        <w:t>Important boundary: realised volatility overlaps with Technical / Market, while India VIX is implied volatility derived from option prices. Define category ownership and test whether sentiment features add information beyond price/volume.</w:t>
      </w:r>
    </w:p>
    <w:p>
      <w:pPr>
        <w:pStyle w:val="Heading1"/>
      </w:pPr>
      <w:r>
        <w:t>2. Core questions</w:t>
      </w:r>
    </w:p>
    <w:p>
      <w:pPr>
        <w:pStyle w:val="ListBullet"/>
      </w:pPr>
      <w:r>
        <w:t>What uncertainty is priced into options?</w:t>
      </w:r>
    </w:p>
    <w:p>
      <w:pPr>
        <w:pStyle w:val="ListBullet"/>
      </w:pPr>
      <w:r>
        <w:t>Are institutional participants buying or selling, and how persistently?</w:t>
      </w:r>
    </w:p>
    <w:p>
      <w:pPr>
        <w:pStyle w:val="ListBullet"/>
      </w:pPr>
      <w:r>
        <w:t>Are options positioning and hedging demand changing?</w:t>
      </w:r>
    </w:p>
    <w:p>
      <w:pPr>
        <w:pStyle w:val="ListBullet"/>
      </w:pPr>
      <w:r>
        <w:t>Is news tone positive, negative or uncertain?</w:t>
      </w:r>
    </w:p>
    <w:p>
      <w:pPr>
        <w:pStyle w:val="ListBullet"/>
      </w:pPr>
      <w:r>
        <w:t>Is public attention unusually high?</w:t>
      </w:r>
    </w:p>
    <w:p>
      <w:pPr>
        <w:pStyle w:val="ListBullet"/>
      </w:pPr>
      <w:r>
        <w:t>Are investors rotating between risky and defensive assets?</w:t>
      </w:r>
    </w:p>
    <w:p>
      <w:pPr>
        <w:pStyle w:val="ListBullet"/>
      </w:pPr>
      <w:r>
        <w:t>Are sentiment proxies at unusual extremes or diverging from price behaviour?</w:t>
      </w:r>
    </w:p>
    <w:p>
      <w:pPr>
        <w:pStyle w:val="Heading1"/>
      </w:pPr>
      <w:r>
        <w:t>3. Research dimension tree</w:t>
      </w:r>
    </w:p>
    <w:p>
      <w:pPr>
        <w:pStyle w:val="ListBullet"/>
      </w:pPr>
      <w:r>
        <w:t>India VIX / implied volatility</w:t>
      </w:r>
    </w:p>
    <w:p>
      <w:pPr>
        <w:pStyle w:val="ListBullet"/>
      </w:pPr>
      <w:r>
        <w:t>VIX trends, extremes and regimes</w:t>
      </w:r>
    </w:p>
    <w:p>
      <w:pPr>
        <w:pStyle w:val="ListBullet"/>
      </w:pPr>
      <w:r>
        <w:t>Put-call ratio (volume and open interest)</w:t>
      </w:r>
    </w:p>
    <w:p>
      <w:pPr>
        <w:pStyle w:val="ListBullet"/>
      </w:pPr>
      <w:r>
        <w:t>Option skew / downside protection pricing</w:t>
      </w:r>
    </w:p>
    <w:p>
      <w:pPr>
        <w:pStyle w:val="ListBullet"/>
      </w:pPr>
      <w:r>
        <w:t>Futures open interest and positioning</w:t>
      </w:r>
    </w:p>
    <w:p>
      <w:pPr>
        <w:pStyle w:val="ListBullet"/>
      </w:pPr>
      <w:r>
        <w:t>FII/FPI institutional flows</w:t>
      </w:r>
    </w:p>
    <w:p>
      <w:pPr>
        <w:pStyle w:val="ListBullet"/>
      </w:pPr>
      <w:r>
        <w:t>DII institutional flows</w:t>
      </w:r>
    </w:p>
    <w:p>
      <w:pPr>
        <w:pStyle w:val="ListBullet"/>
      </w:pPr>
      <w:r>
        <w:t>FII–DII flow divergence</w:t>
      </w:r>
    </w:p>
    <w:p>
      <w:pPr>
        <w:pStyle w:val="ListBullet"/>
      </w:pPr>
      <w:r>
        <w:t>News sentiment and news-volume intensity</w:t>
      </w:r>
    </w:p>
    <w:p>
      <w:pPr>
        <w:pStyle w:val="ListBullet"/>
      </w:pPr>
      <w:r>
        <w:t>Search trends / attention proxies</w:t>
      </w:r>
    </w:p>
    <w:p>
      <w:pPr>
        <w:pStyle w:val="ListBullet"/>
      </w:pPr>
      <w:r>
        <w:t>Investor surveys and fund/ETF flows</w:t>
      </w:r>
    </w:p>
    <w:p>
      <w:pPr>
        <w:pStyle w:val="ListBullet"/>
      </w:pPr>
      <w:r>
        <w:t>Risk appetite / defensive rotation</w:t>
      </w:r>
    </w:p>
    <w:p>
      <w:pPr>
        <w:pStyle w:val="ListBullet"/>
      </w:pPr>
      <w:r>
        <w:t>Sentiment persistence, extremes and divergence</w:t>
      </w:r>
    </w:p>
    <w:p>
      <w:pPr>
        <w:pStyle w:val="ListBullet"/>
      </w:pPr>
      <w:r>
        <w:t>Event-driven sentiment</w:t>
      </w:r>
    </w:p>
    <w:p>
      <w:pPr>
        <w:pStyle w:val="Heading1"/>
      </w:pPr>
      <w:r>
        <w:t>4. Raw data required</w:t>
      </w:r>
    </w:p>
    <w:tbl>
      <w:tblPr>
        <w:tblStyle w:val="TableGrid"/>
        <w:tblW w:type="auto" w:w="0"/>
        <w:tblLook w:firstColumn="1" w:firstRow="1" w:lastColumn="0" w:lastRow="0" w:noHBand="0" w:noVBand="1" w:val="04A0"/>
      </w:tblPr>
      <w:tblGrid>
        <w:gridCol w:w="3408"/>
        <w:gridCol w:w="3408"/>
        <w:gridCol w:w="3408"/>
      </w:tblGrid>
      <w:tr>
        <w:tc>
          <w:tcPr>
            <w:tcW w:type="dxa" w:w="3408"/>
          </w:tcPr>
          <w:p>
            <w:r>
              <w:t>Data family</w:t>
            </w:r>
          </w:p>
        </w:tc>
        <w:tc>
          <w:tcPr>
            <w:tcW w:type="dxa" w:w="3408"/>
          </w:tcPr>
          <w:p>
            <w:r>
              <w:t>Raw fields</w:t>
            </w:r>
          </w:p>
        </w:tc>
        <w:tc>
          <w:tcPr>
            <w:tcW w:type="dxa" w:w="3408"/>
          </w:tcPr>
          <w:p>
            <w:r>
              <w:t>What it can represent</w:t>
            </w:r>
          </w:p>
        </w:tc>
      </w:tr>
      <w:tr>
        <w:tc>
          <w:tcPr>
            <w:tcW w:type="dxa" w:w="3408"/>
          </w:tcPr>
          <w:p>
            <w:r>
              <w:t>India VIX</w:t>
            </w:r>
          </w:p>
        </w:tc>
        <w:tc>
          <w:tcPr>
            <w:tcW w:type="dxa" w:w="3408"/>
          </w:tcPr>
          <w:p>
            <w:r>
              <w:t>Timestamp, value, frequency</w:t>
            </w:r>
          </w:p>
        </w:tc>
        <w:tc>
          <w:tcPr>
            <w:tcW w:type="dxa" w:w="3408"/>
          </w:tcPr>
          <w:p>
            <w:r>
              <w:t>Option-implied near-term NIFTY volatility</w:t>
            </w:r>
          </w:p>
        </w:tc>
      </w:tr>
      <w:tr>
        <w:tc>
          <w:tcPr>
            <w:tcW w:type="dxa" w:w="3408"/>
          </w:tcPr>
          <w:p>
            <w:r>
              <w:t>Options chain</w:t>
            </w:r>
          </w:p>
        </w:tc>
        <w:tc>
          <w:tcPr>
            <w:tcW w:type="dxa" w:w="3408"/>
          </w:tcPr>
          <w:p>
            <w:r>
              <w:t>Expiry, strike, call/put, bid/ask, price, volume, OI, timestamp</w:t>
            </w:r>
          </w:p>
        </w:tc>
        <w:tc>
          <w:tcPr>
            <w:tcW w:type="dxa" w:w="3408"/>
          </w:tcPr>
          <w:p>
            <w:r>
              <w:t>PCR, implied volatility, skew, positioning proxies</w:t>
            </w:r>
          </w:p>
        </w:tc>
      </w:tr>
      <w:tr>
        <w:tc>
          <w:tcPr>
            <w:tcW w:type="dxa" w:w="3408"/>
          </w:tcPr>
          <w:p>
            <w:r>
              <w:t>Futures</w:t>
            </w:r>
          </w:p>
        </w:tc>
        <w:tc>
          <w:tcPr>
            <w:tcW w:type="dxa" w:w="3408"/>
          </w:tcPr>
          <w:p>
            <w:r>
              <w:t>Contract, expiry, price, volume, open interest</w:t>
            </w:r>
          </w:p>
        </w:tc>
        <w:tc>
          <w:tcPr>
            <w:tcW w:type="dxa" w:w="3408"/>
          </w:tcPr>
          <w:p>
            <w:r>
              <w:t>Participation and position-change proxies</w:t>
            </w:r>
          </w:p>
        </w:tc>
      </w:tr>
      <w:tr>
        <w:tc>
          <w:tcPr>
            <w:tcW w:type="dxa" w:w="3408"/>
          </w:tcPr>
          <w:p>
            <w:r>
              <w:t>FII/FPI and DII</w:t>
            </w:r>
          </w:p>
        </w:tc>
        <w:tc>
          <w:tcPr>
            <w:tcW w:type="dxa" w:w="3408"/>
          </w:tcPr>
          <w:p>
            <w:r>
              <w:t>Date, buy, sell, net value, segment, provisional/final flag</w:t>
            </w:r>
          </w:p>
        </w:tc>
        <w:tc>
          <w:tcPr>
            <w:tcW w:type="dxa" w:w="3408"/>
          </w:tcPr>
          <w:p>
            <w:r>
              <w:t>Institutional flow</w:t>
            </w:r>
          </w:p>
        </w:tc>
      </w:tr>
      <w:tr>
        <w:tc>
          <w:tcPr>
            <w:tcW w:type="dxa" w:w="3408"/>
          </w:tcPr>
          <w:p>
            <w:r>
              <w:t>News</w:t>
            </w:r>
          </w:p>
        </w:tc>
        <w:tc>
          <w:tcPr>
            <w:tcW w:type="dxa" w:w="3408"/>
          </w:tcPr>
          <w:p>
            <w:r>
              <w:t>Publication time, source, headline/text, entity, language</w:t>
            </w:r>
          </w:p>
        </w:tc>
        <w:tc>
          <w:tcPr>
            <w:tcW w:type="dxa" w:w="3408"/>
          </w:tcPr>
          <w:p>
            <w:r>
              <w:t>Tone, uncertainty, event intensity</w:t>
            </w:r>
          </w:p>
        </w:tc>
      </w:tr>
      <w:tr>
        <w:tc>
          <w:tcPr>
            <w:tcW w:type="dxa" w:w="3408"/>
          </w:tcPr>
          <w:p>
            <w:r>
              <w:t>Search/surveys/funds</w:t>
            </w:r>
          </w:p>
        </w:tc>
        <w:tc>
          <w:tcPr>
            <w:tcW w:type="dxa" w:w="3408"/>
          </w:tcPr>
          <w:p>
            <w:r>
              <w:t>Date, topic/group, index or flow, methodology</w:t>
            </w:r>
          </w:p>
        </w:tc>
        <w:tc>
          <w:tcPr>
            <w:tcW w:type="dxa" w:w="3408"/>
          </w:tcPr>
          <w:p>
            <w:r>
              <w:t>Attention, stated sentiment, allocation</w:t>
            </w:r>
          </w:p>
        </w:tc>
      </w:tr>
    </w:tbl>
    <w:p>
      <w:pPr>
        <w:pStyle w:val="Heading1"/>
      </w:pPr>
      <w:r>
        <w:t>5. Detailed mathematical feature research</w:t>
      </w:r>
    </w:p>
    <w:p>
      <w:pPr>
        <w:pStyle w:val="Heading2"/>
      </w:pPr>
      <w:r>
        <w:t>5.1 India VIX / implied volatility</w:t>
      </w:r>
    </w:p>
    <w:p>
      <w:r>
        <w:t>India VIX is derived from NIFTY option quotes and reflects option-implied expected volatility over approximately the next 30 calendar days. It measures expected magnitude of movement, not direction.</w:t>
      </w:r>
    </w:p>
    <w:p>
      <w:r>
        <w:t>Formula / candidates: Candidates: india_vix, vix_change_1d = VIX_t−VIX_(t−1), vix_pct_change, vix_zscore_252d, vix_percentile_1y, vix_regime.</w:t>
      </w:r>
    </w:p>
    <w:p>
      <w:r>
        <w:t>Example: VIX rises from 14 to 18: +4 points, about +28.6%.</w:t>
      </w:r>
    </w:p>
    <w:p>
      <w:r>
        <w:t>Caveat: High VIX does not automatically mean the market will fall; it can accompany sharp rebounds or event uncertainty.</w:t>
      </w:r>
    </w:p>
    <w:p>
      <w:pPr>
        <w:pStyle w:val="Heading2"/>
      </w:pPr>
      <w:r>
        <w:t>5.2 VIX trend and extremes</w:t>
      </w:r>
    </w:p>
    <w:p>
      <w:r>
        <w:t>The level may be less informative than whether VIX is unusually high relative to its own recent history.</w:t>
      </w:r>
    </w:p>
    <w:p>
      <w:r>
        <w:t>Formula / candidates: z-score = (VIX_t − trailing_mean) / trailing_std. Candidates: vix_mean_20d, vix_std_20d, vix_change_5d, vix_spike_flag.</w:t>
      </w:r>
    </w:p>
    <w:p>
      <w:r>
        <w:t>Can distinguish ordinary uncertainty from an unusual shock.</w:t>
      </w:r>
    </w:p>
    <w:p>
      <w:r>
        <w:t>Caveat: Use trailing-only windows and avoid thresholds selected using future data.</w:t>
      </w:r>
    </w:p>
    <w:p>
      <w:pPr>
        <w:pStyle w:val="Heading2"/>
      </w:pPr>
      <w:r>
        <w:t>5.3 Put-call ratio (PCR)</w:t>
      </w:r>
    </w:p>
    <w:p>
      <w:r>
        <w:t>PCR compares put activity with call activity. It is a positioning/hedging proxy whose interpretation depends on the universe and whether volume or OI is used.</w:t>
      </w:r>
    </w:p>
    <w:p>
      <w:r>
        <w:t>Formula / candidates: PCR_OI = total put OI / total call OI; PCR_volume = put volume / call volume. Candidate: index_pcr_oi, index_pcr_volume, pcr_change_1d, pcr_zscore_60d.</w:t>
      </w:r>
    </w:p>
    <w:p>
      <w:r>
        <w:t>Example: put OI 12 lakh / call OI 10 lakh = PCR 1.2.</w:t>
      </w:r>
    </w:p>
    <w:p>
      <w:r>
        <w:t>Caveat: Not a universally bullish/bearish signal; expiry, strike filters and option-writing strategies matter.</w:t>
      </w:r>
    </w:p>
    <w:p>
      <w:pPr>
        <w:pStyle w:val="Heading2"/>
      </w:pPr>
      <w:r>
        <w:t>5.4 Options skew</w:t>
      </w:r>
    </w:p>
    <w:p>
      <w:r>
        <w:t>Skew compares implied volatility across strikes or moneyness and can indicate how costly downside protection is relative to comparable calls.</w:t>
      </w:r>
    </w:p>
    <w:p>
      <w:r>
        <w:t>Formula / candidates: Candidate: 25-delta put-call skew, downside_skew_change, put_iv_minus_atm_iv; define expiry, delta and quote filters.</w:t>
      </w:r>
    </w:p>
    <w:p>
      <w:r>
        <w:t>May capture asymmetric demand for protection.</w:t>
      </w:r>
    </w:p>
    <w:p>
      <w:r>
        <w:t>Caveat: Requires reliable option-chain data and consistent calculation rules.</w:t>
      </w:r>
    </w:p>
    <w:p>
      <w:pPr>
        <w:pStyle w:val="Heading2"/>
      </w:pPr>
      <w:r>
        <w:t>5.5 Futures open interest</w:t>
      </w:r>
    </w:p>
    <w:p>
      <w:r>
        <w:t>Open interest counts outstanding contracts. Changes can show positions being added or closed, but OI alone does not tell whether traders are net bullish or bearish.</w:t>
      </w:r>
    </w:p>
    <w:p>
      <w:r>
        <w:t>Formula / candidates: OI_change = OI_t−OI_(t−1); OI_pct_change = percentage change. Candidate: futures_oi_change, futures_oi_pct_change, futures_basis.</w:t>
      </w:r>
    </w:p>
    <w:p>
      <w:r>
        <w:t>Adds participation context beyond price alone.</w:t>
      </w:r>
    </w:p>
    <w:p>
      <w:r>
        <w:t>Caveat: Every contract has a buyer and seller; price/OI labels are heuristics, not direct proof of sentiment.</w:t>
      </w:r>
    </w:p>
    <w:p>
      <w:pPr>
        <w:pStyle w:val="Heading2"/>
      </w:pPr>
      <w:r>
        <w:t>5.6 FII/FPI net flow</w:t>
      </w:r>
    </w:p>
    <w:p>
      <w:r>
        <w:t>Net flow measures purchases minus sales for a defined participant group and market segment.</w:t>
      </w:r>
    </w:p>
    <w:p>
      <w:r>
        <w:t>Formula / candidates: net_flow = buy_value − sell_value; flow_to_turnover = net_flow / market_turnover × 100; rolling_flow = sum(net_flow over N sessions).</w:t>
      </w:r>
    </w:p>
    <w:p>
      <w:r>
        <w:t>Example: buy ₹12,000 crore and sell ₹13,500 crore → net flow −₹1,500 crore.</w:t>
      </w:r>
    </w:p>
    <w:p>
      <w:r>
        <w:t>Caveat: Can show foreign investor participation and persistence; data may be provisional or revised.</w:t>
      </w:r>
    </w:p>
    <w:p>
      <w:pPr>
        <w:pStyle w:val="Heading2"/>
      </w:pPr>
      <w:r>
        <w:t>5.7 DII net flow and FII–DII divergence</w:t>
      </w:r>
    </w:p>
    <w:p>
      <w:r>
        <w:t>Domestic institutional flows can be studied alongside foreign flows to see whether the groups are moving in the same or opposite directions.</w:t>
      </w:r>
    </w:p>
    <w:p>
      <w:r>
        <w:t>Formula / candidates: flow_gap = DII_net_flow − FII_net_flow, with matching date, segment and units. Candidates: dii_net_flow_5d, fii_dii_flow_gap, fii_selling_dii_buying_flag.</w:t>
      </w:r>
    </w:p>
    <w:p>
      <w:r>
        <w:t>Can characterize institutional-flow disagreement.</w:t>
      </w:r>
    </w:p>
    <w:p>
      <w:r>
        <w:t>Caveat: Flows can be reactive; the gap is not a causal explanation for market movement.</w:t>
      </w:r>
    </w:p>
    <w:p>
      <w:pPr>
        <w:pStyle w:val="Heading2"/>
      </w:pPr>
      <w:r>
        <w:t>5.8 News sentiment</w:t>
      </w:r>
    </w:p>
    <w:p>
      <w:r>
        <w:t>News sentiment assigns a score or class to relevant public text. Score ranges and aggregation rules must be documented and versioned.</w:t>
      </w:r>
    </w:p>
    <w:p>
      <w:r>
        <w:t>Formula / candidates: Candidates: sentiment_score in [−1,+1], negative_article_share, uncertainty_score, sentiment_change, news_count.</w:t>
      </w:r>
    </w:p>
    <w:p>
      <w:r>
        <w:t>Example: 18 of 30 relevant articles negative → negative share 60%.</w:t>
      </w:r>
    </w:p>
    <w:p>
      <w:r>
        <w:t>Caveat: Financial language, sarcasm, local languages, duplicates and model drift can create errors.</w:t>
      </w:r>
    </w:p>
    <w:p>
      <w:pPr>
        <w:pStyle w:val="Heading2"/>
      </w:pPr>
      <w:r>
        <w:t>5.9 News volume / event intensity</w:t>
      </w:r>
    </w:p>
    <w:p>
      <w:r>
        <w:t>Article volume measures attention independently of whether the tone is positive or negative.</w:t>
      </w:r>
    </w:p>
    <w:p>
      <w:r>
        <w:t>Formula / candidates: Candidates: news_count, abnormal_news_volume = current count / trailing average, unique_sources, event_intensity.</w:t>
      </w:r>
    </w:p>
    <w:p>
      <w:r>
        <w:t>May capture unusual information arrival or public attention.</w:t>
      </w:r>
    </w:p>
    <w:p>
      <w:r>
        <w:t>Caveat: Syndicated duplicates inflate counts; use publication timestamps and deduplication.</w:t>
      </w:r>
    </w:p>
    <w:p>
      <w:pPr>
        <w:pStyle w:val="Heading2"/>
      </w:pPr>
      <w:r>
        <w:t>5.10 Search attention / surveys / fund flows</w:t>
      </w:r>
    </w:p>
    <w:p>
      <w:r>
        <w:t>Search activity measures attention, surveys measure stated views, and fund flows measure allocation. They are different signals and should not be merged as if identical.</w:t>
      </w:r>
    </w:p>
    <w:p>
      <w:r>
        <w:t>Formula / candidates: Candidates: attention_zscore, survey_net_sentiment = bullish_share−bearish_share, fund_flow_to_AUM, equity_vs_defensive_flow_gap.</w:t>
      </w:r>
    </w:p>
    <w:p>
      <w:r>
        <w:t>May add public-interest or allocation context.</w:t>
      </w:r>
    </w:p>
    <w:p>
      <w:r>
        <w:t>Caveat: Coverage/frequency may be sparse; search indexes can be normalized, and survey/fund data have publication lags.</w:t>
      </w:r>
    </w:p>
    <w:p>
      <w:pPr>
        <w:pStyle w:val="Heading2"/>
      </w:pPr>
      <w:r>
        <w:t>5.11 Sentiment persistence and extremes</w:t>
      </w:r>
    </w:p>
    <w:p>
      <w:r>
        <w:t>Rolling features can distinguish a one-day spike from sustained sentiment.</w:t>
      </w:r>
    </w:p>
    <w:p>
      <w:r>
        <w:t>Formula / candidates: Candidates: sentiment_mean_5d, sentiment_std_20d, negative_news_streak, flow_streak, sentiment_extreme_flag.</w:t>
      </w:r>
    </w:p>
    <w:p>
      <w:r>
        <w:t>Useful for regime identification.</w:t>
      </w:r>
    </w:p>
    <w:p>
      <w:r>
        <w:t>Caveat: Thresholds should be tested and calculated using past data only.</w:t>
      </w:r>
    </w:p>
    <w:p>
      <w:pPr>
        <w:pStyle w:val="Heading2"/>
      </w:pPr>
      <w:r>
        <w:t>5.12 Sentiment divergence and events</w:t>
      </w:r>
    </w:p>
    <w:p>
      <w:r>
        <w:t>Divergence occurs when proxies disagree, such as a rising index alongside rising VIX or negative institutional flows.</w:t>
      </w:r>
    </w:p>
    <w:p>
      <w:r>
        <w:t>Formula / candidates: Candidates: price_up_vix_up_flag, positive_return_negative_flow_flag, event_flag, event_category, post_event_return windows.</w:t>
      </w:r>
    </w:p>
    <w:p>
      <w:r>
        <w:t>May identify fragile rallies or conflicting signals worth testing.</w:t>
      </w:r>
    </w:p>
    <w:p>
      <w:r>
        <w:t>Caveat: Divergence is a hypothesis, not proof of an imminent reversal; event classification must be point-in-time.</w:t>
      </w:r>
    </w:p>
    <w:p>
      <w:pPr>
        <w:pStyle w:val="Heading1"/>
      </w:pPr>
      <w:r>
        <w:t>6. India-focused source research</w:t>
      </w:r>
    </w:p>
    <w:p>
      <w:pPr>
        <w:pStyle w:val="Heading2"/>
      </w:pPr>
      <w:r>
        <w:t>6.1 NSE India VIX</w:t>
      </w:r>
    </w:p>
    <w:p>
      <w:r>
        <w:t>NSE describes India VIX as based on NIFTY option bid/ask quotes and reflecting expected volatility over the next 30 calendar days. It is an implied-volatility measure, not a directional forecast. NSE provides methodology and historical-value links. Verdict: primary official reference for VIX definition/methodology.</w:t>
      </w:r>
    </w:p>
    <w:p>
      <w:r>
        <w:t>Source: https://www.nseindia.com/static/products-services/indices-indiavix-index</w:t>
      </w:r>
    </w:p>
    <w:p>
      <w:pPr>
        <w:pStyle w:val="Heading2"/>
      </w:pPr>
      <w:r>
        <w:t>6.2 NSE FII/FPI and DII activity</w:t>
      </w:r>
    </w:p>
    <w:p>
      <w:r>
        <w:t>NSE publishes buy, sell and net values with downloadable CSV. The source notes that some flow data is provisional and may change; final FPI data may be available from NSDL/CDSL. Preserve provisional/final status and publication timing.</w:t>
      </w:r>
    </w:p>
    <w:p>
      <w:r>
        <w:t>Source: https://www.nseindia.com/reports/fii-dii</w:t>
      </w:r>
    </w:p>
    <w:p>
      <w:pPr>
        <w:pStyle w:val="Heading2"/>
      </w:pPr>
      <w:r>
        <w:t>6.3 NSE reports and derivatives data</w:t>
      </w:r>
    </w:p>
    <w:p>
      <w:r>
        <w:t>NSE's reports area contains daily reports, while detailed historical order/trade and derivatives data can have specific access terms or subscription requirements. Confirm fields, historical depth and usage rights before designing the pipeline around option positioning.</w:t>
      </w:r>
    </w:p>
    <w:p>
      <w:r>
        <w:t>Sources: https://www.nseindia.in/all-reports ; https://www.nse.in/static/nse-data-and-analytics/data-information-vending</w:t>
      </w:r>
    </w:p>
    <w:p>
      <w:pPr>
        <w:pStyle w:val="Heading2"/>
      </w:pPr>
      <w:r>
        <w:t>6.4 News, search, surveys and fund-flow providers</w:t>
      </w:r>
    </w:p>
    <w:p>
      <w:r>
        <w:t>These sources may add value but vary in archive depth, India coverage, language support, update latency, methodology and licensing. Validate historical timestamps and sample records before including them in the core feature set.</w:t>
      </w:r>
    </w:p>
    <w:p>
      <w:pPr>
        <w:pStyle w:val="Heading1"/>
      </w:pPr>
      <w:r>
        <w:t>7. Source comparison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Source</w:t>
            </w:r>
          </w:p>
        </w:tc>
        <w:tc>
          <w:tcPr>
            <w:tcW w:type="dxa" w:w="2045"/>
          </w:tcPr>
          <w:p>
            <w:r>
              <w:t>Best use</w:t>
            </w:r>
          </w:p>
        </w:tc>
        <w:tc>
          <w:tcPr>
            <w:tcW w:type="dxa" w:w="2045"/>
          </w:tcPr>
          <w:p>
            <w:r>
              <w:t>Strength</w:t>
            </w:r>
          </w:p>
        </w:tc>
        <w:tc>
          <w:tcPr>
            <w:tcW w:type="dxa" w:w="2045"/>
          </w:tcPr>
          <w:p>
            <w:r>
              <w:t>Main caveat</w:t>
            </w:r>
          </w:p>
        </w:tc>
        <w:tc>
          <w:tcPr>
            <w:tcW w:type="dxa" w:w="2045"/>
          </w:tcPr>
          <w:p>
            <w:r>
              <w:t>Role</w:t>
            </w:r>
          </w:p>
        </w:tc>
      </w:tr>
      <w:tr>
        <w:tc>
          <w:tcPr>
            <w:tcW w:type="dxa" w:w="2045"/>
          </w:tcPr>
          <w:p>
            <w:r>
              <w:t>NSE India VIX</w:t>
            </w:r>
          </w:p>
        </w:tc>
        <w:tc>
          <w:tcPr>
            <w:tcW w:type="dxa" w:w="2045"/>
          </w:tcPr>
          <w:p>
            <w:r>
              <w:t>Implied uncertainty</w:t>
            </w:r>
          </w:p>
        </w:tc>
        <w:tc>
          <w:tcPr>
            <w:tcW w:type="dxa" w:w="2045"/>
          </w:tcPr>
          <w:p>
            <w:r>
              <w:t>Official methodology/index</w:t>
            </w:r>
          </w:p>
        </w:tc>
        <w:tc>
          <w:tcPr>
            <w:tcW w:type="dxa" w:w="2045"/>
          </w:tcPr>
          <w:p>
            <w:r>
              <w:t>Not directional</w:t>
            </w:r>
          </w:p>
        </w:tc>
        <w:tc>
          <w:tcPr>
            <w:tcW w:type="dxa" w:w="2045"/>
          </w:tcPr>
          <w:p>
            <w:r>
              <w:t>Primary</w:t>
            </w:r>
          </w:p>
        </w:tc>
      </w:tr>
      <w:tr>
        <w:tc>
          <w:tcPr>
            <w:tcW w:type="dxa" w:w="2045"/>
          </w:tcPr>
          <w:p>
            <w:r>
              <w:t>NSE FII/FPI-DII</w:t>
            </w:r>
          </w:p>
        </w:tc>
        <w:tc>
          <w:tcPr>
            <w:tcW w:type="dxa" w:w="2045"/>
          </w:tcPr>
          <w:p>
            <w:r>
              <w:t>Institutional flows</w:t>
            </w:r>
          </w:p>
        </w:tc>
        <w:tc>
          <w:tcPr>
            <w:tcW w:type="dxa" w:w="2045"/>
          </w:tcPr>
          <w:p>
            <w:r>
              <w:t>Official values/CSV</w:t>
            </w:r>
          </w:p>
        </w:tc>
        <w:tc>
          <w:tcPr>
            <w:tcW w:type="dxa" w:w="2045"/>
          </w:tcPr>
          <w:p>
            <w:r>
              <w:t>May be provisional</w:t>
            </w:r>
          </w:p>
        </w:tc>
        <w:tc>
          <w:tcPr>
            <w:tcW w:type="dxa" w:w="2045"/>
          </w:tcPr>
          <w:p>
            <w:r>
              <w:t>Primary</w:t>
            </w:r>
          </w:p>
        </w:tc>
      </w:tr>
      <w:tr>
        <w:tc>
          <w:tcPr>
            <w:tcW w:type="dxa" w:w="2045"/>
          </w:tcPr>
          <w:p>
            <w:r>
              <w:t>NSE derivatives/options</w:t>
            </w:r>
          </w:p>
        </w:tc>
        <w:tc>
          <w:tcPr>
            <w:tcW w:type="dxa" w:w="2045"/>
          </w:tcPr>
          <w:p>
            <w:r>
              <w:t>PCR, skew, OI</w:t>
            </w:r>
          </w:p>
        </w:tc>
        <w:tc>
          <w:tcPr>
            <w:tcW w:type="dxa" w:w="2045"/>
          </w:tcPr>
          <w:p>
            <w:r>
              <w:t>Direct market-derived inputs</w:t>
            </w:r>
          </w:p>
        </w:tc>
        <w:tc>
          <w:tcPr>
            <w:tcW w:type="dxa" w:w="2045"/>
          </w:tcPr>
          <w:p>
            <w:r>
              <w:t>Historical access/terms may constrain use</w:t>
            </w:r>
          </w:p>
        </w:tc>
        <w:tc>
          <w:tcPr>
            <w:tcW w:type="dxa" w:w="2045"/>
          </w:tcPr>
          <w:p>
            <w:r>
              <w:t>Primary if feasible</w:t>
            </w:r>
          </w:p>
        </w:tc>
      </w:tr>
      <w:tr>
        <w:tc>
          <w:tcPr>
            <w:tcW w:type="dxa" w:w="2045"/>
          </w:tcPr>
          <w:p>
            <w:r>
              <w:t>News provider</w:t>
            </w:r>
          </w:p>
        </w:tc>
        <w:tc>
          <w:tcPr>
            <w:tcW w:type="dxa" w:w="2045"/>
          </w:tcPr>
          <w:p>
            <w:r>
              <w:t>Text tone and event intensity</w:t>
            </w:r>
          </w:p>
        </w:tc>
        <w:tc>
          <w:tcPr>
            <w:tcW w:type="dxa" w:w="2045"/>
          </w:tcPr>
          <w:p>
            <w:r>
              <w:t>Narrative data</w:t>
            </w:r>
          </w:p>
        </w:tc>
        <w:tc>
          <w:tcPr>
            <w:tcW w:type="dxa" w:w="2045"/>
          </w:tcPr>
          <w:p>
            <w:r>
              <w:t>Licensing, language, duplicates, model drift</w:t>
            </w:r>
          </w:p>
        </w:tc>
        <w:tc>
          <w:tcPr>
            <w:tcW w:type="dxa" w:w="2045"/>
          </w:tcPr>
          <w:p>
            <w:r>
              <w:t>Optional</w:t>
            </w:r>
          </w:p>
        </w:tc>
      </w:tr>
      <w:tr>
        <w:tc>
          <w:tcPr>
            <w:tcW w:type="dxa" w:w="2045"/>
          </w:tcPr>
          <w:p>
            <w:r>
              <w:t>Search/surveys/funds</w:t>
            </w:r>
          </w:p>
        </w:tc>
        <w:tc>
          <w:tcPr>
            <w:tcW w:type="dxa" w:w="2045"/>
          </w:tcPr>
          <w:p>
            <w:r>
              <w:t>Attention or allocation</w:t>
            </w:r>
          </w:p>
        </w:tc>
        <w:tc>
          <w:tcPr>
            <w:tcW w:type="dxa" w:w="2045"/>
          </w:tcPr>
          <w:p>
            <w:r>
              <w:t>Alternative sentiment proxies</w:t>
            </w:r>
          </w:p>
        </w:tc>
        <w:tc>
          <w:tcPr>
            <w:tcW w:type="dxa" w:w="2045"/>
          </w:tcPr>
          <w:p>
            <w:r>
              <w:t>Frequency and coverage vary</w:t>
            </w:r>
          </w:p>
        </w:tc>
        <w:tc>
          <w:tcPr>
            <w:tcW w:type="dxa" w:w="2045"/>
          </w:tcPr>
          <w:p>
            <w:r>
              <w:t>Supplementary</w:t>
            </w:r>
          </w:p>
        </w:tc>
      </w:tr>
    </w:tbl>
    <w:p>
      <w:pPr>
        <w:pStyle w:val="Heading1"/>
      </w:pPr>
      <w:r>
        <w:t>8. Candidate feature dataset</w:t>
      </w:r>
    </w:p>
    <w:tbl>
      <w:tblPr>
        <w:tblStyle w:val="TableGrid"/>
        <w:tblW w:type="auto" w:w="0"/>
        <w:tblLook w:firstColumn="1" w:firstRow="1" w:lastColumn="0" w:lastRow="0" w:noHBand="0" w:noVBand="1" w:val="04A0"/>
      </w:tblPr>
      <w:tblGrid>
        <w:gridCol w:w="5112"/>
        <w:gridCol w:w="5112"/>
      </w:tblGrid>
      <w:tr>
        <w:tc>
          <w:tcPr>
            <w:tcW w:type="dxa" w:w="5112"/>
          </w:tcPr>
          <w:p>
            <w:r>
              <w:t>Dimension</w:t>
            </w:r>
          </w:p>
        </w:tc>
        <w:tc>
          <w:tcPr>
            <w:tcW w:type="dxa" w:w="5112"/>
          </w:tcPr>
          <w:p>
            <w:r>
              <w:t>Example columns</w:t>
            </w:r>
          </w:p>
        </w:tc>
      </w:tr>
      <w:tr>
        <w:tc>
          <w:tcPr>
            <w:tcW w:type="dxa" w:w="5112"/>
          </w:tcPr>
          <w:p>
            <w:r>
              <w:t>VIX</w:t>
            </w:r>
          </w:p>
        </w:tc>
        <w:tc>
          <w:tcPr>
            <w:tcW w:type="dxa" w:w="5112"/>
          </w:tcPr>
          <w:p>
            <w:r>
              <w:t>india_vix, vix_change_1d, vix_pct_change, vix_zscore_252d, vix_percentile_1y</w:t>
            </w:r>
          </w:p>
        </w:tc>
      </w:tr>
      <w:tr>
        <w:tc>
          <w:tcPr>
            <w:tcW w:type="dxa" w:w="5112"/>
          </w:tcPr>
          <w:p>
            <w:r>
              <w:t>Options</w:t>
            </w:r>
          </w:p>
        </w:tc>
        <w:tc>
          <w:tcPr>
            <w:tcW w:type="dxa" w:w="5112"/>
          </w:tcPr>
          <w:p>
            <w:r>
              <w:t>index_pcr_oi, index_pcr_volume, pcr_change_1d, downside_skew</w:t>
            </w:r>
          </w:p>
        </w:tc>
      </w:tr>
      <w:tr>
        <w:tc>
          <w:tcPr>
            <w:tcW w:type="dxa" w:w="5112"/>
          </w:tcPr>
          <w:p>
            <w:r>
              <w:t>Futures</w:t>
            </w:r>
          </w:p>
        </w:tc>
        <w:tc>
          <w:tcPr>
            <w:tcW w:type="dxa" w:w="5112"/>
          </w:tcPr>
          <w:p>
            <w:r>
              <w:t>futures_oi_change, futures_oi_pct_change, futures_basis</w:t>
            </w:r>
          </w:p>
        </w:tc>
      </w:tr>
      <w:tr>
        <w:tc>
          <w:tcPr>
            <w:tcW w:type="dxa" w:w="5112"/>
          </w:tcPr>
          <w:p>
            <w:r>
              <w:t>FII/FPI</w:t>
            </w:r>
          </w:p>
        </w:tc>
        <w:tc>
          <w:tcPr>
            <w:tcW w:type="dxa" w:w="5112"/>
          </w:tcPr>
          <w:p>
            <w:r>
              <w:t>fii_net_flow, fii_net_flow_5d, fii_net_flow_20d, fii_flow_to_turnover</w:t>
            </w:r>
          </w:p>
        </w:tc>
      </w:tr>
      <w:tr>
        <w:tc>
          <w:tcPr>
            <w:tcW w:type="dxa" w:w="5112"/>
          </w:tcPr>
          <w:p>
            <w:r>
              <w:t>DII/divergence</w:t>
            </w:r>
          </w:p>
        </w:tc>
        <w:tc>
          <w:tcPr>
            <w:tcW w:type="dxa" w:w="5112"/>
          </w:tcPr>
          <w:p>
            <w:r>
              <w:t>dii_net_flow_5d, fii_dii_flow_gap, fii_selling_dii_buying_flag</w:t>
            </w:r>
          </w:p>
        </w:tc>
      </w:tr>
      <w:tr>
        <w:tc>
          <w:tcPr>
            <w:tcW w:type="dxa" w:w="5112"/>
          </w:tcPr>
          <w:p>
            <w:r>
              <w:t>News</w:t>
            </w:r>
          </w:p>
        </w:tc>
        <w:tc>
          <w:tcPr>
            <w:tcW w:type="dxa" w:w="5112"/>
          </w:tcPr>
          <w:p>
            <w:r>
              <w:t>sentiment_score, negative_article_share, news_count, abnormal_news_volume, uncertainty_score</w:t>
            </w:r>
          </w:p>
        </w:tc>
      </w:tr>
      <w:tr>
        <w:tc>
          <w:tcPr>
            <w:tcW w:type="dxa" w:w="5112"/>
          </w:tcPr>
          <w:p>
            <w:r>
              <w:t>Attention/funds</w:t>
            </w:r>
          </w:p>
        </w:tc>
        <w:tc>
          <w:tcPr>
            <w:tcW w:type="dxa" w:w="5112"/>
          </w:tcPr>
          <w:p>
            <w:r>
              <w:t>attention_zscore, survey_net_sentiment, equity_flow_to_aum</w:t>
            </w:r>
          </w:p>
        </w:tc>
      </w:tr>
      <w:tr>
        <w:tc>
          <w:tcPr>
            <w:tcW w:type="dxa" w:w="5112"/>
          </w:tcPr>
          <w:p>
            <w:r>
              <w:t>Timing</w:t>
            </w:r>
          </w:p>
        </w:tc>
        <w:tc>
          <w:tcPr>
            <w:tcW w:type="dxa" w:w="5112"/>
          </w:tcPr>
          <w:p>
            <w:r>
              <w:t>publication_timestamp, data_available_timestamp, provisional_final_flag</w:t>
            </w:r>
          </w:p>
        </w:tc>
      </w:tr>
    </w:tbl>
    <w:p>
      <w:pPr>
        <w:pStyle w:val="Heading1"/>
      </w:pPr>
      <w:r>
        <w:t>9. Timing and leakage controls</w:t>
      </w:r>
    </w:p>
    <w:p>
      <w:r>
        <w:t>The date a value describes is not necessarily the date the market could know it. A flow report published after market close cannot be used in a prediction made before that report. News must be timestamped by when it became public; provisional flows should not silently be replaced by later final values in historical backtests.</w:t>
      </w:r>
    </w:p>
    <w:p>
      <w:pPr>
        <w:pStyle w:val="ListBullet"/>
      </w:pPr>
      <w:r>
        <w:t>Store observation and publication/availability timestamps separately.</w:t>
      </w:r>
    </w:p>
    <w:p>
      <w:pPr>
        <w:pStyle w:val="ListBullet"/>
      </w:pPr>
      <w:r>
        <w:t>Join only data available by the prediction timestamp.</w:t>
      </w:r>
    </w:p>
    <w:p>
      <w:pPr>
        <w:pStyle w:val="ListBullet"/>
      </w:pPr>
      <w:r>
        <w:t>Deduplicate syndicated news and preserve original publication times.</w:t>
      </w:r>
    </w:p>
    <w:p>
      <w:pPr>
        <w:pStyle w:val="ListBullet"/>
      </w:pPr>
      <w:r>
        <w:t>Version the sentiment model and scoring rules.</w:t>
      </w:r>
    </w:p>
    <w:p>
      <w:pPr>
        <w:pStyle w:val="ListBullet"/>
      </w:pPr>
      <w:r>
        <w:t>For intraday targets, account for exact release time and market-session boundaries.</w:t>
      </w:r>
    </w:p>
    <w:p>
      <w:pPr>
        <w:pStyle w:val="ListBullet"/>
      </w:pPr>
      <w:r>
        <w:t>Preserve original provisional values when feasible.</w:t>
      </w:r>
    </w:p>
    <w:p>
      <w:pPr>
        <w:pStyle w:val="Heading1"/>
      </w:pPr>
      <w:r>
        <w:t>10. Candidate shortlist — not empirically validated</w:t>
      </w:r>
    </w:p>
    <w:p>
      <w:pPr>
        <w:pStyle w:val="ListBullet"/>
      </w:pPr>
      <w:r>
        <w:t>India VIX level plus one trailing change/extreme feature.</w:t>
      </w:r>
    </w:p>
    <w:p>
      <w:pPr>
        <w:pStyle w:val="ListBullet"/>
      </w:pPr>
      <w:r>
        <w:t>FII/FPI net flow plus a short rolling cumulative flow.</w:t>
      </w:r>
    </w:p>
    <w:p>
      <w:pPr>
        <w:pStyle w:val="ListBullet"/>
      </w:pPr>
      <w:r>
        <w:t>DII net flow or FII–DII flow divergence.</w:t>
      </w:r>
    </w:p>
    <w:p>
      <w:pPr>
        <w:pStyle w:val="ListBullet"/>
      </w:pPr>
      <w:r>
        <w:t>One clearly defined PCR feature, only if consistent historical options data is available.</w:t>
      </w:r>
    </w:p>
    <w:p>
      <w:pPr>
        <w:pStyle w:val="ListBullet"/>
      </w:pPr>
      <w:r>
        <w:t>News sentiment or abnormal news volume, only if reliable timestamped archives are available.</w:t>
      </w:r>
    </w:p>
    <w:p>
      <w:pPr>
        <w:pStyle w:val="ListBullet"/>
      </w:pPr>
      <w:r>
        <w:t>One persistence/extreme feature and, if useful, one divergence feature.</w:t>
      </w:r>
    </w:p>
    <w:p>
      <w:pPr>
        <w:pStyle w:val="Heading1"/>
      </w:pPr>
      <w:r>
        <w:t>11. Feature selection and validation</w:t>
      </w:r>
    </w:p>
    <w:p>
      <w:pPr>
        <w:pStyle w:val="ListNumber"/>
      </w:pPr>
      <w:r>
        <w:t>Define target and horizon first.</w:t>
      </w:r>
    </w:p>
    <w:p>
      <w:pPr>
        <w:pStyle w:val="ListNumber"/>
      </w:pPr>
      <w:r>
        <w:t>Build a broad pool with source, units and timestamps recorded.</w:t>
      </w:r>
    </w:p>
    <w:p>
      <w:pPr>
        <w:pStyle w:val="ListNumber"/>
      </w:pPr>
      <w:r>
        <w:t>Check coverage, revisions, missingness and licensing.</w:t>
      </w:r>
    </w:p>
    <w:p>
      <w:pPr>
        <w:pStyle w:val="ListNumber"/>
      </w:pPr>
      <w:r>
        <w:t>Measure redundancy with Technical / Market features, especially volatility and volume.</w:t>
      </w:r>
    </w:p>
    <w:p>
      <w:pPr>
        <w:pStyle w:val="ListNumber"/>
      </w:pPr>
      <w:r>
        <w:t>Do not assume PCR, VIX, flows or news tone are inherently bullish or bearish.</w:t>
      </w:r>
    </w:p>
    <w:p>
      <w:pPr>
        <w:pStyle w:val="ListNumber"/>
      </w:pPr>
      <w:r>
        <w:t>Use chronological/walk-forward validation, not random shuffling.</w:t>
      </w:r>
    </w:p>
    <w:p>
      <w:pPr>
        <w:pStyle w:val="ListNumber"/>
      </w:pPr>
      <w:r>
        <w:t>Test incremental value over a price/volume baseline.</w:t>
      </w:r>
    </w:p>
    <w:p>
      <w:pPr>
        <w:pStyle w:val="ListNumber"/>
      </w:pPr>
      <w:r>
        <w:t>Check stability across calm, high-volatility, bull and bear periods.</w:t>
      </w:r>
    </w:p>
    <w:p>
      <w:pPr>
        <w:pStyle w:val="ListNumber"/>
      </w:pPr>
      <w:r>
        <w:t>Retain only features that add stable out-of-sample information.</w:t>
      </w:r>
    </w:p>
    <w:p>
      <w:pPr>
        <w:pStyle w:val="Heading1"/>
      </w:pPr>
      <w:r>
        <w:t>12. Blockers and risks</w:t>
      </w:r>
    </w:p>
    <w:tbl>
      <w:tblPr>
        <w:tblStyle w:val="TableGrid"/>
        <w:tblW w:type="auto" w:w="0"/>
        <w:tblLook w:firstColumn="1" w:firstRow="1" w:lastColumn="0" w:lastRow="0" w:noHBand="0" w:noVBand="1" w:val="04A0"/>
      </w:tblPr>
      <w:tblGrid>
        <w:gridCol w:w="3408"/>
        <w:gridCol w:w="3408"/>
        <w:gridCol w:w="3408"/>
      </w:tblGrid>
      <w:tr>
        <w:tc>
          <w:tcPr>
            <w:tcW w:type="dxa" w:w="3408"/>
          </w:tcPr>
          <w:p>
            <w:r>
              <w:t>Blocker</w:t>
            </w:r>
          </w:p>
        </w:tc>
        <w:tc>
          <w:tcPr>
            <w:tcW w:type="dxa" w:w="3408"/>
          </w:tcPr>
          <w:p>
            <w:r>
              <w:t>Why it matters</w:t>
            </w:r>
          </w:p>
        </w:tc>
        <w:tc>
          <w:tcPr>
            <w:tcW w:type="dxa" w:w="3408"/>
          </w:tcPr>
          <w:p>
            <w:r>
              <w:t>Mitigation</w:t>
            </w:r>
          </w:p>
        </w:tc>
      </w:tr>
      <w:tr>
        <w:tc>
          <w:tcPr>
            <w:tcW w:type="dxa" w:w="3408"/>
          </w:tcPr>
          <w:p>
            <w:r>
              <w:t>Data licensing</w:t>
            </w:r>
          </w:p>
        </w:tc>
        <w:tc>
          <w:tcPr>
            <w:tcW w:type="dxa" w:w="3408"/>
          </w:tcPr>
          <w:p>
            <w:r>
              <w:t>Exchange/news data may restrict storage or redistribution</w:t>
            </w:r>
          </w:p>
        </w:tc>
        <w:tc>
          <w:tcPr>
            <w:tcW w:type="dxa" w:w="3408"/>
          </w:tcPr>
          <w:p>
            <w:r>
              <w:t>Review terms before production/commercial use</w:t>
            </w:r>
          </w:p>
        </w:tc>
      </w:tr>
      <w:tr>
        <w:tc>
          <w:tcPr>
            <w:tcW w:type="dxa" w:w="3408"/>
          </w:tcPr>
          <w:p>
            <w:r>
              <w:t>Historical depth</w:t>
            </w:r>
          </w:p>
        </w:tc>
        <w:tc>
          <w:tcPr>
            <w:tcW w:type="dxa" w:w="3408"/>
          </w:tcPr>
          <w:p>
            <w:r>
              <w:t>Archives may be incomplete</w:t>
            </w:r>
          </w:p>
        </w:tc>
        <w:tc>
          <w:tcPr>
            <w:tcW w:type="dxa" w:w="3408"/>
          </w:tcPr>
          <w:p>
            <w:r>
              <w:t>Verify data history before committing</w:t>
            </w:r>
          </w:p>
        </w:tc>
      </w:tr>
      <w:tr>
        <w:tc>
          <w:tcPr>
            <w:tcW w:type="dxa" w:w="3408"/>
          </w:tcPr>
          <w:p>
            <w:r>
              <w:t>Publication timing</w:t>
            </w:r>
          </w:p>
        </w:tc>
        <w:tc>
          <w:tcPr>
            <w:tcW w:type="dxa" w:w="3408"/>
          </w:tcPr>
          <w:p>
            <w:r>
              <w:t>Daily values can arrive after prediction cutoff</w:t>
            </w:r>
          </w:p>
        </w:tc>
        <w:tc>
          <w:tcPr>
            <w:tcW w:type="dxa" w:w="3408"/>
          </w:tcPr>
          <w:p>
            <w:r>
              <w:t>Store availability timestamps</w:t>
            </w:r>
          </w:p>
        </w:tc>
      </w:tr>
      <w:tr>
        <w:tc>
          <w:tcPr>
            <w:tcW w:type="dxa" w:w="3408"/>
          </w:tcPr>
          <w:p>
            <w:r>
              <w:t>Provisional flows</w:t>
            </w:r>
          </w:p>
        </w:tc>
        <w:tc>
          <w:tcPr>
            <w:tcW w:type="dxa" w:w="3408"/>
          </w:tcPr>
          <w:p>
            <w:r>
              <w:t>Values can later change</w:t>
            </w:r>
          </w:p>
        </w:tc>
        <w:tc>
          <w:tcPr>
            <w:tcW w:type="dxa" w:w="3408"/>
          </w:tcPr>
          <w:p>
            <w:r>
              <w:t>Preserve versions/status</w:t>
            </w:r>
          </w:p>
        </w:tc>
      </w:tr>
      <w:tr>
        <w:tc>
          <w:tcPr>
            <w:tcW w:type="dxa" w:w="3408"/>
          </w:tcPr>
          <w:p>
            <w:r>
              <w:t>Options complexity</w:t>
            </w:r>
          </w:p>
        </w:tc>
        <w:tc>
          <w:tcPr>
            <w:tcW w:type="dxa" w:w="3408"/>
          </w:tcPr>
          <w:p>
            <w:r>
              <w:t>PCR/skew depend on contract filters</w:t>
            </w:r>
          </w:p>
        </w:tc>
        <w:tc>
          <w:tcPr>
            <w:tcW w:type="dxa" w:w="3408"/>
          </w:tcPr>
          <w:p>
            <w:r>
              <w:t>Document universe and calculation</w:t>
            </w:r>
          </w:p>
        </w:tc>
      </w:tr>
      <w:tr>
        <w:tc>
          <w:tcPr>
            <w:tcW w:type="dxa" w:w="3408"/>
          </w:tcPr>
          <w:p>
            <w:r>
              <w:t>Sentiment-model errors</w:t>
            </w:r>
          </w:p>
        </w:tc>
        <w:tc>
          <w:tcPr>
            <w:tcW w:type="dxa" w:w="3408"/>
          </w:tcPr>
          <w:p>
            <w:r>
              <w:t>Financial text may be misclassified</w:t>
            </w:r>
          </w:p>
        </w:tc>
        <w:tc>
          <w:tcPr>
            <w:tcW w:type="dxa" w:w="3408"/>
          </w:tcPr>
          <w:p>
            <w:r>
              <w:t>Validate samples and version model</w:t>
            </w:r>
          </w:p>
        </w:tc>
      </w:tr>
      <w:tr>
        <w:tc>
          <w:tcPr>
            <w:tcW w:type="dxa" w:w="3408"/>
          </w:tcPr>
          <w:p>
            <w:r>
              <w:t>Duplicate news</w:t>
            </w:r>
          </w:p>
        </w:tc>
        <w:tc>
          <w:tcPr>
            <w:tcW w:type="dxa" w:w="3408"/>
          </w:tcPr>
          <w:p>
            <w:r>
              <w:t>Inflates article counts</w:t>
            </w:r>
          </w:p>
        </w:tc>
        <w:tc>
          <w:tcPr>
            <w:tcW w:type="dxa" w:w="3408"/>
          </w:tcPr>
          <w:p>
            <w:r>
              <w:t>Deduplicate by content/source/time</w:t>
            </w:r>
          </w:p>
        </w:tc>
      </w:tr>
      <w:tr>
        <w:tc>
          <w:tcPr>
            <w:tcW w:type="dxa" w:w="3408"/>
          </w:tcPr>
          <w:p>
            <w:r>
              <w:t>Category overlap</w:t>
            </w:r>
          </w:p>
        </w:tc>
        <w:tc>
          <w:tcPr>
            <w:tcW w:type="dxa" w:w="3408"/>
          </w:tcPr>
          <w:p>
            <w:r>
              <w:t>Sentiment can overlap with price/volatility features</w:t>
            </w:r>
          </w:p>
        </w:tc>
        <w:tc>
          <w:tcPr>
            <w:tcW w:type="dxa" w:w="3408"/>
          </w:tcPr>
          <w:p>
            <w:r>
              <w:t>Test incremental value</w:t>
            </w:r>
          </w:p>
        </w:tc>
      </w:tr>
      <w:tr>
        <w:tc>
          <w:tcPr>
            <w:tcW w:type="dxa" w:w="3408"/>
          </w:tcPr>
          <w:p>
            <w:r>
              <w:t>Non-directional proxies</w:t>
            </w:r>
          </w:p>
        </w:tc>
        <w:tc>
          <w:tcPr>
            <w:tcW w:type="dxa" w:w="3408"/>
          </w:tcPr>
          <w:p>
            <w:r>
              <w:t>Fear/uncertainty do not guarantee direction</w:t>
            </w:r>
          </w:p>
        </w:tc>
        <w:tc>
          <w:tcPr>
            <w:tcW w:type="dxa" w:w="3408"/>
          </w:tcPr>
          <w:p>
            <w:r>
              <w:t>Treat as state variables, not rules</w:t>
            </w:r>
          </w:p>
        </w:tc>
      </w:tr>
    </w:tbl>
    <w:p>
      <w:pPr>
        <w:pStyle w:val="Heading1"/>
      </w:pPr>
      <w:r>
        <w:t>13. Mentor / TL-ready summary</w:t>
      </w:r>
    </w:p>
    <w:p>
      <w:r>
        <w:t>Market Sentiment &amp; Investor Behaviour is the recommended fourth category. It decomposes investor expectations and behaviour into implied volatility, options positioning, futures open interest, FII/FPI and DII flows, news tone, attention, surveys, fund flows, sentiment extremes and divergence. NSE India VIX and NSE institutional-flow reports are practical India-first starting points. Options, news and search features should be added only after confirming historical coverage, timestamps and licensing. The key controls are point-in-time availability, provisional-versus-final versions, precise feature definitions and redundancy checks against Technical / Market. All features remain candidates until they show incremental predictive value in time-aware testing.</w:t>
      </w:r>
    </w:p>
    <w:p>
      <w:pPr>
        <w:pStyle w:val="Heading1"/>
      </w:pPr>
      <w:r>
        <w:t>14. Official references</w:t>
      </w:r>
    </w:p>
    <w:p>
      <w:pPr>
        <w:pStyle w:val="ListBullet"/>
      </w:pPr>
      <w:r>
        <w:t>NSE India VIX index and methodology: https://www.nseindia.com/static/products-services/indices-indiavix-index</w:t>
      </w:r>
    </w:p>
    <w:p>
      <w:pPr>
        <w:pStyle w:val="ListBullet"/>
      </w:pPr>
      <w:r>
        <w:t>NSE FII/FPI &amp; DII trading activity: https://www.nseindia.com/reports/fii-dii</w:t>
      </w:r>
    </w:p>
    <w:p>
      <w:pPr>
        <w:pStyle w:val="ListBullet"/>
      </w:pPr>
      <w:r>
        <w:t>NSE All Reports: https://www.nseindia.in/all-reports</w:t>
      </w:r>
    </w:p>
    <w:p>
      <w:pPr>
        <w:pStyle w:val="ListBullet"/>
      </w:pPr>
      <w:r>
        <w:t>NSE Data &amp; Analytics / Data Vending: https://www.nse.in/static/nse-data-and-analytics/data-information-vending</w:t>
      </w:r>
    </w:p>
    <w:p>
      <w:pPr>
        <w:pStyle w:val="ListBullet"/>
      </w:pPr>
      <w:r>
        <w:t>NSE Real-time data products: https://www.nse.in/static/market-data/real-time-data-subscription</w:t>
      </w:r>
    </w:p>
    <w:p>
      <w:pPr>
        <w:pStyle w:val="ListBullet"/>
      </w:pPr>
      <w:r>
        <w:t>NSE EOD/historical data products: https://www.nse.in/static/market-data/eod-historical-data-subscription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