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Category 14: Risk, Volatility &amp; Downside-Risk Indicators</w:t>
      </w:r>
    </w:p>
    <w:p>
      <w:pPr>
        <w:jc w:val="center"/>
      </w:pPr>
      <w:r>
        <w:t>Measures of uncertainty, drawdowns, tail risk, and changing market regimes</w:t>
      </w:r>
    </w:p>
    <w:p>
      <w:r>
        <w:t>Standalone research document | India-focused stock-market prediction project | Candidate features require empirical validation</w:t>
      </w:r>
    </w:p>
    <w:p>
      <w:pPr>
        <w:pStyle w:val="Heading1"/>
      </w:pPr>
      <w:r>
        <w:t>1. Executive Summary</w:t>
      </w:r>
    </w:p>
    <w:p>
      <w:r>
        <w:t>Risk and volatility features describe how much prices fluctuate, how severe losses can be, and whether market conditions are becoming unstable. They are often more useful for predicting the distribution or risk of returns than predicting the exact direction of the next price move.</w:t>
      </w:r>
    </w:p>
    <w:p>
      <w:r>
        <w:t>For an Indian stock-market model, begin with realized volatility, downside volatility, maximum drawdown, beta, and market-regime indicators. Add VaR/CVaR only with clear assumptions and adequate history. Distinguish volatility (variation in both directions) from downside risk (loss-focused measures).</w:t>
      </w:r>
    </w:p>
    <w:p>
      <w:pPr>
        <w:pStyle w:val="Heading1"/>
      </w:pPr>
      <w:r>
        <w:t>2. Research Dimensions</w:t>
      </w:r>
    </w:p>
    <w:p>
      <w:pPr>
        <w:pStyle w:val="ListBullet"/>
      </w:pPr>
      <w:r>
        <w:t>Realized volatility: rolling standard deviation of daily or intraday returns.</w:t>
      </w:r>
    </w:p>
    <w:p>
      <w:pPr>
        <w:pStyle w:val="ListBullet"/>
      </w:pPr>
      <w:r>
        <w:t>Downside volatility: variation in returns below a defined threshold, often zero or a target return.</w:t>
      </w:r>
    </w:p>
    <w:p>
      <w:pPr>
        <w:pStyle w:val="ListBullet"/>
      </w:pPr>
      <w:r>
        <w:t>Maximum drawdown: largest peak-to-trough decline over a window.</w:t>
      </w:r>
    </w:p>
    <w:p>
      <w:pPr>
        <w:pStyle w:val="ListBullet"/>
      </w:pPr>
      <w:r>
        <w:t>Beta and correlation: sensitivity to NIFTY 50, sector index, or a chosen benchmark.</w:t>
      </w:r>
    </w:p>
    <w:p>
      <w:pPr>
        <w:pStyle w:val="ListBullet"/>
      </w:pPr>
      <w:r>
        <w:t>Value at Risk (VaR): estimated loss threshold at a confidence level and horizon.</w:t>
      </w:r>
    </w:p>
    <w:p>
      <w:pPr>
        <w:pStyle w:val="ListBullet"/>
      </w:pPr>
      <w:r>
        <w:t>Conditional VaR / Expected Shortfall: average loss in the tail beyond VaR.</w:t>
      </w:r>
    </w:p>
    <w:p>
      <w:pPr>
        <w:pStyle w:val="ListBullet"/>
      </w:pPr>
      <w:r>
        <w:t>Gap and jump risk: overnight returns, large one-day moves, and discontinuities.</w:t>
      </w:r>
    </w:p>
    <w:p>
      <w:pPr>
        <w:pStyle w:val="ListBullet"/>
      </w:pPr>
      <w:r>
        <w:t>Volatility clustering: whether high volatility tends to be followed by high volatility.</w:t>
      </w:r>
    </w:p>
    <w:p>
      <w:pPr>
        <w:pStyle w:val="ListBullet"/>
      </w:pPr>
      <w:r>
        <w:t>Tail and skewness measures: asymmetry and extreme-return behavior.</w:t>
      </w:r>
    </w:p>
    <w:p>
      <w:pPr>
        <w:pStyle w:val="ListBullet"/>
      </w:pPr>
      <w:r>
        <w:t>Liquidity-adjusted risk: volatility alongside turnover, spreads, and market impact.</w:t>
      </w:r>
    </w:p>
    <w:p>
      <w:pPr>
        <w:pStyle w:val="ListBullet"/>
      </w:pPr>
      <w:r>
        <w:t>Regime indicators: calm, elevated-volatility, crisis, and recovery states.</w:t>
      </w:r>
    </w:p>
    <w:p>
      <w:pPr>
        <w:pStyle w:val="ListBullet"/>
      </w:pPr>
      <w:r>
        <w:t>Portfolio concentration and co-movement: correlation spikes and diversification breakdown.</w:t>
      </w:r>
    </w:p>
    <w:p>
      <w:pPr>
        <w:pStyle w:val="Heading1"/>
      </w:pPr>
      <w:r>
        <w:t>3. Key Concepts</w:t>
      </w:r>
    </w:p>
    <w:p>
      <w:pPr>
        <w:pStyle w:val="ListBullet"/>
      </w:pPr>
      <w:r>
        <w:t>Volatility is not the same as risk for every investor: a large upward move increases volatility but may not be a loss.</w:t>
      </w:r>
    </w:p>
    <w:p>
      <w:pPr>
        <w:pStyle w:val="ListBullet"/>
      </w:pPr>
      <w:r>
        <w:t>Historical risk estimates are backward-looking and can understate risk after a structural change.</w:t>
      </w:r>
    </w:p>
    <w:p>
      <w:pPr>
        <w:pStyle w:val="ListBullet"/>
      </w:pPr>
      <w:r>
        <w:t>Beta measures co-movement sensitivity to a benchmark, not total risk or guaranteed future sensitivity.</w:t>
      </w:r>
    </w:p>
    <w:p>
      <w:pPr>
        <w:pStyle w:val="ListBullet"/>
      </w:pPr>
      <w:r>
        <w:t>Drawdown measures loss from a previous peak and captures path dependency.</w:t>
      </w:r>
    </w:p>
    <w:p>
      <w:pPr>
        <w:pStyle w:val="ListBullet"/>
      </w:pPr>
      <w:r>
        <w:t>VaR estimates a quantile of losses; it does not tell how bad losses can be beyond that threshold.</w:t>
      </w:r>
    </w:p>
    <w:p>
      <w:pPr>
        <w:pStyle w:val="ListBullet"/>
      </w:pPr>
      <w:r>
        <w:t>Expected Shortfall averages losses in the tail beyond a chosen VaR threshold.</w:t>
      </w:r>
    </w:p>
    <w:p>
      <w:pPr>
        <w:pStyle w:val="Heading1"/>
      </w:pPr>
      <w:r>
        <w:t>4. Core Formulas</w:t>
      </w:r>
    </w:p>
    <w:p>
      <w:pPr>
        <w:pStyle w:val="Heading2"/>
      </w:pPr>
      <w:r>
        <w:t>4.1 Returns and realized volatility</w:t>
      </w:r>
    </w:p>
    <w:p>
      <w:r>
        <w:t>Simple return: R_t = P_t/P_(t−1) − 1. Log return: r_t = ln(P_t/P_(t−1)). Pick one convention and document it.</w:t>
      </w:r>
    </w:p>
    <w:p>
      <w:r>
        <w:t>Rolling sample volatility over N returns: s_N = sqrt(sum((r_i − mean(r))²)/(N−1)). Annualized daily volatility ≈ s_N × sqrt(252), assuming 252 sessions and comparable daily returns.</w:t>
      </w:r>
    </w:p>
    <w:p>
      <w:pPr>
        <w:pStyle w:val="Heading2"/>
      </w:pPr>
      <w:r>
        <w:t>4.2 Downside deviation</w:t>
      </w:r>
    </w:p>
    <w:p>
      <w:r>
        <w:t>For threshold τ (often 0), downside deviation can be calculated as sqrt(mean(min(r_i−τ, 0)²)) over the window. State whether the denominator includes all observations or only downside observations; both conventions exist.</w:t>
      </w:r>
    </w:p>
    <w:p>
      <w:pPr>
        <w:pStyle w:val="Heading2"/>
      </w:pPr>
      <w:r>
        <w:t>4.3 Drawdown</w:t>
      </w:r>
    </w:p>
    <w:p>
      <w:r>
        <w:t>Running peak: Peak_t = max(P_1,...,P_t). Drawdown_t = P_t/Peak_t − 1. Maximum drawdown over a window is the minimum drawdown in that window. Example: price rises to 100 and later falls to 80; drawdown is −20%.</w:t>
      </w:r>
    </w:p>
    <w:p>
      <w:pPr>
        <w:pStyle w:val="Heading2"/>
      </w:pPr>
      <w:r>
        <w:t>4.4 Beta and correlation</w:t>
      </w:r>
    </w:p>
    <w:p>
      <w:r>
        <w:t>Beta = Cov(stock returns, benchmark returns) / Var(benchmark returns), estimated over a chosen historical window. Correlation = Cov(X,Y)/(σ_X σ_Y). Both depend on window choice and regime.</w:t>
      </w:r>
    </w:p>
    <w:p>
      <w:pPr>
        <w:pStyle w:val="Heading2"/>
      </w:pPr>
      <w:r>
        <w:t>4.5 VaR and Expected Shortfall</w:t>
      </w:r>
    </w:p>
    <w:p>
      <w:r>
        <w:t>For a loss variable L, VaR at confidence q is the q-quantile of L. Expected Shortfall at q is the mean of losses at or beyond that quantile, subject to the exact convention. Historical simulation, parametric models, and volatility models can produce different estimates.</w:t>
      </w:r>
    </w:p>
    <w:p>
      <w:pPr>
        <w:pStyle w:val="Heading2"/>
      </w:pPr>
      <w:r>
        <w:t>4.6 Gap and tail measures</w:t>
      </w:r>
    </w:p>
    <w:p>
      <w:r>
        <w:t>Overnight gap return = opening price / previous close − 1. Large-move flag = 1 when absolute return exceeds a training-period threshold, such as a historical percentile. Do not set thresholds using the full dataset.</w:t>
      </w:r>
    </w:p>
    <w:p>
      <w:pPr>
        <w:pStyle w:val="Heading1"/>
      </w:pPr>
      <w:r>
        <w:t>5. Raw Data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Purpose</w:t>
            </w:r>
          </w:p>
        </w:tc>
        <w:tc>
          <w:tcPr>
            <w:tcW w:type="dxa" w:w="3312"/>
          </w:tcPr>
          <w:p>
            <w:r>
              <w:t>Caution</w:t>
            </w:r>
          </w:p>
        </w:tc>
      </w:tr>
      <w:tr>
        <w:tc>
          <w:tcPr>
            <w:tcW w:type="dxa" w:w="3312"/>
          </w:tcPr>
          <w:p>
            <w:r>
              <w:t>date/time, security_id</w:t>
            </w:r>
          </w:p>
        </w:tc>
        <w:tc>
          <w:tcPr>
            <w:tcW w:type="dxa" w:w="3312"/>
          </w:tcPr>
          <w:p>
            <w:r>
              <w:t>Align prices and returns</w:t>
            </w:r>
          </w:p>
        </w:tc>
        <w:tc>
          <w:tcPr>
            <w:tcW w:type="dxa" w:w="3312"/>
          </w:tcPr>
          <w:p>
            <w:r>
              <w:t>Use exchange session calendar</w:t>
            </w:r>
          </w:p>
        </w:tc>
      </w:tr>
      <w:tr>
        <w:tc>
          <w:tcPr>
            <w:tcW w:type="dxa" w:w="3312"/>
          </w:tcPr>
          <w:p>
            <w:r>
              <w:t>open, high, low, close, adjusted close</w:t>
            </w:r>
          </w:p>
        </w:tc>
        <w:tc>
          <w:tcPr>
            <w:tcW w:type="dxa" w:w="3312"/>
          </w:tcPr>
          <w:p>
            <w:r>
              <w:t>Returns, gaps, ranges, drawdown</w:t>
            </w:r>
          </w:p>
        </w:tc>
        <w:tc>
          <w:tcPr>
            <w:tcW w:type="dxa" w:w="3312"/>
          </w:tcPr>
          <w:p>
            <w:r>
              <w:t>Corporate-action adjustment matters</w:t>
            </w:r>
          </w:p>
        </w:tc>
      </w:tr>
      <w:tr>
        <w:tc>
          <w:tcPr>
            <w:tcW w:type="dxa" w:w="3312"/>
          </w:tcPr>
          <w:p>
            <w:r>
              <w:t>volume, traded value, turnover</w:t>
            </w:r>
          </w:p>
        </w:tc>
        <w:tc>
          <w:tcPr>
            <w:tcW w:type="dxa" w:w="3312"/>
          </w:tcPr>
          <w:p>
            <w:r>
              <w:t>Liquidity context</w:t>
            </w:r>
          </w:p>
        </w:tc>
        <w:tc>
          <w:tcPr>
            <w:tcW w:type="dxa" w:w="3312"/>
          </w:tcPr>
          <w:p>
            <w:r>
              <w:t>Not a direct risk measure by itself</w:t>
            </w:r>
          </w:p>
        </w:tc>
      </w:tr>
      <w:tr>
        <w:tc>
          <w:tcPr>
            <w:tcW w:type="dxa" w:w="3312"/>
          </w:tcPr>
          <w:p>
            <w:r>
              <w:t>benchmark close / sector close</w:t>
            </w:r>
          </w:p>
        </w:tc>
        <w:tc>
          <w:tcPr>
            <w:tcW w:type="dxa" w:w="3312"/>
          </w:tcPr>
          <w:p>
            <w:r>
              <w:t>Beta and correlation</w:t>
            </w:r>
          </w:p>
        </w:tc>
        <w:tc>
          <w:tcPr>
            <w:tcW w:type="dxa" w:w="3312"/>
          </w:tcPr>
          <w:p>
            <w:r>
              <w:t>Use matching dates and adjusted series</w:t>
            </w:r>
          </w:p>
        </w:tc>
      </w:tr>
      <w:tr>
        <w:tc>
          <w:tcPr>
            <w:tcW w:type="dxa" w:w="3312"/>
          </w:tcPr>
          <w:p>
            <w:r>
              <w:t>intraday bars (optional)</w:t>
            </w:r>
          </w:p>
        </w:tc>
        <w:tc>
          <w:tcPr>
            <w:tcW w:type="dxa" w:w="3312"/>
          </w:tcPr>
          <w:p>
            <w:r>
              <w:t>Realized volatility and jumps</w:t>
            </w:r>
          </w:p>
        </w:tc>
        <w:tc>
          <w:tcPr>
            <w:tcW w:type="dxa" w:w="3312"/>
          </w:tcPr>
          <w:p>
            <w:r>
              <w:t>Data cost, quality, and survivorship issues</w:t>
            </w:r>
          </w:p>
        </w:tc>
      </w:tr>
      <w:tr>
        <w:tc>
          <w:tcPr>
            <w:tcW w:type="dxa" w:w="3312"/>
          </w:tcPr>
          <w:p>
            <w:r>
              <w:t>risk-free rate (optional)</w:t>
            </w:r>
          </w:p>
        </w:tc>
        <w:tc>
          <w:tcPr>
            <w:tcW w:type="dxa" w:w="3312"/>
          </w:tcPr>
          <w:p>
            <w:r>
              <w:t>Excess-return calculations</w:t>
            </w:r>
          </w:p>
        </w:tc>
        <w:tc>
          <w:tcPr>
            <w:tcW w:type="dxa" w:w="3312"/>
          </w:tcPr>
          <w:p>
            <w:r>
              <w:t>Align maturity and observation date</w:t>
            </w:r>
          </w:p>
        </w:tc>
      </w:tr>
      <w:tr>
        <w:tc>
          <w:tcPr>
            <w:tcW w:type="dxa" w:w="3312"/>
          </w:tcPr>
          <w:p>
            <w:r>
              <w:t>corporate actions</w:t>
            </w:r>
          </w:p>
        </w:tc>
        <w:tc>
          <w:tcPr>
            <w:tcW w:type="dxa" w:w="3312"/>
          </w:tcPr>
          <w:p>
            <w:r>
              <w:t>Avoid artificial price jumps</w:t>
            </w:r>
          </w:p>
        </w:tc>
        <w:tc>
          <w:tcPr>
            <w:tcW w:type="dxa" w:w="3312"/>
          </w:tcPr>
          <w:p>
            <w:r>
              <w:t>Adjust consistently</w:t>
            </w:r>
          </w:p>
        </w:tc>
      </w:tr>
      <w:tr>
        <w:tc>
          <w:tcPr>
            <w:tcW w:type="dxa" w:w="3312"/>
          </w:tcPr>
          <w:p>
            <w:r>
              <w:t>publication / ingestion timestamps</w:t>
            </w:r>
          </w:p>
        </w:tc>
        <w:tc>
          <w:tcPr>
            <w:tcW w:type="dxa" w:w="3312"/>
          </w:tcPr>
          <w:p>
            <w:r>
              <w:t>Point-in-time reproducibility</w:t>
            </w:r>
          </w:p>
        </w:tc>
        <w:tc>
          <w:tcPr>
            <w:tcW w:type="dxa" w:w="3312"/>
          </w:tcPr>
          <w:p>
            <w:r>
              <w:t>Especially for external risk indicators</w:t>
            </w:r>
          </w:p>
        </w:tc>
      </w:tr>
    </w:tbl>
    <w:p>
      <w:pPr>
        <w:pStyle w:val="Heading1"/>
      </w:pPr>
      <w:r>
        <w:t>6. Data Sources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Source</w:t>
            </w:r>
          </w:p>
        </w:tc>
        <w:tc>
          <w:tcPr>
            <w:tcW w:type="dxa" w:w="3312"/>
          </w:tcPr>
          <w:p>
            <w:r>
              <w:t>URL</w:t>
            </w:r>
          </w:p>
        </w:tc>
        <w:tc>
          <w:tcPr>
            <w:tcW w:type="dxa" w:w="3312"/>
          </w:tcPr>
          <w:p>
            <w:r>
              <w:t>Potential use / limitations</w:t>
            </w:r>
          </w:p>
        </w:tc>
      </w:tr>
      <w:tr>
        <w:tc>
          <w:tcPr>
            <w:tcW w:type="dxa" w:w="3312"/>
          </w:tcPr>
          <w:p>
            <w:r>
              <w:t>NSE India</w:t>
            </w:r>
          </w:p>
        </w:tc>
        <w:tc>
          <w:tcPr>
            <w:tcW w:type="dxa" w:w="3312"/>
          </w:tcPr>
          <w:p>
            <w:r>
              <w:t>https://www.nseindia.com/</w:t>
            </w:r>
          </w:p>
        </w:tc>
        <w:tc>
          <w:tcPr>
            <w:tcW w:type="dxa" w:w="3312"/>
          </w:tcPr>
          <w:p>
            <w:r>
              <w:t>Official market data and reports; historical granularity, access, and licensing vary.</w:t>
            </w:r>
          </w:p>
        </w:tc>
      </w:tr>
      <w:tr>
        <w:tc>
          <w:tcPr>
            <w:tcW w:type="dxa" w:w="3312"/>
          </w:tcPr>
          <w:p>
            <w:r>
              <w:t>BSE India</w:t>
            </w:r>
          </w:p>
        </w:tc>
        <w:tc>
          <w:tcPr>
            <w:tcW w:type="dxa" w:w="3312"/>
          </w:tcPr>
          <w:p>
            <w:r>
              <w:t>https://www.bseindia.com/</w:t>
            </w:r>
          </w:p>
        </w:tc>
        <w:tc>
          <w:tcPr>
            <w:tcW w:type="dxa" w:w="3312"/>
          </w:tcPr>
          <w:p>
            <w:r>
              <w:t>Alternative exchange source; reconcile symbol and corporate-action histories.</w:t>
            </w:r>
          </w:p>
        </w:tc>
      </w:tr>
      <w:tr>
        <w:tc>
          <w:tcPr>
            <w:tcW w:type="dxa" w:w="3312"/>
          </w:tcPr>
          <w:p>
            <w:r>
              <w:t>NSE Indices</w:t>
            </w:r>
          </w:p>
        </w:tc>
        <w:tc>
          <w:tcPr>
            <w:tcW w:type="dxa" w:w="3312"/>
          </w:tcPr>
          <w:p>
            <w:r>
              <w:t>https://www.niftyindices.com/</w:t>
            </w:r>
          </w:p>
        </w:tc>
        <w:tc>
          <w:tcPr>
            <w:tcW w:type="dxa" w:w="3312"/>
          </w:tcPr>
          <w:p>
            <w:r>
              <w:t>Benchmark and sector index histories/methodologies where available.</w:t>
            </w:r>
          </w:p>
        </w:tc>
      </w:tr>
      <w:tr>
        <w:tc>
          <w:tcPr>
            <w:tcW w:type="dxa" w:w="3312"/>
          </w:tcPr>
          <w:p>
            <w:r>
              <w:t>RBI DBIE</w:t>
            </w:r>
          </w:p>
        </w:tc>
        <w:tc>
          <w:tcPr>
            <w:tcW w:type="dxa" w:w="3312"/>
          </w:tcPr>
          <w:p>
            <w:r>
              <w:t>https://dbie.rbi.org.in/</w:t>
            </w:r>
          </w:p>
        </w:tc>
        <w:tc>
          <w:tcPr>
            <w:tcW w:type="dxa" w:w="3312"/>
          </w:tcPr>
          <w:p>
            <w:r>
              <w:t>Risk-free and macro-financial context; match frequency and timing.</w:t>
            </w:r>
          </w:p>
        </w:tc>
      </w:tr>
      <w:tr>
        <w:tc>
          <w:tcPr>
            <w:tcW w:type="dxa" w:w="3312"/>
          </w:tcPr>
          <w:p>
            <w:r>
              <w:t>Yahoo Finance (secondary)</w:t>
            </w:r>
          </w:p>
        </w:tc>
        <w:tc>
          <w:tcPr>
            <w:tcW w:type="dxa" w:w="3312"/>
          </w:tcPr>
          <w:p>
            <w:r>
              <w:t>https://finance.yahoo.com/</w:t>
            </w:r>
          </w:p>
        </w:tc>
        <w:tc>
          <w:tcPr>
            <w:tcW w:type="dxa" w:w="3312"/>
          </w:tcPr>
          <w:p>
            <w:r>
              <w:t>Convenient exploratory history, but verify completeness, adjustment methodology, terms, and reliability before production.</w:t>
            </w:r>
          </w:p>
        </w:tc>
      </w:tr>
    </w:tbl>
    <w:p>
      <w:pPr>
        <w:pStyle w:val="Heading1"/>
      </w:pPr>
      <w:r>
        <w:t>7. Candidate Dataset Columns</w:t>
      </w:r>
    </w:p>
    <w:tbl>
      <w:tblPr>
        <w:tblStyle w:val="LightShading-Accent1"/>
        <w:tblW w:type="auto" w:w="0"/>
        <w:tblLook w:firstColumn="1" w:firstRow="1" w:lastColumn="0" w:lastRow="0" w:noHBand="0" w:noVBand="1" w:val="04A0"/>
      </w:tblPr>
      <w:tblGrid>
        <w:gridCol w:w="4968"/>
        <w:gridCol w:w="4968"/>
      </w:tblGrid>
      <w:tr>
        <w:tc>
          <w:tcPr>
            <w:tcW w:type="dxa" w:w="4968"/>
          </w:tcPr>
          <w:p>
            <w:r>
              <w:t>Feature family</w:t>
            </w:r>
          </w:p>
        </w:tc>
        <w:tc>
          <w:tcPr>
            <w:tcW w:type="dxa" w:w="4968"/>
          </w:tcPr>
          <w:p>
            <w:r>
              <w:t>Columns</w:t>
            </w:r>
          </w:p>
        </w:tc>
      </w:tr>
      <w:tr>
        <w:tc>
          <w:tcPr>
            <w:tcW w:type="dxa" w:w="4968"/>
          </w:tcPr>
          <w:p>
            <w:r>
              <w:t>Return</w:t>
            </w:r>
          </w:p>
        </w:tc>
        <w:tc>
          <w:tcPr>
            <w:tcW w:type="dxa" w:w="4968"/>
          </w:tcPr>
          <w:p>
            <w:r>
              <w:t>ret_1d, log_ret_1d, ret_5d, ret_20d</w:t>
            </w:r>
          </w:p>
        </w:tc>
      </w:tr>
      <w:tr>
        <w:tc>
          <w:tcPr>
            <w:tcW w:type="dxa" w:w="4968"/>
          </w:tcPr>
          <w:p>
            <w:r>
              <w:t>Volatility</w:t>
            </w:r>
          </w:p>
        </w:tc>
        <w:tc>
          <w:tcPr>
            <w:tcW w:type="dxa" w:w="4968"/>
          </w:tcPr>
          <w:p>
            <w:r>
              <w:t>rv_5d, rv_20d, rv_60d, annualized_rv_20d</w:t>
            </w:r>
          </w:p>
        </w:tc>
      </w:tr>
      <w:tr>
        <w:tc>
          <w:tcPr>
            <w:tcW w:type="dxa" w:w="4968"/>
          </w:tcPr>
          <w:p>
            <w:r>
              <w:t>Downside</w:t>
            </w:r>
          </w:p>
        </w:tc>
        <w:tc>
          <w:tcPr>
            <w:tcW w:type="dxa" w:w="4968"/>
          </w:tcPr>
          <w:p>
            <w:r>
              <w:t>downside_dev_20d, negative_day_ratio_20d, worst_ret_20d</w:t>
            </w:r>
          </w:p>
        </w:tc>
      </w:tr>
      <w:tr>
        <w:tc>
          <w:tcPr>
            <w:tcW w:type="dxa" w:w="4968"/>
          </w:tcPr>
          <w:p>
            <w:r>
              <w:t>Drawdown</w:t>
            </w:r>
          </w:p>
        </w:tc>
        <w:tc>
          <w:tcPr>
            <w:tcW w:type="dxa" w:w="4968"/>
          </w:tcPr>
          <w:p>
            <w:r>
              <w:t>drawdown_current, max_drawdown_20d, max_drawdown_60d</w:t>
            </w:r>
          </w:p>
        </w:tc>
      </w:tr>
      <w:tr>
        <w:tc>
          <w:tcPr>
            <w:tcW w:type="dxa" w:w="4968"/>
          </w:tcPr>
          <w:p>
            <w:r>
              <w:t>Market sensitivity</w:t>
            </w:r>
          </w:p>
        </w:tc>
        <w:tc>
          <w:tcPr>
            <w:tcW w:type="dxa" w:w="4968"/>
          </w:tcPr>
          <w:p>
            <w:r>
              <w:t>beta_60d, corr_nifty_60d, corr_sector_60d</w:t>
            </w:r>
          </w:p>
        </w:tc>
      </w:tr>
      <w:tr>
        <w:tc>
          <w:tcPr>
            <w:tcW w:type="dxa" w:w="4968"/>
          </w:tcPr>
          <w:p>
            <w:r>
              <w:t>Tail / gap</w:t>
            </w:r>
          </w:p>
        </w:tc>
        <w:tc>
          <w:tcPr>
            <w:tcW w:type="dxa" w:w="4968"/>
          </w:tcPr>
          <w:p>
            <w:r>
              <w:t>overnight_gap, abs_return_percentile, large_move_flag</w:t>
            </w:r>
          </w:p>
        </w:tc>
      </w:tr>
      <w:tr>
        <w:tc>
          <w:tcPr>
            <w:tcW w:type="dxa" w:w="4968"/>
          </w:tcPr>
          <w:p>
            <w:r>
              <w:t>Risk regime</w:t>
            </w:r>
          </w:p>
        </w:tc>
        <w:tc>
          <w:tcPr>
            <w:tcW w:type="dxa" w:w="4968"/>
          </w:tcPr>
          <w:p>
            <w:r>
              <w:t>market_vol_regime, stock_vol_percentile, correlation_regime</w:t>
            </w:r>
          </w:p>
        </w:tc>
      </w:tr>
      <w:tr>
        <w:tc>
          <w:tcPr>
            <w:tcW w:type="dxa" w:w="4968"/>
          </w:tcPr>
          <w:p>
            <w:r>
              <w:t>Metadata</w:t>
            </w:r>
          </w:p>
        </w:tc>
        <w:tc>
          <w:tcPr>
            <w:tcW w:type="dxa" w:w="4968"/>
          </w:tcPr>
          <w:p>
            <w:r>
              <w:t>feature_cutoff, source, adjustment_version, missingness_flag</w:t>
            </w:r>
          </w:p>
        </w:tc>
      </w:tr>
    </w:tbl>
    <w:p>
      <w:pPr>
        <w:pStyle w:val="Heading1"/>
      </w:pPr>
      <w:r>
        <w:t>8. Frequency and Leakage Risks</w:t>
      </w:r>
    </w:p>
    <w:p>
      <w:pPr>
        <w:pStyle w:val="ListBullet"/>
      </w:pPr>
      <w:r>
        <w:t>Calculate each feature only from returns known before the forecast timestamp.</w:t>
      </w:r>
    </w:p>
    <w:p>
      <w:pPr>
        <w:pStyle w:val="ListBullet"/>
      </w:pPr>
      <w:r>
        <w:t>Use adjusted prices consistently; corporate actions can otherwise create false volatility spikes.</w:t>
      </w:r>
    </w:p>
    <w:p>
      <w:pPr>
        <w:pStyle w:val="ListBullet"/>
      </w:pPr>
      <w:r>
        <w:t>Do not estimate normalization percentiles or regime thresholds using future test data.</w:t>
      </w:r>
    </w:p>
    <w:p>
      <w:pPr>
        <w:pStyle w:val="ListBullet"/>
      </w:pPr>
      <w:r>
        <w:t>Rolling windows must be backward-looking and grouped by security without crossing listing gaps.</w:t>
      </w:r>
    </w:p>
    <w:p>
      <w:pPr>
        <w:pStyle w:val="ListBullet"/>
      </w:pPr>
      <w:r>
        <w:t>Use chronological validation; random splitting can leak neighboring market regimes.</w:t>
      </w:r>
    </w:p>
    <w:p>
      <w:pPr>
        <w:pStyle w:val="ListBullet"/>
      </w:pPr>
      <w:r>
        <w:t>Historical volatility can react after the price shock, so test whether the signal predicts future risk or merely describes recent movement.</w:t>
      </w:r>
    </w:p>
    <w:p>
      <w:pPr>
        <w:pStyle w:val="ListBullet"/>
      </w:pPr>
      <w:r>
        <w:t>Intraday data require careful treatment of opening/closing auctions, missing bars, and overnight gaps.</w:t>
      </w:r>
    </w:p>
    <w:p>
      <w:pPr>
        <w:pStyle w:val="Heading1"/>
      </w:pPr>
      <w:r>
        <w:t>9. Candidate Features and Interpretation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What it captures</w:t>
            </w:r>
          </w:p>
        </w:tc>
        <w:tc>
          <w:tcPr>
            <w:tcW w:type="dxa" w:w="3312"/>
          </w:tcPr>
          <w:p>
            <w:r>
              <w:t>Caution</w:t>
            </w:r>
          </w:p>
        </w:tc>
      </w:tr>
      <w:tr>
        <w:tc>
          <w:tcPr>
            <w:tcW w:type="dxa" w:w="3312"/>
          </w:tcPr>
          <w:p>
            <w:r>
              <w:t>20-day realized volatility</w:t>
            </w:r>
          </w:p>
        </w:tc>
        <w:tc>
          <w:tcPr>
            <w:tcW w:type="dxa" w:w="3312"/>
          </w:tcPr>
          <w:p>
            <w:r>
              <w:t>Recent price variability</w:t>
            </w:r>
          </w:p>
        </w:tc>
        <w:tc>
          <w:tcPr>
            <w:tcW w:type="dxa" w:w="3312"/>
          </w:tcPr>
          <w:p>
            <w:r>
              <w:t>Not inherently bullish or bearish</w:t>
            </w:r>
          </w:p>
        </w:tc>
      </w:tr>
      <w:tr>
        <w:tc>
          <w:tcPr>
            <w:tcW w:type="dxa" w:w="3312"/>
          </w:tcPr>
          <w:p>
            <w:r>
              <w:t>Downside deviation</w:t>
            </w:r>
          </w:p>
        </w:tc>
        <w:tc>
          <w:tcPr>
            <w:tcW w:type="dxa" w:w="3312"/>
          </w:tcPr>
          <w:p>
            <w:r>
              <w:t>Magnitude of negative deviations</w:t>
            </w:r>
          </w:p>
        </w:tc>
        <w:tc>
          <w:tcPr>
            <w:tcW w:type="dxa" w:w="3312"/>
          </w:tcPr>
          <w:p>
            <w:r>
              <w:t>Threshold convention must be fixed</w:t>
            </w:r>
          </w:p>
        </w:tc>
      </w:tr>
      <w:tr>
        <w:tc>
          <w:tcPr>
            <w:tcW w:type="dxa" w:w="3312"/>
          </w:tcPr>
          <w:p>
            <w:r>
              <w:t>60-day maximum drawdown</w:t>
            </w:r>
          </w:p>
        </w:tc>
        <w:tc>
          <w:tcPr>
            <w:tcW w:type="dxa" w:w="3312"/>
          </w:tcPr>
          <w:p>
            <w:r>
              <w:t>Recent peak-to-trough loss</w:t>
            </w:r>
          </w:p>
        </w:tc>
        <w:tc>
          <w:tcPr>
            <w:tcW w:type="dxa" w:w="3312"/>
          </w:tcPr>
          <w:p>
            <w:r>
              <w:t>Window length changes interpretation</w:t>
            </w:r>
          </w:p>
        </w:tc>
      </w:tr>
      <w:tr>
        <w:tc>
          <w:tcPr>
            <w:tcW w:type="dxa" w:w="3312"/>
          </w:tcPr>
          <w:p>
            <w:r>
              <w:t>Rolling beta to NIFTY 50</w:t>
            </w:r>
          </w:p>
        </w:tc>
        <w:tc>
          <w:tcPr>
            <w:tcW w:type="dxa" w:w="3312"/>
          </w:tcPr>
          <w:p>
            <w:r>
              <w:t>Market sensitivity</w:t>
            </w:r>
          </w:p>
        </w:tc>
        <w:tc>
          <w:tcPr>
            <w:tcW w:type="dxa" w:w="3312"/>
          </w:tcPr>
          <w:p>
            <w:r>
              <w:t>Beta can be unstable in crises</w:t>
            </w:r>
          </w:p>
        </w:tc>
      </w:tr>
      <w:tr>
        <w:tc>
          <w:tcPr>
            <w:tcW w:type="dxa" w:w="3312"/>
          </w:tcPr>
          <w:p>
            <w:r>
              <w:t>Rolling correlation to sector</w:t>
            </w:r>
          </w:p>
        </w:tc>
        <w:tc>
          <w:tcPr>
            <w:tcW w:type="dxa" w:w="3312"/>
          </w:tcPr>
          <w:p>
            <w:r>
              <w:t>Common sector movement</w:t>
            </w:r>
          </w:p>
        </w:tc>
        <w:tc>
          <w:tcPr>
            <w:tcW w:type="dxa" w:w="3312"/>
          </w:tcPr>
          <w:p>
            <w:r>
              <w:t>Correlation can rise during stress</w:t>
            </w:r>
          </w:p>
        </w:tc>
      </w:tr>
      <w:tr>
        <w:tc>
          <w:tcPr>
            <w:tcW w:type="dxa" w:w="3312"/>
          </w:tcPr>
          <w:p>
            <w:r>
              <w:t>Overnight gap magnitude</w:t>
            </w:r>
          </w:p>
        </w:tc>
        <w:tc>
          <w:tcPr>
            <w:tcW w:type="dxa" w:w="3312"/>
          </w:tcPr>
          <w:p>
            <w:r>
              <w:t>Discontinuous price risk</w:t>
            </w:r>
          </w:p>
        </w:tc>
        <w:tc>
          <w:tcPr>
            <w:tcW w:type="dxa" w:w="3312"/>
          </w:tcPr>
          <w:p>
            <w:r>
              <w:t>May require open/close data quality checks</w:t>
            </w:r>
          </w:p>
        </w:tc>
      </w:tr>
      <w:tr>
        <w:tc>
          <w:tcPr>
            <w:tcW w:type="dxa" w:w="3312"/>
          </w:tcPr>
          <w:p>
            <w:r>
              <w:t>Historical VaR / ES</w:t>
            </w:r>
          </w:p>
        </w:tc>
        <w:tc>
          <w:tcPr>
            <w:tcW w:type="dxa" w:w="3312"/>
          </w:tcPr>
          <w:p>
            <w:r>
              <w:t>Tail-loss estimate</w:t>
            </w:r>
          </w:p>
        </w:tc>
        <w:tc>
          <w:tcPr>
            <w:tcW w:type="dxa" w:w="3312"/>
          </w:tcPr>
          <w:p>
            <w:r>
              <w:t>Needs adequate data and backtesting</w:t>
            </w:r>
          </w:p>
        </w:tc>
      </w:tr>
      <w:tr>
        <w:tc>
          <w:tcPr>
            <w:tcW w:type="dxa" w:w="3312"/>
          </w:tcPr>
          <w:p>
            <w:r>
              <w:t>Volatility percentile/regime</w:t>
            </w:r>
          </w:p>
        </w:tc>
        <w:tc>
          <w:tcPr>
            <w:tcW w:type="dxa" w:w="3312"/>
          </w:tcPr>
          <w:p>
            <w:r>
              <w:t>Risk relative to own history</w:t>
            </w:r>
          </w:p>
        </w:tc>
        <w:tc>
          <w:tcPr>
            <w:tcW w:type="dxa" w:w="3312"/>
          </w:tcPr>
          <w:p>
            <w:r>
              <w:t>Compute percentile from past data only</w:t>
            </w:r>
          </w:p>
        </w:tc>
      </w:tr>
    </w:tbl>
    <w:p>
      <w:pPr>
        <w:pStyle w:val="Heading1"/>
      </w:pPr>
      <w:r>
        <w:t>10. Blockers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Blocker</w:t>
            </w:r>
          </w:p>
        </w:tc>
        <w:tc>
          <w:tcPr>
            <w:tcW w:type="dxa" w:w="3312"/>
          </w:tcPr>
          <w:p>
            <w:r>
              <w:t>Risk</w:t>
            </w:r>
          </w:p>
        </w:tc>
        <w:tc>
          <w:tcPr>
            <w:tcW w:type="dxa" w:w="3312"/>
          </w:tcPr>
          <w:p>
            <w:r>
              <w:t>Mitigation</w:t>
            </w:r>
          </w:p>
        </w:tc>
      </w:tr>
      <w:tr>
        <w:tc>
          <w:tcPr>
            <w:tcW w:type="dxa" w:w="3312"/>
          </w:tcPr>
          <w:p>
            <w:r>
              <w:t>Adjusted price inconsistency</w:t>
            </w:r>
          </w:p>
        </w:tc>
        <w:tc>
          <w:tcPr>
            <w:tcW w:type="dxa" w:w="3312"/>
          </w:tcPr>
          <w:p>
            <w:r>
              <w:t>Artificial returns and drawdowns</w:t>
            </w:r>
          </w:p>
        </w:tc>
        <w:tc>
          <w:tcPr>
            <w:tcW w:type="dxa" w:w="3312"/>
          </w:tcPr>
          <w:p>
            <w:r>
              <w:t>Document adjustment source and validate corporate actions</w:t>
            </w:r>
          </w:p>
        </w:tc>
      </w:tr>
      <w:tr>
        <w:tc>
          <w:tcPr>
            <w:tcW w:type="dxa" w:w="3312"/>
          </w:tcPr>
          <w:p>
            <w:r>
              <w:t>Small sample / new listings</w:t>
            </w:r>
          </w:p>
        </w:tc>
        <w:tc>
          <w:tcPr>
            <w:tcW w:type="dxa" w:w="3312"/>
          </w:tcPr>
          <w:p>
            <w:r>
              <w:t>Unstable tail metrics</w:t>
            </w:r>
          </w:p>
        </w:tc>
        <w:tc>
          <w:tcPr>
            <w:tcW w:type="dxa" w:w="3312"/>
          </w:tcPr>
          <w:p>
            <w:r>
              <w:t>Require minimum history and expose missingness</w:t>
            </w:r>
          </w:p>
        </w:tc>
      </w:tr>
      <w:tr>
        <w:tc>
          <w:tcPr>
            <w:tcW w:type="dxa" w:w="3312"/>
          </w:tcPr>
          <w:p>
            <w:r>
              <w:t>Regime shifts</w:t>
            </w:r>
          </w:p>
        </w:tc>
        <w:tc>
          <w:tcPr>
            <w:tcW w:type="dxa" w:w="3312"/>
          </w:tcPr>
          <w:p>
            <w:r>
              <w:t>Past risk may not represent future</w:t>
            </w:r>
          </w:p>
        </w:tc>
        <w:tc>
          <w:tcPr>
            <w:tcW w:type="dxa" w:w="3312"/>
          </w:tcPr>
          <w:p>
            <w:r>
              <w:t>Walk-forward validation and stress tests</w:t>
            </w:r>
          </w:p>
        </w:tc>
      </w:tr>
      <w:tr>
        <w:tc>
          <w:tcPr>
            <w:tcW w:type="dxa" w:w="3312"/>
          </w:tcPr>
          <w:p>
            <w:r>
              <w:t>VaR model failure</w:t>
            </w:r>
          </w:p>
        </w:tc>
        <w:tc>
          <w:tcPr>
            <w:tcW w:type="dxa" w:w="3312"/>
          </w:tcPr>
          <w:p>
            <w:r>
              <w:t>Extreme losses underestimated</w:t>
            </w:r>
          </w:p>
        </w:tc>
        <w:tc>
          <w:tcPr>
            <w:tcW w:type="dxa" w:w="3312"/>
          </w:tcPr>
          <w:p>
            <w:r>
              <w:t>Backtest exceedances and compare methods</w:t>
            </w:r>
          </w:p>
        </w:tc>
      </w:tr>
      <w:tr>
        <w:tc>
          <w:tcPr>
            <w:tcW w:type="dxa" w:w="3312"/>
          </w:tcPr>
          <w:p>
            <w:r>
              <w:t>Survivorship bias</w:t>
            </w:r>
          </w:p>
        </w:tc>
        <w:tc>
          <w:tcPr>
            <w:tcW w:type="dxa" w:w="3312"/>
          </w:tcPr>
          <w:p>
            <w:r>
              <w:t>Risky delisted stocks omitted</w:t>
            </w:r>
          </w:p>
        </w:tc>
        <w:tc>
          <w:tcPr>
            <w:tcW w:type="dxa" w:w="3312"/>
          </w:tcPr>
          <w:p>
            <w:r>
              <w:t>Use historical universe including delisted names where possible</w:t>
            </w:r>
          </w:p>
        </w:tc>
      </w:tr>
      <w:tr>
        <w:tc>
          <w:tcPr>
            <w:tcW w:type="dxa" w:w="3312"/>
          </w:tcPr>
          <w:p>
            <w:r>
              <w:t>Feature leakage</w:t>
            </w:r>
          </w:p>
        </w:tc>
        <w:tc>
          <w:tcPr>
            <w:tcW w:type="dxa" w:w="3312"/>
          </w:tcPr>
          <w:p>
            <w:r>
              <w:t>Future data enters thresholds</w:t>
            </w:r>
          </w:p>
        </w:tc>
        <w:tc>
          <w:tcPr>
            <w:tcW w:type="dxa" w:w="3312"/>
          </w:tcPr>
          <w:p>
            <w:r>
              <w:t>Fit scalers/thresholds inside each training fold</w:t>
            </w:r>
          </w:p>
        </w:tc>
      </w:tr>
    </w:tbl>
    <w:p>
      <w:pPr>
        <w:pStyle w:val="Heading1"/>
      </w:pPr>
      <w:r>
        <w:t>11. Validation Plan</w:t>
      </w:r>
    </w:p>
    <w:p>
      <w:pPr>
        <w:pStyle w:val="ListNumber"/>
      </w:pPr>
      <w:r>
        <w:t>Choose whether the model predicts returns, volatility, drawdown, or a risk class.</w:t>
      </w:r>
    </w:p>
    <w:p>
      <w:pPr>
        <w:pStyle w:val="ListNumber"/>
      </w:pPr>
      <w:r>
        <w:t>Establish a price/volume baseline and a separate risk-prediction baseline.</w:t>
      </w:r>
    </w:p>
    <w:p>
      <w:pPr>
        <w:pStyle w:val="ListNumber"/>
      </w:pPr>
      <w:r>
        <w:t>Evaluate volatility forecasts with suitable loss functions and VaR with exceedance/backtesting checks.</w:t>
      </w:r>
    </w:p>
    <w:p>
      <w:pPr>
        <w:pStyle w:val="ListNumber"/>
      </w:pPr>
      <w:r>
        <w:t>Use walk-forward testing across calm, high-volatility, and crisis periods.</w:t>
      </w:r>
    </w:p>
    <w:p>
      <w:pPr>
        <w:pStyle w:val="ListNumber"/>
      </w:pPr>
      <w:r>
        <w:t>Compare risk features with and without liquidity and sector context.</w:t>
      </w:r>
    </w:p>
    <w:p>
      <w:pPr>
        <w:pStyle w:val="ListNumber"/>
      </w:pPr>
      <w:r>
        <w:t>Stress-test missing data, price limits, gaps, and corporate actions.</w:t>
      </w:r>
    </w:p>
    <w:p>
      <w:pPr>
        <w:pStyle w:val="ListNumber"/>
      </w:pPr>
      <w:r>
        <w:t>Do not claim an investment strategy is safe solely because historical volatility or VaR looks low.</w:t>
      </w:r>
    </w:p>
    <w:p>
      <w:pPr>
        <w:pStyle w:val="Heading1"/>
      </w:pPr>
      <w:r>
        <w:t>12. Candidate Shortlist (Not Validated)</w:t>
      </w:r>
    </w:p>
    <w:p>
      <w:pPr>
        <w:pStyle w:val="ListNumber"/>
      </w:pPr>
      <w:r>
        <w:t>20-day and 60-day realized volatility.</w:t>
      </w:r>
    </w:p>
    <w:p>
      <w:pPr>
        <w:pStyle w:val="ListNumber"/>
      </w:pPr>
      <w:r>
        <w:t>20-day downside deviation and negative-day ratio.</w:t>
      </w:r>
    </w:p>
    <w:p>
      <w:pPr>
        <w:pStyle w:val="ListNumber"/>
      </w:pPr>
      <w:r>
        <w:t>Current drawdown and 60-day maximum drawdown.</w:t>
      </w:r>
    </w:p>
    <w:p>
      <w:pPr>
        <w:pStyle w:val="ListNumber"/>
      </w:pPr>
      <w:r>
        <w:t>60-day beta and correlation to NIFTY 50.</w:t>
      </w:r>
    </w:p>
    <w:p>
      <w:pPr>
        <w:pStyle w:val="ListNumber"/>
      </w:pPr>
      <w:r>
        <w:t>Overnight gap magnitude and large-move flag.</w:t>
      </w:r>
    </w:p>
    <w:p>
      <w:pPr>
        <w:pStyle w:val="ListNumber"/>
      </w:pPr>
      <w:r>
        <w:t>Historical VaR/Expected Shortfall only after adequate data and backtesting.</w:t>
      </w:r>
    </w:p>
    <w:p>
      <w:pPr>
        <w:pStyle w:val="Heading1"/>
      </w:pPr>
      <w:r>
        <w:t>13. Mentor / Team Lead Summary</w:t>
      </w:r>
    </w:p>
    <w:p>
      <w:r>
        <w:t>Risk features may be especially useful for predicting volatility, drawdowns, or position sizing rather than exact return direction. Start with realized volatility, downside deviation, drawdown, beta, correlation, and overnight gaps. Ensure corporate-action-adjusted prices, backward-looking windows, training-only thresholds, and walk-forward validation. Treat VaR/Expected Shortfall as model outputs that must be backtested, not as guarantees.</w:t>
      </w:r>
    </w:p>
    <w:p>
      <w:pPr>
        <w:pStyle w:val="Heading1"/>
      </w:pPr>
      <w:r>
        <w:t>14. Checklist</w:t>
      </w:r>
    </w:p>
    <w:p>
      <w:pPr>
        <w:pStyle w:val="ListBullet"/>
      </w:pPr>
      <w:r>
        <w:t>Confirm prediction target and forecast horizon.</w:t>
      </w:r>
    </w:p>
    <w:p>
      <w:pPr>
        <w:pStyle w:val="ListBullet"/>
      </w:pPr>
      <w:r>
        <w:t>Validate price adjustments and trading calendar.</w:t>
      </w:r>
    </w:p>
    <w:p>
      <w:pPr>
        <w:pStyle w:val="ListBullet"/>
      </w:pPr>
      <w:r>
        <w:t>Compute backward-looking volatility, downside, drawdown, beta, and gap features.</w:t>
      </w:r>
    </w:p>
    <w:p>
      <w:pPr>
        <w:pStyle w:val="ListBullet"/>
      </w:pPr>
      <w:r>
        <w:t>Fit any thresholds only on training windows.</w:t>
      </w:r>
    </w:p>
    <w:p>
      <w:pPr>
        <w:pStyle w:val="ListBullet"/>
      </w:pPr>
      <w:r>
        <w:t>Evaluate by market regime and stock liquidity tier.</w:t>
      </w:r>
    </w:p>
    <w:p>
      <w:pPr>
        <w:pStyle w:val="ListBullet"/>
      </w:pPr>
      <w:r>
        <w:t>Backtest tail-risk estimates before relying on them.</w:t>
      </w:r>
    </w:p>
    <w:p>
      <w:pPr>
        <w:pStyle w:val="Heading1"/>
      </w:pPr>
      <w:r>
        <w:t>15. References</w:t>
      </w:r>
    </w:p>
    <w:p>
      <w:pPr>
        <w:pStyle w:val="ListBullet"/>
      </w:pPr>
      <w:r>
        <w:t>https://www.nseindia.com/</w:t>
      </w:r>
    </w:p>
    <w:p>
      <w:pPr>
        <w:pStyle w:val="ListBullet"/>
      </w:pPr>
      <w:r>
        <w:t>https://www.bseindia.com/</w:t>
      </w:r>
    </w:p>
    <w:p>
      <w:pPr>
        <w:pStyle w:val="ListBullet"/>
      </w:pPr>
      <w:r>
        <w:t>https://www.niftyindices.com/</w:t>
      </w:r>
    </w:p>
    <w:p>
      <w:pPr>
        <w:pStyle w:val="ListBullet"/>
      </w:pPr>
      <w:r>
        <w:t>https://dbie.rbi.org.in/</w:t>
      </w:r>
    </w:p>
    <w:p>
      <w:pPr>
        <w:pStyle w:val="ListBullet"/>
      </w:pPr>
      <w:r>
        <w:t>https://finance.yahoo.com/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Category 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