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Category 12: Sector &amp; Industry Analysis</w:t>
      </w:r>
    </w:p>
    <w:p>
      <w:pPr>
        <w:jc w:val="center"/>
      </w:pPr>
      <w:r>
        <w:t>Research dimensions, data requirements, feature engineering, sources, blockers, and validation</w:t>
      </w:r>
    </w:p>
    <w:p>
      <w:r>
        <w:t>Standalone research document | India-focused stock-market prediction project | Candidate features require empirical validation</w:t>
      </w:r>
    </w:p>
    <w:p>
      <w:pPr>
        <w:pStyle w:val="Heading1"/>
      </w:pPr>
      <w:r>
        <w:t>1. Executive Summary</w:t>
      </w:r>
    </w:p>
    <w:p>
      <w:r>
        <w:t>Sector and industry analysis studies the conditions affecting groups of related companies, then tests whether sector-level information helps forecast individual stocks or sector indices. It can capture common drivers that company-level indicators miss: demand cycles, input costs, regulation, capacity utilization, commodity exposure, interest-rate sensitivity, and relative sector leadership.</w:t>
      </w:r>
    </w:p>
    <w:p>
      <w:r>
        <w:t>For an Indian equities project, begin with sector-index returns and relative strength, then add sector breadth, industry-specific drivers, and company-to-sector comparisons. Sector definitions must be versioned over time because classifications, index membership, and company business mixes can change. Candidate features are hypotheses—not established profitable signals.</w:t>
      </w:r>
    </w:p>
    <w:p>
      <w:pPr>
        <w:pStyle w:val="Heading1"/>
      </w:pPr>
      <w:r>
        <w:t>2. Research Dimensions</w:t>
      </w:r>
    </w:p>
    <w:p>
      <w:pPr>
        <w:pStyle w:val="ListBullet"/>
      </w:pPr>
      <w:r>
        <w:t>Sector index performance: daily returns, cumulative returns, rolling momentum, volatility, and drawdowns.</w:t>
      </w:r>
    </w:p>
    <w:p>
      <w:pPr>
        <w:pStyle w:val="ListBullet"/>
      </w:pPr>
      <w:r>
        <w:t>Relative strength: sector return minus NIFTY 50, NIFTY 500, or another clearly defined benchmark return.</w:t>
      </w:r>
    </w:p>
    <w:p>
      <w:pPr>
        <w:pStyle w:val="ListBullet"/>
      </w:pPr>
      <w:r>
        <w:t>Sector rotation: which sectors lead or lag across short, medium, and long horizons.</w:t>
      </w:r>
    </w:p>
    <w:p>
      <w:pPr>
        <w:pStyle w:val="ListBullet"/>
      </w:pPr>
      <w:r>
        <w:t>Market breadth within sectors: proportion of constituents advancing, above moving averages, or making new highs/lows.</w:t>
      </w:r>
    </w:p>
    <w:p>
      <w:pPr>
        <w:pStyle w:val="ListBullet"/>
      </w:pPr>
      <w:r>
        <w:t>Industry demand indicators: sales, registrations, order books, utilization, exports, freight, or other sector-specific proxies.</w:t>
      </w:r>
    </w:p>
    <w:p>
      <w:pPr>
        <w:pStyle w:val="ListBullet"/>
      </w:pPr>
      <w:r>
        <w:t>Input-cost exposure: crude oil, natural gas, metals, power, agricultural inputs, freight, and USD/INR where relevant.</w:t>
      </w:r>
    </w:p>
    <w:p>
      <w:pPr>
        <w:pStyle w:val="ListBullet"/>
      </w:pPr>
      <w:r>
        <w:t>Interest-rate sensitivity: banks, NBFCs, real estate, autos, utilities, and other rate-sensitive industries.</w:t>
      </w:r>
    </w:p>
    <w:p>
      <w:pPr>
        <w:pStyle w:val="ListBullet"/>
      </w:pPr>
      <w:r>
        <w:t>Regulatory and policy exposure: tariffs, import/export restrictions, subsidies, price controls, licensing, and sector rules.</w:t>
      </w:r>
    </w:p>
    <w:p>
      <w:pPr>
        <w:pStyle w:val="ListBullet"/>
      </w:pPr>
      <w:r>
        <w:t>Supply-chain and capacity constraints: shortages, production outages, logistics bottlenecks, and capacity additions.</w:t>
      </w:r>
    </w:p>
    <w:p>
      <w:pPr>
        <w:pStyle w:val="ListBullet"/>
      </w:pPr>
      <w:r>
        <w:t>Constituent contribution and concentration: whether sector returns are driven by a few large companies.</w:t>
      </w:r>
    </w:p>
    <w:p>
      <w:pPr>
        <w:pStyle w:val="ListBullet"/>
      </w:pPr>
      <w:r>
        <w:t>Company-versus-sector residual performance: stock return less sector benchmark return.</w:t>
      </w:r>
    </w:p>
    <w:p>
      <w:pPr>
        <w:pStyle w:val="ListBullet"/>
      </w:pPr>
      <w:r>
        <w:t>Sector earnings revisions and valuation context, only where reliable point-in-time data exist.</w:t>
      </w:r>
    </w:p>
    <w:p>
      <w:pPr>
        <w:pStyle w:val="Heading1"/>
      </w:pPr>
      <w:r>
        <w:t>3. How It May Affect Prices</w:t>
      </w:r>
    </w:p>
    <w:p>
      <w:pPr>
        <w:pStyle w:val="ListBullet"/>
      </w:pPr>
      <w:r>
        <w:t>Common-factor transmission: companies in a sector may react similarly to the same demand, policy, commodity, or financing shock.</w:t>
      </w:r>
    </w:p>
    <w:p>
      <w:pPr>
        <w:pStyle w:val="ListBullet"/>
      </w:pPr>
      <w:r>
        <w:t>Relative allocation: capital may rotate between defensive, cyclical, growth, and rate-sensitive sectors.</w:t>
      </w:r>
    </w:p>
    <w:p>
      <w:pPr>
        <w:pStyle w:val="ListBullet"/>
      </w:pPr>
      <w:r>
        <w:t>Input-cost transmission: changes in crude, metals, or currencies may help one industry while hurting another depending on pricing power and hedging.</w:t>
      </w:r>
    </w:p>
    <w:p>
      <w:pPr>
        <w:pStyle w:val="ListBullet"/>
      </w:pPr>
      <w:r>
        <w:t>Sector breadth: broad participation can distinguish a sector move supported by many constituents from one dominated by a few large names.</w:t>
      </w:r>
    </w:p>
    <w:p>
      <w:pPr>
        <w:pStyle w:val="ListBullet"/>
      </w:pPr>
      <w:r>
        <w:t>Benchmark-relative performance: a sector outperforming the market may indicate leadership, but momentum can reverse.</w:t>
      </w:r>
    </w:p>
    <w:p>
      <w:r>
        <w:t>Sector-level association is not proof of causality. A sector can rise because of its largest constituent, and an individual company can diverge from its industry because of earnings, governance, leverage, or company-specific events.</w:t>
      </w:r>
    </w:p>
    <w:p>
      <w:pPr>
        <w:pStyle w:val="Heading1"/>
      </w:pPr>
      <w:r>
        <w:t>4. Core Features and Formulas</w:t>
      </w:r>
    </w:p>
    <w:p>
      <w:pPr>
        <w:pStyle w:val="Heading2"/>
      </w:pPr>
      <w:r>
        <w:t>4.1 Returns and relative strength</w:t>
      </w:r>
    </w:p>
    <w:p>
      <w:r>
        <w:t>Simple return: R(t) = (P(t) / P(t-1)) − 1. Log return: r(t) = ln(P(t) / P(t-1)). Use adjusted index/price data consistently.</w:t>
      </w:r>
    </w:p>
    <w:p>
      <w:r>
        <w:t>Relative return over k sessions: RS_k = sector_return_k − benchmark_return_k. Example: sector +4% and benchmark +2% over the same period gives +2 percentage points of relative performance.</w:t>
      </w:r>
    </w:p>
    <w:p>
      <w:r>
        <w:t>Relative-strength ratio: sector index level / benchmark index level. Analyze its percentage change or slope; the raw ratio alone is scale-dependent.</w:t>
      </w:r>
    </w:p>
    <w:p>
      <w:pPr>
        <w:pStyle w:val="Heading2"/>
      </w:pPr>
      <w:r>
        <w:t>4.2 Breadth and concentration</w:t>
      </w:r>
    </w:p>
    <w:p>
      <w:r>
        <w:t>Advance ratio = advancing constituents / (advancing + declining constituents), excluding unchanged names if that is the chosen definition. Document the denominator.</w:t>
      </w:r>
    </w:p>
    <w:p>
      <w:r>
        <w:t>Above-MA breadth = number of constituents whose close is above a chosen moving average / number of constituents with valid data.</w:t>
      </w:r>
    </w:p>
    <w:p>
      <w:r>
        <w:t>Equal-weight sector return compared with market-cap-weighted return can reveal whether performance is broad or concentrated.</w:t>
      </w:r>
    </w:p>
    <w:p>
      <w:r>
        <w:t>Contribution concentration: sum the absolute or positive return contributions of the largest constituents divided by the corresponding sector total, when index weights and contribution data are available.</w:t>
      </w:r>
    </w:p>
    <w:p>
      <w:pPr>
        <w:pStyle w:val="Heading2"/>
      </w:pPr>
      <w:r>
        <w:t>4.3 Risk and cross-sector dispersion</w:t>
      </w:r>
    </w:p>
    <w:p>
      <w:r>
        <w:t>Sector volatility = standard deviation of sector returns over a rolling window, annualized as daily standard deviation × √252 when using daily returns.</w:t>
      </w:r>
    </w:p>
    <w:p>
      <w:r>
        <w:t>Cross-sector dispersion = standard deviation of sector returns across the selected sector universe for a given date.</w:t>
      </w:r>
    </w:p>
    <w:p>
      <w:r>
        <w:t>Stock-sector residual return = stock return − sector benchmark return. This is a simple relative measure; a beta-adjusted residual may be preferable if the stock has different market sensitivity.</w:t>
      </w:r>
    </w:p>
    <w:p>
      <w:pPr>
        <w:pStyle w:val="Heading1"/>
      </w:pPr>
      <w:r>
        <w:t>5. Raw Data Requirements and Dataset Columns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Dataset</w:t>
            </w:r>
          </w:p>
        </w:tc>
        <w:tc>
          <w:tcPr>
            <w:tcW w:type="dxa" w:w="3312"/>
          </w:tcPr>
          <w:p>
            <w:r>
              <w:t>Suggested columns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sector_index_prices</w:t>
            </w:r>
          </w:p>
        </w:tc>
        <w:tc>
          <w:tcPr>
            <w:tcW w:type="dxa" w:w="3312"/>
          </w:tcPr>
          <w:p>
            <w:r>
              <w:t>date, index_id, close, adjusted_close_if_applicable, source, published_at</w:t>
            </w:r>
          </w:p>
        </w:tc>
        <w:tc>
          <w:tcPr>
            <w:tcW w:type="dxa" w:w="3312"/>
          </w:tcPr>
          <w:p>
            <w:r>
              <w:t>Sector returns, momentum, volatility</w:t>
            </w:r>
          </w:p>
        </w:tc>
      </w:tr>
      <w:tr>
        <w:tc>
          <w:tcPr>
            <w:tcW w:type="dxa" w:w="3312"/>
          </w:tcPr>
          <w:p>
            <w:r>
              <w:t>index_constituents_history</w:t>
            </w:r>
          </w:p>
        </w:tc>
        <w:tc>
          <w:tcPr>
            <w:tcW w:type="dxa" w:w="3312"/>
          </w:tcPr>
          <w:p>
            <w:r>
              <w:t>index_id, security_id, weight, effective_from, effective_to, announcement_at</w:t>
            </w:r>
          </w:p>
        </w:tc>
        <w:tc>
          <w:tcPr>
            <w:tcW w:type="dxa" w:w="3312"/>
          </w:tcPr>
          <w:p>
            <w:r>
              <w:t>Avoid current-membership survivorship bias</w:t>
            </w:r>
          </w:p>
        </w:tc>
      </w:tr>
      <w:tr>
        <w:tc>
          <w:tcPr>
            <w:tcW w:type="dxa" w:w="3312"/>
          </w:tcPr>
          <w:p>
            <w:r>
              <w:t>security_master</w:t>
            </w:r>
          </w:p>
        </w:tc>
        <w:tc>
          <w:tcPr>
            <w:tcW w:type="dxa" w:w="3312"/>
          </w:tcPr>
          <w:p>
            <w:r>
              <w:t>ISIN, symbol, company_id, sector, industry, effective_from, effective_to</w:t>
            </w:r>
          </w:p>
        </w:tc>
        <w:tc>
          <w:tcPr>
            <w:tcW w:type="dxa" w:w="3312"/>
          </w:tcPr>
          <w:p>
            <w:r>
              <w:t>Time-aware mapping</w:t>
            </w:r>
          </w:p>
        </w:tc>
      </w:tr>
      <w:tr>
        <w:tc>
          <w:tcPr>
            <w:tcW w:type="dxa" w:w="3312"/>
          </w:tcPr>
          <w:p>
            <w:r>
              <w:t>sector_breadth</w:t>
            </w:r>
          </w:p>
        </w:tc>
        <w:tc>
          <w:tcPr>
            <w:tcW w:type="dxa" w:w="3312"/>
          </w:tcPr>
          <w:p>
            <w:r>
              <w:t>date, sector_id, advancing_count, declining_count, unchanged_count, above_ma_count, eligible_count</w:t>
            </w:r>
          </w:p>
        </w:tc>
        <w:tc>
          <w:tcPr>
            <w:tcW w:type="dxa" w:w="3312"/>
          </w:tcPr>
          <w:p>
            <w:r>
              <w:t>Breadth and participation</w:t>
            </w:r>
          </w:p>
        </w:tc>
      </w:tr>
      <w:tr>
        <w:tc>
          <w:tcPr>
            <w:tcW w:type="dxa" w:w="3312"/>
          </w:tcPr>
          <w:p>
            <w:r>
              <w:t>industry_indicators</w:t>
            </w:r>
          </w:p>
        </w:tc>
        <w:tc>
          <w:tcPr>
            <w:tcW w:type="dxa" w:w="3312"/>
          </w:tcPr>
          <w:p>
            <w:r>
              <w:t>indicator_id, sector_id, observation_period, value, unit, release_timestamp, revision_timestamp</w:t>
            </w:r>
          </w:p>
        </w:tc>
        <w:tc>
          <w:tcPr>
            <w:tcW w:type="dxa" w:w="3312"/>
          </w:tcPr>
          <w:p>
            <w:r>
              <w:t>Demand and supply proxies</w:t>
            </w:r>
          </w:p>
        </w:tc>
      </w:tr>
      <w:tr>
        <w:tc>
          <w:tcPr>
            <w:tcW w:type="dxa" w:w="3312"/>
          </w:tcPr>
          <w:p>
            <w:r>
              <w:t>input_costs</w:t>
            </w:r>
          </w:p>
        </w:tc>
        <w:tc>
          <w:tcPr>
            <w:tcW w:type="dxa" w:w="3312"/>
          </w:tcPr>
          <w:p>
            <w:r>
              <w:t>date, commodity_or_fx, price, unit, source_timestamp</w:t>
            </w:r>
          </w:p>
        </w:tc>
        <w:tc>
          <w:tcPr>
            <w:tcW w:type="dxa" w:w="3312"/>
          </w:tcPr>
          <w:p>
            <w:r>
              <w:t>Input-cost exposure</w:t>
            </w:r>
          </w:p>
        </w:tc>
      </w:tr>
      <w:tr>
        <w:tc>
          <w:tcPr>
            <w:tcW w:type="dxa" w:w="3312"/>
          </w:tcPr>
          <w:p>
            <w:r>
              <w:t>sector_events</w:t>
            </w:r>
          </w:p>
        </w:tc>
        <w:tc>
          <w:tcPr>
            <w:tcW w:type="dxa" w:w="3312"/>
          </w:tcPr>
          <w:p>
            <w:r>
              <w:t>event_id, sector_id, announcement_at, event_type, source_url</w:t>
            </w:r>
          </w:p>
        </w:tc>
        <w:tc>
          <w:tcPr>
            <w:tcW w:type="dxa" w:w="3312"/>
          </w:tcPr>
          <w:p>
            <w:r>
              <w:t>Policy, disruption, regulation events</w:t>
            </w:r>
          </w:p>
        </w:tc>
      </w:tr>
    </w:tbl>
    <w:p>
      <w:pPr>
        <w:pStyle w:val="Heading1"/>
      </w:pPr>
      <w:r>
        <w:t>6. Data Sources to Investigate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Source</w:t>
            </w:r>
          </w:p>
        </w:tc>
        <w:tc>
          <w:tcPr>
            <w:tcW w:type="dxa" w:w="3312"/>
          </w:tcPr>
          <w:p>
            <w:r>
              <w:t>Starting URL</w:t>
            </w:r>
          </w:p>
        </w:tc>
        <w:tc>
          <w:tcPr>
            <w:tcW w:type="dxa" w:w="3312"/>
          </w:tcPr>
          <w:p>
            <w:r>
              <w:t>Potential use and limitations</w:t>
            </w:r>
          </w:p>
        </w:tc>
      </w:tr>
      <w:tr>
        <w:tc>
          <w:tcPr>
            <w:tcW w:type="dxa" w:w="3312"/>
          </w:tcPr>
          <w:p>
            <w:r>
              <w:t>NSE Indices</w:t>
            </w:r>
          </w:p>
        </w:tc>
        <w:tc>
          <w:tcPr>
            <w:tcW w:type="dxa" w:w="3312"/>
          </w:tcPr>
          <w:p>
            <w:r>
              <w:t>https://www.niftyindices.com/</w:t>
            </w:r>
          </w:p>
        </w:tc>
        <w:tc>
          <w:tcPr>
            <w:tcW w:type="dxa" w:w="3312"/>
          </w:tcPr>
          <w:p>
            <w:r>
              <w:t>Official index factsheets, index methodologies, and historical index data where available; verify reuse and download conditions.</w:t>
            </w:r>
          </w:p>
        </w:tc>
      </w:tr>
      <w:tr>
        <w:tc>
          <w:tcPr>
            <w:tcW w:type="dxa" w:w="3312"/>
          </w:tcPr>
          <w:p>
            <w:r>
              <w:t>NSE India</w:t>
            </w:r>
          </w:p>
        </w:tc>
        <w:tc>
          <w:tcPr>
            <w:tcW w:type="dxa" w:w="3312"/>
          </w:tcPr>
          <w:p>
            <w:r>
              <w:t>https://www.nseindia.com/</w:t>
            </w:r>
          </w:p>
        </w:tc>
        <w:tc>
          <w:tcPr>
            <w:tcW w:type="dxa" w:w="3312"/>
          </w:tcPr>
          <w:p>
            <w:r>
              <w:t>Listed-company data, index and market reports, filings; access formats and historical depth can vary.</w:t>
            </w:r>
          </w:p>
        </w:tc>
      </w:tr>
      <w:tr>
        <w:tc>
          <w:tcPr>
            <w:tcW w:type="dxa" w:w="3312"/>
          </w:tcPr>
          <w:p>
            <w:r>
              <w:t>BSE India</w:t>
            </w:r>
          </w:p>
        </w:tc>
        <w:tc>
          <w:tcPr>
            <w:tcW w:type="dxa" w:w="3312"/>
          </w:tcPr>
          <w:p>
            <w:r>
              <w:t>https://www.bseindia.com/</w:t>
            </w:r>
          </w:p>
        </w:tc>
        <w:tc>
          <w:tcPr>
            <w:tcW w:type="dxa" w:w="3312"/>
          </w:tcPr>
          <w:p>
            <w:r>
              <w:t>Alternative exchange data and corporate disclosures; validate definitions against NSE series.</w:t>
            </w:r>
          </w:p>
        </w:tc>
      </w:tr>
      <w:tr>
        <w:tc>
          <w:tcPr>
            <w:tcW w:type="dxa" w:w="3312"/>
          </w:tcPr>
          <w:p>
            <w:r>
              <w:t>MOSPI</w:t>
            </w:r>
          </w:p>
        </w:tc>
        <w:tc>
          <w:tcPr>
            <w:tcW w:type="dxa" w:w="3312"/>
          </w:tcPr>
          <w:p>
            <w:r>
              <w:t>https://www.mospi.gov.in/</w:t>
            </w:r>
          </w:p>
        </w:tc>
        <w:tc>
          <w:tcPr>
            <w:tcW w:type="dxa" w:w="3312"/>
          </w:tcPr>
          <w:p>
            <w:r>
              <w:t>Official industrial production, national accounts and other statistical releases; release lag and revisions matter.</w:t>
            </w:r>
          </w:p>
        </w:tc>
      </w:tr>
      <w:tr>
        <w:tc>
          <w:tcPr>
            <w:tcW w:type="dxa" w:w="3312"/>
          </w:tcPr>
          <w:p>
            <w:r>
              <w:t>RBI DBIE</w:t>
            </w:r>
          </w:p>
        </w:tc>
        <w:tc>
          <w:tcPr>
            <w:tcW w:type="dxa" w:w="3312"/>
          </w:tcPr>
          <w:p>
            <w:r>
              <w:t>https://dbie.rbi.org.in/</w:t>
            </w:r>
          </w:p>
        </w:tc>
        <w:tc>
          <w:tcPr>
            <w:tcW w:type="dxa" w:w="3312"/>
          </w:tcPr>
          <w:p>
            <w:r>
              <w:t>Rates, financial and macro series useful for rate-sensitive sectors.</w:t>
            </w:r>
          </w:p>
        </w:tc>
      </w:tr>
      <w:tr>
        <w:tc>
          <w:tcPr>
            <w:tcW w:type="dxa" w:w="3312"/>
          </w:tcPr>
          <w:p>
            <w:r>
              <w:t>Ministry of Petroleum &amp; Natural Gas</w:t>
            </w:r>
          </w:p>
        </w:tc>
        <w:tc>
          <w:tcPr>
            <w:tcW w:type="dxa" w:w="3312"/>
          </w:tcPr>
          <w:p>
            <w:r>
              <w:t>https://mopng.gov.in/</w:t>
            </w:r>
          </w:p>
        </w:tc>
        <w:tc>
          <w:tcPr>
            <w:tcW w:type="dxa" w:w="3312"/>
          </w:tcPr>
          <w:p>
            <w:r>
              <w:t>Petroleum-sector statistics and policy context; not a real-time price feed.</w:t>
            </w:r>
          </w:p>
        </w:tc>
      </w:tr>
      <w:tr>
        <w:tc>
          <w:tcPr>
            <w:tcW w:type="dxa" w:w="3312"/>
          </w:tcPr>
          <w:p>
            <w:r>
              <w:t>SIAM</w:t>
            </w:r>
          </w:p>
        </w:tc>
        <w:tc>
          <w:tcPr>
            <w:tcW w:type="dxa" w:w="3312"/>
          </w:tcPr>
          <w:p>
            <w:r>
              <w:t>https://www.siam.in/</w:t>
            </w:r>
          </w:p>
        </w:tc>
        <w:tc>
          <w:tcPr>
            <w:tcW w:type="dxa" w:w="3312"/>
          </w:tcPr>
          <w:p>
            <w:r>
              <w:t>Automobile industry statistics and releases; check access conditions and historical consistency.</w:t>
            </w:r>
          </w:p>
        </w:tc>
      </w:tr>
      <w:tr>
        <w:tc>
          <w:tcPr>
            <w:tcW w:type="dxa" w:w="3312"/>
          </w:tcPr>
          <w:p>
            <w:r>
              <w:t>DGCI&amp;S / TradeStat</w:t>
            </w:r>
          </w:p>
        </w:tc>
        <w:tc>
          <w:tcPr>
            <w:tcW w:type="dxa" w:w="3312"/>
          </w:tcPr>
          <w:p>
            <w:r>
              <w:t>https://tradestat.commerce.gov.in/</w:t>
            </w:r>
          </w:p>
        </w:tc>
        <w:tc>
          <w:tcPr>
            <w:tcW w:type="dxa" w:w="3312"/>
          </w:tcPr>
          <w:p>
            <w:r>
              <w:t>India trade data for import/export-sensitive industries; publication lag can be significant.</w:t>
            </w:r>
          </w:p>
        </w:tc>
      </w:tr>
    </w:tbl>
    <w:p>
      <w:pPr>
        <w:pStyle w:val="Heading1"/>
      </w:pPr>
      <w:r>
        <w:t>7. Frequency, Timing, and Leakage Risks</w:t>
      </w:r>
    </w:p>
    <w:p>
      <w:pPr>
        <w:pStyle w:val="ListBullet"/>
      </w:pPr>
      <w:r>
        <w:t>Market prices may be daily, but sector constituents and weights must be historically correct as of each date.</w:t>
      </w:r>
    </w:p>
    <w:p>
      <w:pPr>
        <w:pStyle w:val="ListBullet"/>
      </w:pPr>
      <w:r>
        <w:t>Use release timestamps—not observation month-end—for industrial, trade, auto-sales, and other delayed statistics.</w:t>
      </w:r>
    </w:p>
    <w:p>
      <w:pPr>
        <w:pStyle w:val="ListBullet"/>
      </w:pPr>
      <w:r>
        <w:t>Revised macro/industry data must not be backfilled into historical predictions unless that vintage was available at the time.</w:t>
      </w:r>
    </w:p>
    <w:p>
      <w:pPr>
        <w:pStyle w:val="ListBullet"/>
      </w:pPr>
      <w:r>
        <w:t>Index methodology changes can create breaks in history; flag them and document the effective date.</w:t>
      </w:r>
    </w:p>
    <w:p>
      <w:pPr>
        <w:pStyle w:val="ListBullet"/>
      </w:pPr>
      <w:r>
        <w:t>Company sector classifications may change; maintain effective_from/effective_to history.</w:t>
      </w:r>
    </w:p>
    <w:p>
      <w:pPr>
        <w:pStyle w:val="ListBullet"/>
      </w:pPr>
      <w:r>
        <w:t>Do not calculate historical sector breadth using today's constituents only.</w:t>
      </w:r>
    </w:p>
    <w:p>
      <w:pPr>
        <w:pStyle w:val="ListBullet"/>
      </w:pPr>
      <w:r>
        <w:t>Align Indian market sessions, holidays, time zones, and after-close announcements.</w:t>
      </w:r>
    </w:p>
    <w:p>
      <w:pPr>
        <w:pStyle w:val="Heading1"/>
      </w:pPr>
      <w:r>
        <w:t>8. Candidate Features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Feature</w:t>
            </w:r>
          </w:p>
        </w:tc>
        <w:tc>
          <w:tcPr>
            <w:tcW w:type="dxa" w:w="3312"/>
          </w:tcPr>
          <w:p>
            <w:r>
              <w:t>Level/frequency</w:t>
            </w:r>
          </w:p>
        </w:tc>
        <w:tc>
          <w:tcPr>
            <w:tcW w:type="dxa" w:w="3312"/>
          </w:tcPr>
          <w:p>
            <w:r>
              <w:t>Validation note</w:t>
            </w:r>
          </w:p>
        </w:tc>
      </w:tr>
      <w:tr>
        <w:tc>
          <w:tcPr>
            <w:tcW w:type="dxa" w:w="3312"/>
          </w:tcPr>
          <w:p>
            <w:r>
              <w:t>Sector 5/20/60-session return</w:t>
            </w:r>
          </w:p>
        </w:tc>
        <w:tc>
          <w:tcPr>
            <w:tcW w:type="dxa" w:w="3312"/>
          </w:tcPr>
          <w:p>
            <w:r>
              <w:t>Sector/daily</w:t>
            </w:r>
          </w:p>
        </w:tc>
        <w:tc>
          <w:tcPr>
            <w:tcW w:type="dxa" w:w="3312"/>
          </w:tcPr>
          <w:p>
            <w:r>
              <w:t>Compare with benchmark and avoid overlapping target windows</w:t>
            </w:r>
          </w:p>
        </w:tc>
      </w:tr>
      <w:tr>
        <w:tc>
          <w:tcPr>
            <w:tcW w:type="dxa" w:w="3312"/>
          </w:tcPr>
          <w:p>
            <w:r>
              <w:t>Sector relative return vs NIFTY 50</w:t>
            </w:r>
          </w:p>
        </w:tc>
        <w:tc>
          <w:tcPr>
            <w:tcW w:type="dxa" w:w="3312"/>
          </w:tcPr>
          <w:p>
            <w:r>
              <w:t>Sector/daily</w:t>
            </w:r>
          </w:p>
        </w:tc>
        <w:tc>
          <w:tcPr>
            <w:tcW w:type="dxa" w:w="3312"/>
          </w:tcPr>
          <w:p>
            <w:r>
              <w:t>Use same horizon and trading calendar</w:t>
            </w:r>
          </w:p>
        </w:tc>
      </w:tr>
      <w:tr>
        <w:tc>
          <w:tcPr>
            <w:tcW w:type="dxa" w:w="3312"/>
          </w:tcPr>
          <w:p>
            <w:r>
              <w:t>Sector volatility and drawdown</w:t>
            </w:r>
          </w:p>
        </w:tc>
        <w:tc>
          <w:tcPr>
            <w:tcW w:type="dxa" w:w="3312"/>
          </w:tcPr>
          <w:p>
            <w:r>
              <w:t>Sector/daily</w:t>
            </w:r>
          </w:p>
        </w:tc>
        <w:tc>
          <w:tcPr>
            <w:tcW w:type="dxa" w:w="3312"/>
          </w:tcPr>
          <w:p>
            <w:r>
              <w:t>May predict risk better than direction</w:t>
            </w:r>
          </w:p>
        </w:tc>
      </w:tr>
      <w:tr>
        <w:tc>
          <w:tcPr>
            <w:tcW w:type="dxa" w:w="3312"/>
          </w:tcPr>
          <w:p>
            <w:r>
              <w:t>Advance-decline ratio</w:t>
            </w:r>
          </w:p>
        </w:tc>
        <w:tc>
          <w:tcPr>
            <w:tcW w:type="dxa" w:w="3312"/>
          </w:tcPr>
          <w:p>
            <w:r>
              <w:t>Sector/daily</w:t>
            </w:r>
          </w:p>
        </w:tc>
        <w:tc>
          <w:tcPr>
            <w:tcW w:type="dxa" w:w="3312"/>
          </w:tcPr>
          <w:p>
            <w:r>
              <w:t>Constituent coverage must be consistent</w:t>
            </w:r>
          </w:p>
        </w:tc>
      </w:tr>
      <w:tr>
        <w:tc>
          <w:tcPr>
            <w:tcW w:type="dxa" w:w="3312"/>
          </w:tcPr>
          <w:p>
            <w:r>
              <w:t>Percentage above 20/50/200-day MA</w:t>
            </w:r>
          </w:p>
        </w:tc>
        <w:tc>
          <w:tcPr>
            <w:tcW w:type="dxa" w:w="3312"/>
          </w:tcPr>
          <w:p>
            <w:r>
              <w:t>Sector/daily</w:t>
            </w:r>
          </w:p>
        </w:tc>
        <w:tc>
          <w:tcPr>
            <w:tcW w:type="dxa" w:w="3312"/>
          </w:tcPr>
          <w:p>
            <w:r>
              <w:t>Requires point-in-time constituent history</w:t>
            </w:r>
          </w:p>
        </w:tc>
      </w:tr>
      <w:tr>
        <w:tc>
          <w:tcPr>
            <w:tcW w:type="dxa" w:w="3312"/>
          </w:tcPr>
          <w:p>
            <w:r>
              <w:t>Equal-weight minus cap-weight return</w:t>
            </w:r>
          </w:p>
        </w:tc>
        <w:tc>
          <w:tcPr>
            <w:tcW w:type="dxa" w:w="3312"/>
          </w:tcPr>
          <w:p>
            <w:r>
              <w:t>Sector/daily</w:t>
            </w:r>
          </w:p>
        </w:tc>
        <w:tc>
          <w:tcPr>
            <w:tcW w:type="dxa" w:w="3312"/>
          </w:tcPr>
          <w:p>
            <w:r>
              <w:t>Useful breadth proxy; requires constituent prices and weights</w:t>
            </w:r>
          </w:p>
        </w:tc>
      </w:tr>
      <w:tr>
        <w:tc>
          <w:tcPr>
            <w:tcW w:type="dxa" w:w="3312"/>
          </w:tcPr>
          <w:p>
            <w:r>
              <w:t>Sector dispersion rank</w:t>
            </w:r>
          </w:p>
        </w:tc>
        <w:tc>
          <w:tcPr>
            <w:tcW w:type="dxa" w:w="3312"/>
          </w:tcPr>
          <w:p>
            <w:r>
              <w:t>Cross-sector/daily</w:t>
            </w:r>
          </w:p>
        </w:tc>
        <w:tc>
          <w:tcPr>
            <w:tcW w:type="dxa" w:w="3312"/>
          </w:tcPr>
          <w:p>
            <w:r>
              <w:t>Can indicate leadership/rotation but not causality</w:t>
            </w:r>
          </w:p>
        </w:tc>
      </w:tr>
      <w:tr>
        <w:tc>
          <w:tcPr>
            <w:tcW w:type="dxa" w:w="3312"/>
          </w:tcPr>
          <w:p>
            <w:r>
              <w:t>Commodity/FX sensitivity interaction</w:t>
            </w:r>
          </w:p>
        </w:tc>
        <w:tc>
          <w:tcPr>
            <w:tcW w:type="dxa" w:w="3312"/>
          </w:tcPr>
          <w:p>
            <w:r>
              <w:t>Sector/company/daily</w:t>
            </w:r>
          </w:p>
        </w:tc>
        <w:tc>
          <w:tcPr>
            <w:tcW w:type="dxa" w:w="3312"/>
          </w:tcPr>
          <w:p>
            <w:r>
              <w:t>Estimate only on training data; coefficients can change</w:t>
            </w:r>
          </w:p>
        </w:tc>
      </w:tr>
      <w:tr>
        <w:tc>
          <w:tcPr>
            <w:tcW w:type="dxa" w:w="3312"/>
          </w:tcPr>
          <w:p>
            <w:r>
              <w:t>Industry indicator surprise/change</w:t>
            </w:r>
          </w:p>
        </w:tc>
        <w:tc>
          <w:tcPr>
            <w:tcW w:type="dxa" w:w="3312"/>
          </w:tcPr>
          <w:p>
            <w:r>
              <w:t>Sector/monthly or release-based</w:t>
            </w:r>
          </w:p>
        </w:tc>
        <w:tc>
          <w:tcPr>
            <w:tcW w:type="dxa" w:w="3312"/>
          </w:tcPr>
          <w:p>
            <w:r>
              <w:t>Use actual publication timestamp and revision vintage</w:t>
            </w:r>
          </w:p>
        </w:tc>
      </w:tr>
      <w:tr>
        <w:tc>
          <w:tcPr>
            <w:tcW w:type="dxa" w:w="3312"/>
          </w:tcPr>
          <w:p>
            <w:r>
              <w:t>Stock minus sector return</w:t>
            </w:r>
          </w:p>
        </w:tc>
        <w:tc>
          <w:tcPr>
            <w:tcW w:type="dxa" w:w="3312"/>
          </w:tcPr>
          <w:p>
            <w:r>
              <w:t>Stock/daily</w:t>
            </w:r>
          </w:p>
        </w:tc>
        <w:tc>
          <w:tcPr>
            <w:tcW w:type="dxa" w:w="3312"/>
          </w:tcPr>
          <w:p>
            <w:r>
              <w:t>Can help separate sector and company-specific movement</w:t>
            </w:r>
          </w:p>
        </w:tc>
      </w:tr>
    </w:tbl>
    <w:p>
      <w:pPr>
        <w:pStyle w:val="Heading1"/>
      </w:pPr>
      <w:r>
        <w:t>9. Blockers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Blocker</w:t>
            </w:r>
          </w:p>
        </w:tc>
        <w:tc>
          <w:tcPr>
            <w:tcW w:type="dxa" w:w="3312"/>
          </w:tcPr>
          <w:p>
            <w:r>
              <w:t>Risk</w:t>
            </w:r>
          </w:p>
        </w:tc>
        <w:tc>
          <w:tcPr>
            <w:tcW w:type="dxa" w:w="3312"/>
          </w:tcPr>
          <w:p>
            <w:r>
              <w:t>Mitigation</w:t>
            </w:r>
          </w:p>
        </w:tc>
      </w:tr>
      <w:tr>
        <w:tc>
          <w:tcPr>
            <w:tcW w:type="dxa" w:w="3312"/>
          </w:tcPr>
          <w:p>
            <w:r>
              <w:t>Changing constituents</w:t>
            </w:r>
          </w:p>
        </w:tc>
        <w:tc>
          <w:tcPr>
            <w:tcW w:type="dxa" w:w="3312"/>
          </w:tcPr>
          <w:p>
            <w:r>
              <w:t>Survivorship bias</w:t>
            </w:r>
          </w:p>
        </w:tc>
        <w:tc>
          <w:tcPr>
            <w:tcW w:type="dxa" w:w="3312"/>
          </w:tcPr>
          <w:p>
            <w:r>
              <w:t>Store historical membership and effective dates</w:t>
            </w:r>
          </w:p>
        </w:tc>
      </w:tr>
      <w:tr>
        <w:tc>
          <w:tcPr>
            <w:tcW w:type="dxa" w:w="3312"/>
          </w:tcPr>
          <w:p>
            <w:r>
              <w:t>Limited free history/API</w:t>
            </w:r>
          </w:p>
        </w:tc>
        <w:tc>
          <w:tcPr>
            <w:tcW w:type="dxa" w:w="3312"/>
          </w:tcPr>
          <w:p>
            <w:r>
              <w:t>Incomplete backtest</w:t>
            </w:r>
          </w:p>
        </w:tc>
        <w:tc>
          <w:tcPr>
            <w:tcW w:type="dxa" w:w="3312"/>
          </w:tcPr>
          <w:p>
            <w:r>
              <w:t>Pilot sample downloads and confirm terms before building pipeline</w:t>
            </w:r>
          </w:p>
        </w:tc>
      </w:tr>
      <w:tr>
        <w:tc>
          <w:tcPr>
            <w:tcW w:type="dxa" w:w="3312"/>
          </w:tcPr>
          <w:p>
            <w:r>
              <w:t>Different sector classifications</w:t>
            </w:r>
          </w:p>
        </w:tc>
        <w:tc>
          <w:tcPr>
            <w:tcW w:type="dxa" w:w="3312"/>
          </w:tcPr>
          <w:p>
            <w:r>
              <w:t>Mismatched comparisons</w:t>
            </w:r>
          </w:p>
        </w:tc>
        <w:tc>
          <w:tcPr>
            <w:tcW w:type="dxa" w:w="3312"/>
          </w:tcPr>
          <w:p>
            <w:r>
              <w:t>Define a canonical taxonomy and maintain mappings</w:t>
            </w:r>
          </w:p>
        </w:tc>
      </w:tr>
      <w:tr>
        <w:tc>
          <w:tcPr>
            <w:tcW w:type="dxa" w:w="3312"/>
          </w:tcPr>
          <w:p>
            <w:r>
              <w:t>Monthly data release lag</w:t>
            </w:r>
          </w:p>
        </w:tc>
        <w:tc>
          <w:tcPr>
            <w:tcW w:type="dxa" w:w="3312"/>
          </w:tcPr>
          <w:p>
            <w:r>
              <w:t>Look-ahead leakage</w:t>
            </w:r>
          </w:p>
        </w:tc>
        <w:tc>
          <w:tcPr>
            <w:tcW w:type="dxa" w:w="3312"/>
          </w:tcPr>
          <w:p>
            <w:r>
              <w:t>Store observation_period and available_from separately</w:t>
            </w:r>
          </w:p>
        </w:tc>
      </w:tr>
      <w:tr>
        <w:tc>
          <w:tcPr>
            <w:tcW w:type="dxa" w:w="3312"/>
          </w:tcPr>
          <w:p>
            <w:r>
              <w:t>Large-cap dominance</w:t>
            </w:r>
          </w:p>
        </w:tc>
        <w:tc>
          <w:tcPr>
            <w:tcW w:type="dxa" w:w="3312"/>
          </w:tcPr>
          <w:p>
            <w:r>
              <w:t>Sector index hides smaller names</w:t>
            </w:r>
          </w:p>
        </w:tc>
        <w:tc>
          <w:tcPr>
            <w:tcW w:type="dxa" w:w="3312"/>
          </w:tcPr>
          <w:p>
            <w:r>
              <w:t>Compare cap-weighted and equal-weight breadth</w:t>
            </w:r>
          </w:p>
        </w:tc>
      </w:tr>
      <w:tr>
        <w:tc>
          <w:tcPr>
            <w:tcW w:type="dxa" w:w="3312"/>
          </w:tcPr>
          <w:p>
            <w:r>
              <w:t>Confounding commodity effects</w:t>
            </w:r>
          </w:p>
        </w:tc>
        <w:tc>
          <w:tcPr>
            <w:tcW w:type="dxa" w:w="3312"/>
          </w:tcPr>
          <w:p>
            <w:r>
              <w:t>Wrong sign assumptions</w:t>
            </w:r>
          </w:p>
        </w:tc>
        <w:tc>
          <w:tcPr>
            <w:tcW w:type="dxa" w:w="3312"/>
          </w:tcPr>
          <w:p>
            <w:r>
              <w:t>Estimate exposure by sector/company and validate out of sample</w:t>
            </w:r>
          </w:p>
        </w:tc>
      </w:tr>
    </w:tbl>
    <w:p>
      <w:pPr>
        <w:pStyle w:val="Heading1"/>
      </w:pPr>
      <w:r>
        <w:t>10. Validation Plan</w:t>
      </w:r>
    </w:p>
    <w:p>
      <w:pPr>
        <w:pStyle w:val="ListNumber"/>
      </w:pPr>
      <w:r>
        <w:t>Define target: sector index return, individual-stock forward return, or risk classification.</w:t>
      </w:r>
    </w:p>
    <w:p>
      <w:pPr>
        <w:pStyle w:val="ListNumber"/>
      </w:pPr>
      <w:r>
        <w:t>Create a baseline using price/volume and broad market returns.</w:t>
      </w:r>
    </w:p>
    <w:p>
      <w:pPr>
        <w:pStyle w:val="ListNumber"/>
      </w:pPr>
      <w:r>
        <w:t>Add sector-relative return and breadth features first.</w:t>
      </w:r>
    </w:p>
    <w:p>
      <w:pPr>
        <w:pStyle w:val="ListNumber"/>
      </w:pPr>
      <w:r>
        <w:t>Add industry-specific macro/input-cost variables only when source history and publication timestamps are dependable.</w:t>
      </w:r>
    </w:p>
    <w:p>
      <w:pPr>
        <w:pStyle w:val="ListNumber"/>
      </w:pPr>
      <w:r>
        <w:t>Use walk-forward validation and compare across sectors and market regimes.</w:t>
      </w:r>
    </w:p>
    <w:p>
      <w:pPr>
        <w:pStyle w:val="ListNumber"/>
      </w:pPr>
      <w:r>
        <w:t>Run ablation tests and realistic transaction-cost analysis if converting predictions into a strategy.</w:t>
      </w:r>
    </w:p>
    <w:p>
      <w:pPr>
        <w:pStyle w:val="ListNumber"/>
      </w:pPr>
      <w:r>
        <w:t>Report coverage, missingness, stability, and confidence intervals—not only a single accuracy score.</w:t>
      </w:r>
    </w:p>
    <w:p>
      <w:pPr>
        <w:pStyle w:val="Heading1"/>
      </w:pPr>
      <w:r>
        <w:t>11. Candidate Shortlist (Not Validated)</w:t>
      </w:r>
    </w:p>
    <w:p>
      <w:pPr>
        <w:pStyle w:val="ListNumber"/>
      </w:pPr>
      <w:r>
        <w:t>Sector 20-session relative return versus NIFTY 50.</w:t>
      </w:r>
    </w:p>
    <w:p>
      <w:pPr>
        <w:pStyle w:val="ListNumber"/>
      </w:pPr>
      <w:r>
        <w:t>Sector rolling volatility and maximum drawdown.</w:t>
      </w:r>
    </w:p>
    <w:p>
      <w:pPr>
        <w:pStyle w:val="ListNumber"/>
      </w:pPr>
      <w:r>
        <w:t>Sector advance-decline ratio and above-moving-average breadth.</w:t>
      </w:r>
    </w:p>
    <w:p>
      <w:pPr>
        <w:pStyle w:val="ListNumber"/>
      </w:pPr>
      <w:r>
        <w:t>Equal-weight versus cap-weight sector return difference.</w:t>
      </w:r>
    </w:p>
    <w:p>
      <w:pPr>
        <w:pStyle w:val="ListNumber"/>
      </w:pPr>
      <w:r>
        <w:t>Stock return minus sector return.</w:t>
      </w:r>
    </w:p>
    <w:p>
      <w:pPr>
        <w:pStyle w:val="ListNumber"/>
      </w:pPr>
      <w:r>
        <w:t>One carefully selected industry-specific indicator per sector, only after point-in-time availability is confirmed.</w:t>
      </w:r>
    </w:p>
    <w:p>
      <w:pPr>
        <w:pStyle w:val="Heading1"/>
      </w:pPr>
      <w:r>
        <w:t>12. Mentor / Team Lead Summary</w:t>
      </w:r>
    </w:p>
    <w:p>
      <w:r>
        <w:t>Investigate sector leadership, breadth, relative strength, and sector-specific economic drivers as a feature family for Indian equities. Start with official sector-index prices and historical constituents, then add industry indicators with reliable release timestamps. Main risks are changing constituents, sector classification drift, index concentration, delayed/revised industry data, and look-ahead leakage. Treat all features as hypotheses and validate using walk-forward testing.</w:t>
      </w:r>
    </w:p>
    <w:p>
      <w:pPr>
        <w:pStyle w:val="Heading1"/>
      </w:pPr>
      <w:r>
        <w:t>13. Checklist</w:t>
      </w:r>
    </w:p>
    <w:p>
      <w:pPr>
        <w:pStyle w:val="ListBullet"/>
      </w:pPr>
      <w:r>
        <w:t>Confirm stock universe and sector taxonomy.</w:t>
      </w:r>
    </w:p>
    <w:p>
      <w:pPr>
        <w:pStyle w:val="ListBullet"/>
      </w:pPr>
      <w:r>
        <w:t>Collect sample sector-index history and methodologies.</w:t>
      </w:r>
    </w:p>
    <w:p>
      <w:pPr>
        <w:pStyle w:val="ListBullet"/>
      </w:pPr>
      <w:r>
        <w:t>Build point-in-time constituent and weight history.</w:t>
      </w:r>
    </w:p>
    <w:p>
      <w:pPr>
        <w:pStyle w:val="ListBullet"/>
      </w:pPr>
      <w:r>
        <w:t>Calculate relative returns, breadth, volatility, and residual returns.</w:t>
      </w:r>
    </w:p>
    <w:p>
      <w:pPr>
        <w:pStyle w:val="ListBullet"/>
      </w:pPr>
      <w:r>
        <w:t>Record all industry-data publication timestamps and revisions.</w:t>
      </w:r>
    </w:p>
    <w:p>
      <w:pPr>
        <w:pStyle w:val="ListBullet"/>
      </w:pPr>
      <w:r>
        <w:t>Test features against a baseline using walk-forward validation.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https://www.niftyindices.com/</w:t>
      </w:r>
    </w:p>
    <w:p>
      <w:pPr>
        <w:pStyle w:val="ListBullet"/>
      </w:pPr>
      <w:r>
        <w:t>https://www.nseindia.com/</w:t>
      </w:r>
    </w:p>
    <w:p>
      <w:pPr>
        <w:pStyle w:val="ListBullet"/>
      </w:pPr>
      <w:r>
        <w:t>https://www.bseindia.com/</w:t>
      </w:r>
    </w:p>
    <w:p>
      <w:pPr>
        <w:pStyle w:val="ListBullet"/>
      </w:pPr>
      <w:r>
        <w:t>https://www.mospi.gov.in/</w:t>
      </w:r>
    </w:p>
    <w:p>
      <w:pPr>
        <w:pStyle w:val="ListBullet"/>
      </w:pPr>
      <w:r>
        <w:t>https://dbie.rbi.org.in/</w:t>
      </w:r>
    </w:p>
    <w:p>
      <w:pPr>
        <w:pStyle w:val="ListBullet"/>
      </w:pPr>
      <w:r>
        <w:t>https://mopng.gov.in/</w:t>
      </w:r>
    </w:p>
    <w:p>
      <w:pPr>
        <w:pStyle w:val="ListBullet"/>
      </w:pPr>
      <w:r>
        <w:t>https://www.siam.in/</w:t>
      </w:r>
    </w:p>
    <w:p>
      <w:pPr>
        <w:pStyle w:val="ListBullet"/>
      </w:pPr>
      <w:r>
        <w:t>https://tradestat.commerce.gov.in/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Category 12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