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8fa99606da3db43e0c279e310dbfd376bb205dc"/>
    <w:p>
      <w:pPr>
        <w:pStyle w:val="Heading1"/>
      </w:pPr>
      <w:r>
        <w:t xml:space="preserve">Investigative Report: Smart Cities Network (SCN) and Kok Chin (KC) Tay</w:t>
      </w:r>
    </w:p>
    <w:p>
      <w:pPr>
        <w:pStyle w:val="FirstParagraph"/>
      </w:pPr>
      <w:r>
        <w:rPr>
          <w:iCs/>
          <w:i/>
        </w:rPr>
        <w:t xml:space="preserve">Independent evidence-based investigation conducted June 2026</w:t>
      </w:r>
    </w:p>
    <w:p>
      <w:r>
        <w:pict>
          <v:rect style="width:0;height:1.5pt" o:hralign="center" o:hrstd="t" o:hr="t"/>
        </w:pict>
      </w:r>
    </w:p>
    <w:bookmarkEnd w:id="20"/>
    <w:bookmarkStart w:id="27" w:name="executive-summary"/>
    <w:p>
      <w:pPr>
        <w:pStyle w:val="Heading1"/>
      </w:pPr>
      <w:r>
        <w:t xml:space="preserve">Executive Summary</w:t>
      </w:r>
    </w:p>
    <w:p>
      <w:pPr>
        <w:pStyle w:val="FirstParagraph"/>
      </w:pPr>
      <w:r>
        <w:rPr>
          <w:bCs/>
          <w:b/>
        </w:rPr>
        <w:t xml:space="preserve">Smart Cities Network (SCN) is not a money laundering or criminal operation. It is a legally registered Singapore company. But it is also not what it appears to be.</w:t>
      </w:r>
      <w:r>
        <w:t xml:space="preserve"> </w:t>
      </w:r>
      <w:r>
        <w:t xml:space="preserve">SCN systematically exploits name confusion with the official ASEAN Smart Cities Network (ASCN), relies on inflated academic titles held by its chairman, claims projects it did not deliver, and operates as a one-person vehicle with no financial transparency, charitable status, or governance accountability. SCN leverages borrowed legitimacy — from the UN, from the ASEAN name, from false academic titles — to secure advisory roles, while producing minimal independently verifiable outcomes.</w:t>
      </w:r>
    </w:p>
    <w:bookmarkStart w:id="21" w:name="the-name-jacking"/>
    <w:p>
      <w:pPr>
        <w:pStyle w:val="Heading2"/>
      </w:pPr>
      <w:r>
        <w:t xml:space="preserve">The Name-Jacking</w:t>
      </w:r>
    </w:p>
    <w:p>
      <w:pPr>
        <w:pStyle w:val="FirstParagraph"/>
      </w:pPr>
      <w:r>
        <w:t xml:space="preserve">SCN was incorporated on 14 August 2018 — exactly 108 days after the official ASEAN Smart Cities Network (ASCN) was established at the 32nd ASEAN Summit on 28 April 2018. Its registered name,</w:t>
      </w:r>
      <w:r>
        <w:t xml:space="preserve"> </w:t>
      </w:r>
      <w:r>
        <w:t xml:space="preserve">“</w:t>
      </w:r>
      <w:r>
        <w:t xml:space="preserve">Smart Cities Network,</w:t>
      </w:r>
      <w:r>
        <w:t xml:space="preserve">”</w:t>
      </w:r>
      <w:r>
        <w:t xml:space="preserve"> </w:t>
      </w:r>
      <w:r>
        <w:t xml:space="preserve">is simply</w:t>
      </w:r>
      <w:r>
        <w:t xml:space="preserve"> </w:t>
      </w:r>
      <w:r>
        <w:t xml:space="preserve">“</w:t>
      </w:r>
      <w:r>
        <w:t xml:space="preserve">ASEAN Smart Cities Network</w:t>
      </w:r>
      <w:r>
        <w:t xml:space="preserve">”</w:t>
      </w:r>
      <w:r>
        <w:t xml:space="preserve"> </w:t>
      </w:r>
      <w:r>
        <w:t xml:space="preserve">with the word</w:t>
      </w:r>
      <w:r>
        <w:t xml:space="preserve"> </w:t>
      </w:r>
      <w:r>
        <w:t xml:space="preserve">“</w:t>
      </w:r>
      <w:r>
        <w:t xml:space="preserve">ASEAN</w:t>
      </w:r>
      <w:r>
        <w:t xml:space="preserve">”</w:t>
      </w:r>
      <w:r>
        <w:t xml:space="preserve"> </w:t>
      </w:r>
      <w:r>
        <w:t xml:space="preserve">removed. This is not coincidental. The timeline is too precise, the naming too convenient, and the absence of any disclaimer on SCN’s website too conspicuous. Academic papers, government officials, and media outlets have conflated the two entities. SCN Chairman Kok Chin Tay (</w:t>
      </w:r>
      <w:r>
        <w:t xml:space="preserve">“</w:t>
      </w:r>
      <w:r>
        <w:t xml:space="preserve">KC Tay</w:t>
      </w:r>
      <w:r>
        <w:t xml:space="preserve">”</w:t>
      </w:r>
      <w:r>
        <w:t xml:space="preserve">) has participated in legitimate ASCN-related events while simultaneously running this similarly-named private company, further blurring the line between intergovernmental initiative and personal enterprise.</w:t>
      </w:r>
    </w:p>
    <w:bookmarkEnd w:id="21"/>
    <w:bookmarkStart w:id="22" w:name="the-title-fraud"/>
    <w:p>
      <w:pPr>
        <w:pStyle w:val="Heading2"/>
      </w:pPr>
      <w:r>
        <w:t xml:space="preserve">The Title Fraud</w:t>
      </w:r>
    </w:p>
    <w:p>
      <w:pPr>
        <w:pStyle w:val="FirstParagraph"/>
      </w:pPr>
      <w:r>
        <w:t xml:space="preserve">KC Tay is routinely referred to as</w:t>
      </w:r>
      <w:r>
        <w:t xml:space="preserve"> </w:t>
      </w:r>
      <w:r>
        <w:t xml:space="preserve">“</w:t>
      </w:r>
      <w:r>
        <w:t xml:space="preserve">Dr.</w:t>
      </w:r>
      <w:r>
        <w:t xml:space="preserve">”</w:t>
      </w:r>
      <w:r>
        <w:t xml:space="preserve"> </w:t>
      </w:r>
      <w:r>
        <w:t xml:space="preserve">by the Philippine Department of Science and Technology (DOST) and the Philippine News Agency, and as</w:t>
      </w:r>
      <w:r>
        <w:t xml:space="preserve"> </w:t>
      </w:r>
      <w:r>
        <w:t xml:space="preserve">“</w:t>
      </w:r>
      <w:r>
        <w:t xml:space="preserve">Professor</w:t>
      </w:r>
      <w:r>
        <w:t xml:space="preserve">”</w:t>
      </w:r>
      <w:r>
        <w:t xml:space="preserve"> </w:t>
      </w:r>
      <w:r>
        <w:t xml:space="preserve">by the National University of Management in Cambodia. He does not hold a PhD. His highest verified degree is an MSc in Computer Science from City University London. Claims of adjunct positions at Singapore institutions — BCA Academy, Singapore Institute of Technology, and NUS — are unverified in official directories. In Southeast Asian cultures where academic titles carry significant weight, this systematic inflation opens doors to government advisory roles and consulting contracts that would be harder to obtain without them.</w:t>
      </w:r>
    </w:p>
    <w:bookmarkEnd w:id="22"/>
    <w:bookmarkStart w:id="23" w:name="the-delivery-void"/>
    <w:p>
      <w:pPr>
        <w:pStyle w:val="Heading2"/>
      </w:pPr>
      <w:r>
        <w:t xml:space="preserve">The Delivery Void</w:t>
      </w:r>
    </w:p>
    <w:p>
      <w:pPr>
        <w:pStyle w:val="FirstParagraph"/>
      </w:pPr>
      <w:r>
        <w:t xml:space="preserve">SCN claims</w:t>
      </w:r>
      <w:r>
        <w:t xml:space="preserve"> </w:t>
      </w:r>
      <w:r>
        <w:t xml:space="preserve">“</w:t>
      </w:r>
      <w:r>
        <w:t xml:space="preserve">13 Key Projects</w:t>
      </w:r>
      <w:r>
        <w:t xml:space="preserve">”</w:t>
      </w:r>
      <w:r>
        <w:t xml:space="preserve"> </w:t>
      </w:r>
      <w:r>
        <w:t xml:space="preserve">on its website. On examination, this collapses to one partially substantiated case — Cauayan City in the Philippines, where SCN connected a third-party company (Graffiquo) that did the actual work. The UN-Habitat Cities Investment Facility (CIF) partnership, prominently featured in SCN’s credentials, is real on paper — SCN is listed as a CIAP partner since June 2022. But after more than two and a half years, it has produced no bankable projects, no investment facilitation, and no published outcomes. The SCN Academy, presented as an educational arm, is a shell website with placeholder courses and no accreditation. Every verified</w:t>
      </w:r>
      <w:r>
        <w:t xml:space="preserve"> </w:t>
      </w:r>
      <w:r>
        <w:t xml:space="preserve">“</w:t>
      </w:r>
      <w:r>
        <w:t xml:space="preserve">partnership</w:t>
      </w:r>
      <w:r>
        <w:t xml:space="preserve">”</w:t>
      </w:r>
      <w:r>
        <w:t xml:space="preserve"> </w:t>
      </w:r>
      <w:r>
        <w:t xml:space="preserve">— with BSI Group, ASOCIO, ESI ThoughtLab — involves SCN promoting others’ products or lending its name to events, not delivering independent work.</w:t>
      </w:r>
    </w:p>
    <w:bookmarkEnd w:id="23"/>
    <w:bookmarkStart w:id="24" w:name="the-structural-reality"/>
    <w:p>
      <w:pPr>
        <w:pStyle w:val="Heading2"/>
      </w:pPr>
      <w:r>
        <w:t xml:space="preserve">The Structural Reality</w:t>
      </w:r>
    </w:p>
    <w:p>
      <w:pPr>
        <w:pStyle w:val="FirstParagraph"/>
      </w:pPr>
      <w:r>
        <w:t xml:space="preserve">SCN is legally registered (UEN 201827719R) as a public company limited by guarantee — an appropriate structure for a nonprofit, but SCN is not a registered charity in Singapore. It has no Institution of a Public Character (IPC) status, no tax exemption, and because it is a company limited by guarantee, it is legally exempt from filing financial statements with ACRA. KC Tay is the sole identifiable person associated with the organization. No board members are named. No staff, employees, or volunteers. An</w:t>
      </w:r>
      <w:r>
        <w:t xml:space="preserve"> </w:t>
      </w:r>
      <w:r>
        <w:t xml:space="preserve">“</w:t>
      </w:r>
      <w:r>
        <w:t xml:space="preserve">Executive Council</w:t>
      </w:r>
      <w:r>
        <w:t xml:space="preserve">”</w:t>
      </w:r>
      <w:r>
        <w:t xml:space="preserve"> </w:t>
      </w:r>
      <w:r>
        <w:t xml:space="preserve">is claimed on the website, but zero members are identified. SCN’s registered address is a virtual office at Hong Lim Complex shared by more than 100 other companies. There is no governance framework, no annual report, and no mechanism for accountability.</w:t>
      </w:r>
    </w:p>
    <w:bookmarkEnd w:id="24"/>
    <w:bookmarkStart w:id="25" w:name="the-pattern"/>
    <w:p>
      <w:pPr>
        <w:pStyle w:val="Heading2"/>
      </w:pPr>
      <w:r>
        <w:t xml:space="preserve">The Pattern</w:t>
      </w:r>
    </w:p>
    <w:p>
      <w:pPr>
        <w:pStyle w:val="FirstParagraph"/>
      </w:pPr>
      <w:r>
        <w:t xml:space="preserve">SCN’s verifiable government engagements are concentrated in developing ASEAN countries — the Philippines and Cambodia — where due diligence capacity is weaker, rather than in Singapore where it is headquartered and scrutiny would be higher. Singapore’s own Smart Nation initiative has no formal relationship with SCN. This is a common pattern: use a developed-country registration for credibility, direct actual business to developing countries where verification is harder. The dual-leadership structure compounds this — KC Tay simultaneously ran Smart Cities Council (SCC) as ASEAN Director while founding SCN as Chairman, using achievements at one entity to bolster credibility at the other, even using an SCC email address for SCN business.</w:t>
      </w:r>
    </w:p>
    <w:bookmarkEnd w:id="25"/>
    <w:bookmarkStart w:id="26" w:name="what-this-means"/>
    <w:p>
      <w:pPr>
        <w:pStyle w:val="Heading2"/>
      </w:pPr>
      <w:r>
        <w:t xml:space="preserve">What This Means</w:t>
      </w:r>
    </w:p>
    <w:p>
      <w:pPr>
        <w:pStyle w:val="FirstParagraph"/>
      </w:pPr>
      <w:r>
        <w:t xml:space="preserve">SCN is not a criminal enterprise. There is no evidence of fraud prosecutions, regulatory actions, or money laundering. But it operates in a deliberate accountability vacuum — not a charity, not a government body, not a publicly traded company — where inflated claims persist because no institution has both the incentive and the authority to challenge them. It is best understood as a personal consulting vehicle wrapped in nonprofit-appropriate legal packaging, sustained by borrowed names, borrowed titles, and borrowed legitimacy. The appropriate response is not criminal alarm but rigorous verification: demand proof of delivery, confirm academic credentials independently, and check whether the</w:t>
      </w:r>
      <w:r>
        <w:t xml:space="preserve"> </w:t>
      </w:r>
      <w:r>
        <w:t xml:space="preserve">“</w:t>
      </w:r>
      <w:r>
        <w:t xml:space="preserve">ASEAN</w:t>
      </w:r>
      <w:r>
        <w:t xml:space="preserve">”</w:t>
      </w:r>
      <w:r>
        <w:t xml:space="preserve"> </w:t>
      </w:r>
      <w:r>
        <w:t xml:space="preserve">entity you are speaking with is the one established by ten heads of state — or the one established four months later by one man with a virtual office.</w:t>
      </w:r>
    </w:p>
    <w:p>
      <w:r>
        <w:pict>
          <v:rect style="width:0;height:1.5pt" o:hralign="center" o:hrstd="t" o:hr="t"/>
        </w:pict>
      </w:r>
    </w:p>
    <w:bookmarkEnd w:id="26"/>
    <w:bookmarkEnd w:id="27"/>
    <w:bookmarkStart w:id="96" w:name="X144d03b30bb062b534ee15077c3504bd9f11961"/>
    <w:p>
      <w:pPr>
        <w:pStyle w:val="Heading1"/>
      </w:pPr>
      <w:r>
        <w:t xml:space="preserve">1. The ASEAN Smart Cities Network Name-Jacking</w:t>
      </w:r>
    </w:p>
    <w:p>
      <w:pPr>
        <w:pStyle w:val="FirstParagraph"/>
      </w:pPr>
      <w:r>
        <w:t xml:space="preserve">The most striking feature of Smart Cities Network (SCN) is not what it does, but what it is called. The organization’s name —</w:t>
      </w:r>
      <w:r>
        <w:t xml:space="preserve"> </w:t>
      </w:r>
      <w:r>
        <w:t xml:space="preserve">“</w:t>
      </w:r>
      <w:r>
        <w:t xml:space="preserve">Smart Cities Network</w:t>
      </w:r>
      <w:r>
        <w:t xml:space="preserve">”</w:t>
      </w:r>
      <w:r>
        <w:t xml:space="preserve"> </w:t>
      </w:r>
      <w:r>
        <w:t xml:space="preserve">— is identical to that of the official</w:t>
      </w:r>
      <w:r>
        <w:t xml:space="preserve"> </w:t>
      </w:r>
      <w:r>
        <w:t xml:space="preserve">“</w:t>
      </w:r>
      <w:r>
        <w:t xml:space="preserve">ASEAN Smart Cities Network</w:t>
      </w:r>
      <w:r>
        <w:t xml:space="preserve">”</w:t>
      </w:r>
      <w:r>
        <w:t xml:space="preserve"> </w:t>
      </w:r>
      <w:r>
        <w:t xml:space="preserve">(ASCN) minus a single word: ASEAN. This is not a coincidental similarity. SCN was incorporated in Singapore exactly four months after ASCN was established at the 32nd ASEAN Summit, and its branding, event titles, and leadership positioning have consistently reinforced an impression of official or quasi-official status. This chapter documents the name-jacking strategy with evidence drawn from corporate records, academic literature, media archives, and SCN’s own materials.</w:t>
      </w:r>
    </w:p>
    <w:p>
      <w:r>
        <w:pict>
          <v:rect style="width:0;height:1.5pt" o:hralign="center" o:hrstd="t" o:hr="t"/>
        </w:pict>
      </w:r>
    </w:p>
    <w:bookmarkStart w:id="39" w:name="the-official-ascn-vs.-the-private-scn"/>
    <w:p>
      <w:pPr>
        <w:pStyle w:val="Heading2"/>
      </w:pPr>
      <w:r>
        <w:t xml:space="preserve">1.1 The Official ASCN vs. the Private SCN</w:t>
      </w:r>
    </w:p>
    <w:bookmarkStart w:id="30" w:name="Xd07aec39ab48d6dea29457c6f4bfa0daed5852e"/>
    <w:p>
      <w:pPr>
        <w:pStyle w:val="Heading3"/>
      </w:pPr>
      <w:r>
        <w:t xml:space="preserve">1.1.1 ASEAN Smart Cities Network (ASCN): The Legitimate Intergovernmental Initiative</w:t>
      </w:r>
    </w:p>
    <w:p>
      <w:pPr>
        <w:pStyle w:val="FirstParagraph"/>
      </w:pPr>
      <w:r>
        <w:t xml:space="preserve">The ASEAN Smart Cities Network (ASCN) is an official initiative of the Association of Southeast Asian Nations, established by ASEAN Leaders at the</w:t>
      </w:r>
      <w:r>
        <w:t xml:space="preserve"> </w:t>
      </w:r>
      <w:r>
        <w:rPr>
          <w:bCs/>
          <w:b/>
        </w:rPr>
        <w:t xml:space="preserve">32nd ASEAN Summit on 28 April 2018 in Singapore</w:t>
      </w:r>
      <w:r>
        <w:t xml:space="preserve">. It was a flagship deliverable under Singapore’s 2018 ASEAN Chairmanship and operates under the ASEAN Connectivity Division of the ASEAN Secretariat.</w:t>
      </w:r>
      <w:r>
        <w:rPr>
          <w:rStyle w:val="FootnoteReference"/>
        </w:rPr>
        <w:footnoteReference w:id="28"/>
      </w:r>
    </w:p>
    <w:p>
      <w:pPr>
        <w:pStyle w:val="BodyText"/>
      </w:pPr>
      <w:r>
        <w:t xml:space="preserve">ASCN’s governance is multi-layered: each of the ten ASEAN member states nominates National Representatives and Chief Smart City Officers (CSCOs) for designated pilot cities. Leadership rotates through an annual Chairmanship and a two-year</w:t>
      </w:r>
      <w:r>
        <w:t xml:space="preserve"> </w:t>
      </w:r>
      <w:r>
        <w:t xml:space="preserve">“</w:t>
      </w:r>
      <w:r>
        <w:t xml:space="preserve">Shepherd</w:t>
      </w:r>
      <w:r>
        <w:t xml:space="preserve">”</w:t>
      </w:r>
      <w:r>
        <w:t xml:space="preserve"> </w:t>
      </w:r>
      <w:r>
        <w:t xml:space="preserve">role — Singapore served as first Shepherd (2019–2023), followed by Indonesia (2023–2025), and Malaysia (2025–2027). The network currently comprises</w:t>
      </w:r>
      <w:r>
        <w:t xml:space="preserve"> </w:t>
      </w:r>
      <w:r>
        <w:rPr>
          <w:bCs/>
          <w:b/>
        </w:rPr>
        <w:t xml:space="preserve">38 member cities</w:t>
      </w:r>
      <w:r>
        <w:t xml:space="preserve"> </w:t>
      </w:r>
      <w:r>
        <w:t xml:space="preserve">across all ten ASEAN countries, with 134 smart city projects tracked through annual Monitoring and Evaluation reports.</w:t>
      </w:r>
      <w:r>
        <w:rPr>
          <w:rStyle w:val="FootnoteReference"/>
        </w:rPr>
        <w:footnoteReference w:id="29"/>
      </w:r>
    </w:p>
    <w:p>
      <w:pPr>
        <w:pStyle w:val="BodyText"/>
      </w:pPr>
      <w:r>
        <w:t xml:space="preserve">ASCN’s branding always includes the word</w:t>
      </w:r>
      <w:r>
        <w:t xml:space="preserve"> </w:t>
      </w:r>
      <w:r>
        <w:t xml:space="preserve">“</w:t>
      </w:r>
      <w:r>
        <w:t xml:space="preserve">ASEAN.</w:t>
      </w:r>
      <w:r>
        <w:t xml:space="preserve">”</w:t>
      </w:r>
      <w:r>
        <w:t xml:space="preserve"> </w:t>
      </w:r>
      <w:r>
        <w:t xml:space="preserve">Its website is hosted on the official ASEAN domain (asean.org). Every city member is government-nominated. Every project is tracked. ASCN is a transparent, intergovernmental body with summit-level authority.</w:t>
      </w:r>
    </w:p>
    <w:bookmarkEnd w:id="30"/>
    <w:bookmarkStart w:id="35" w:name="Xebd61b711a153d172807dd3d5d79a408ea0b6cf"/>
    <w:p>
      <w:pPr>
        <w:pStyle w:val="Heading3"/>
      </w:pPr>
      <w:r>
        <w:t xml:space="preserve">1.1.2 Smart Cities Network (SCN): A Private Company, Four Months Later</w:t>
      </w:r>
    </w:p>
    <w:p>
      <w:pPr>
        <w:pStyle w:val="FirstParagraph"/>
      </w:pPr>
      <w:r>
        <w:t xml:space="preserve">Smart Cities Network (SCN) — full legal name SMART CITIES NETWORK LTD — is a</w:t>
      </w:r>
      <w:r>
        <w:t xml:space="preserve"> </w:t>
      </w:r>
      <w:r>
        <w:rPr>
          <w:bCs/>
          <w:b/>
        </w:rPr>
        <w:t xml:space="preserve">private company limited by guarantee</w:t>
      </w:r>
      <w:r>
        <w:t xml:space="preserve"> </w:t>
      </w:r>
      <w:r>
        <w:t xml:space="preserve">incorporated in Singapore on</w:t>
      </w:r>
      <w:r>
        <w:t xml:space="preserve"> </w:t>
      </w:r>
      <w:r>
        <w:rPr>
          <w:bCs/>
          <w:b/>
        </w:rPr>
        <w:t xml:space="preserve">14 August 2018</w:t>
      </w:r>
      <w:r>
        <w:t xml:space="preserve">, with UEN 201827719R.</w:t>
      </w:r>
      <w:r>
        <w:rPr>
          <w:rStyle w:val="FootnoteReference"/>
        </w:rPr>
        <w:footnoteReference w:id="31"/>
      </w:r>
      <w:r>
        <w:t xml:space="preserve"> </w:t>
      </w:r>
      <w:r>
        <w:t xml:space="preserve">It is not a government entity, not an intergovernmental initiative, and not registered as a charity in Singapore.</w:t>
      </w:r>
      <w:r>
        <w:rPr>
          <w:rStyle w:val="FootnoteReference"/>
        </w:rPr>
        <w:footnoteReference w:id="32"/>
      </w:r>
      <w:r>
        <w:t xml:space="preserve"> </w:t>
      </w:r>
      <w:r>
        <w:t xml:space="preserve">It is a private organization founded and chaired by Kok Chin (KC) Tay, a former IBM executive.</w:t>
      </w:r>
    </w:p>
    <w:p>
      <w:pPr>
        <w:pStyle w:val="BodyText"/>
      </w:pPr>
      <w:r>
        <w:t xml:space="preserve">The timing is critical. SCN was incorporated</w:t>
      </w:r>
      <w:r>
        <w:t xml:space="preserve"> </w:t>
      </w:r>
      <w:r>
        <w:rPr>
          <w:bCs/>
          <w:b/>
        </w:rPr>
        <w:t xml:space="preserve">exactly 108 days</w:t>
      </w:r>
      <w:r>
        <w:t xml:space="preserve"> </w:t>
      </w:r>
      <w:r>
        <w:t xml:space="preserve">after ASCN’s establishment — roughly four months, and less than six weeks after ASCN’s inaugural meeting on 8 July 2018.</w:t>
      </w:r>
      <w:r>
        <w:rPr>
          <w:rStyle w:val="FootnoteReference"/>
        </w:rPr>
        <w:footnoteReference w:id="33"/>
      </w:r>
      <w:r>
        <w:t xml:space="preserve"> </w:t>
      </w:r>
      <w:r>
        <w:t xml:space="preserve">This timeframe does not suggest organic brand development. It suggests rapid registration to capture the momentum of a high-profile intergovernmental initiative.</w:t>
      </w:r>
    </w:p>
    <w:p>
      <w:pPr>
        <w:pStyle w:val="BodyText"/>
      </w:pPr>
      <w:r>
        <w:t xml:space="preserve">SCN’s structure as a Company Limited by Guarantee is the standard Singapore vehicle for not-for-profit organizations, giving it a veneer of nonprofit legitimacy. But SCN is not registered as a charity under Singapore’s Charities Act, holds no IPC status, and cannot issue tax-deductible receipts for donations.</w:t>
      </w:r>
      <w:r>
        <w:rPr>
          <w:rStyle w:val="FootnoteReference"/>
        </w:rPr>
        <w:footnoteReference w:id="34"/>
      </w:r>
      <w:r>
        <w:t xml:space="preserve"> </w:t>
      </w:r>
      <w:r>
        <w:t xml:space="preserve">Its</w:t>
      </w:r>
      <w:r>
        <w:t xml:space="preserve"> </w:t>
      </w:r>
      <w:r>
        <w:t xml:space="preserve">“</w:t>
      </w:r>
      <w:r>
        <w:t xml:space="preserve">not-for-profit</w:t>
      </w:r>
      <w:r>
        <w:t xml:space="preserve">”</w:t>
      </w:r>
      <w:r>
        <w:t xml:space="preserve"> </w:t>
      </w:r>
      <w:r>
        <w:t xml:space="preserve">claim is technically consistent with its corporate structure but carries none of the transparency obligations that charitable status would impose.</w:t>
      </w:r>
    </w:p>
    <w:bookmarkEnd w:id="35"/>
    <w:bookmarkStart w:id="37" w:name="the-difference-is-one-word"/>
    <w:p>
      <w:pPr>
        <w:pStyle w:val="Heading3"/>
      </w:pPr>
      <w:r>
        <w:t xml:space="preserve">1.1.3 The Difference Is One Word</w:t>
      </w:r>
    </w:p>
    <w:p>
      <w:pPr>
        <w:pStyle w:val="FirstParagraph"/>
      </w:pPr>
      <w:r>
        <w:t xml:space="preserve">The naming overlap could not be more minimal or more consequential. SCN’s name is literally ASCN’s name with the word</w:t>
      </w:r>
      <w:r>
        <w:t xml:space="preserve"> </w:t>
      </w:r>
      <w:r>
        <w:t xml:space="preserve">“</w:t>
      </w:r>
      <w:r>
        <w:t xml:space="preserve">ASEAN</w:t>
      </w:r>
      <w:r>
        <w:t xml:space="preserve">”</w:t>
      </w:r>
      <w:r>
        <w:t xml:space="preserve"> </w:t>
      </w:r>
      <w:r>
        <w:t xml:space="preserve">removed:</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Aspect</w:t>
            </w:r>
          </w:p>
        </w:tc>
        <w:tc>
          <w:tcPr/>
          <w:p>
            <w:pPr>
              <w:pStyle w:val="Compact"/>
              <w:jc w:val="left"/>
            </w:pPr>
            <w:r>
              <w:t xml:space="preserve">ASCN (Official)</w:t>
            </w:r>
          </w:p>
        </w:tc>
        <w:tc>
          <w:tcPr/>
          <w:p>
            <w:pPr>
              <w:pStyle w:val="Compact"/>
              <w:jc w:val="left"/>
            </w:pPr>
            <w:r>
              <w:t xml:space="preserve">SCN (Private)</w:t>
            </w:r>
          </w:p>
        </w:tc>
      </w:tr>
      <w:tr>
        <w:tc>
          <w:tcPr/>
          <w:p>
            <w:pPr>
              <w:pStyle w:val="Compact"/>
              <w:jc w:val="left"/>
            </w:pPr>
            <w:r>
              <w:t xml:space="preserve">Full name</w:t>
            </w:r>
          </w:p>
        </w:tc>
        <w:tc>
          <w:tcPr/>
          <w:p>
            <w:pPr>
              <w:pStyle w:val="Compact"/>
              <w:jc w:val="left"/>
            </w:pPr>
            <w:r>
              <w:t xml:space="preserve">ASEAN Smart Cities Network</w:t>
            </w:r>
          </w:p>
        </w:tc>
        <w:tc>
          <w:tcPr/>
          <w:p>
            <w:pPr>
              <w:pStyle w:val="Compact"/>
              <w:jc w:val="left"/>
            </w:pPr>
            <w:r>
              <w:t xml:space="preserve">Smart Cities Network</w:t>
            </w:r>
          </w:p>
        </w:tc>
      </w:tr>
      <w:tr>
        <w:tc>
          <w:tcPr/>
          <w:p>
            <w:pPr>
              <w:pStyle w:val="Compact"/>
              <w:jc w:val="left"/>
            </w:pPr>
            <w:r>
              <w:t xml:space="preserve">Acronym</w:t>
            </w:r>
          </w:p>
        </w:tc>
        <w:tc>
          <w:tcPr/>
          <w:p>
            <w:pPr>
              <w:pStyle w:val="Compact"/>
              <w:jc w:val="left"/>
            </w:pPr>
            <w:r>
              <w:t xml:space="preserve">ASCN</w:t>
            </w:r>
          </w:p>
        </w:tc>
        <w:tc>
          <w:tcPr/>
          <w:p>
            <w:pPr>
              <w:pStyle w:val="Compact"/>
              <w:jc w:val="left"/>
            </w:pPr>
            <w:r>
              <w:t xml:space="preserve">SCN</w:t>
            </w:r>
          </w:p>
        </w:tc>
      </w:tr>
      <w:tr>
        <w:tc>
          <w:tcPr/>
          <w:p>
            <w:pPr>
              <w:pStyle w:val="Compact"/>
              <w:jc w:val="left"/>
            </w:pPr>
            <w:r>
              <w:t xml:space="preserve">The difference</w:t>
            </w:r>
          </w:p>
        </w:tc>
        <w:tc>
          <w:tcPr/>
          <w:p>
            <w:pPr>
              <w:pStyle w:val="Compact"/>
              <w:jc w:val="left"/>
            </w:pPr>
            <w:r>
              <w:t xml:space="preserve">“</w:t>
            </w:r>
            <w:r>
              <w:t xml:space="preserve">ASEAN</w:t>
            </w:r>
            <w:r>
              <w:t xml:space="preserve">”</w:t>
            </w:r>
            <w:r>
              <w:t xml:space="preserve"> </w:t>
            </w:r>
            <w:r>
              <w:t xml:space="preserve">prefix</w:t>
            </w:r>
          </w:p>
        </w:tc>
        <w:tc>
          <w:tcPr/>
          <w:p>
            <w:pPr>
              <w:pStyle w:val="Compact"/>
              <w:jc w:val="left"/>
            </w:pPr>
            <w:r>
              <w:t xml:space="preserve">“</w:t>
            </w:r>
            <w:r>
              <w:t xml:space="preserve">ASEAN</w:t>
            </w:r>
            <w:r>
              <w:t xml:space="preserve">”</w:t>
            </w:r>
            <w:r>
              <w:t xml:space="preserve"> </w:t>
            </w:r>
            <w:r>
              <w:t xml:space="preserve">removed</w:t>
            </w:r>
          </w:p>
        </w:tc>
      </w:tr>
    </w:tbl>
    <w:p>
      <w:pPr>
        <w:pStyle w:val="BodyText"/>
      </w:pPr>
      <w:r>
        <w:t xml:space="preserve">This is the most elemental form of name-jacking. A person searching for</w:t>
      </w:r>
      <w:r>
        <w:t xml:space="preserve"> </w:t>
      </w:r>
      <w:r>
        <w:t xml:space="preserve">“</w:t>
      </w:r>
      <w:r>
        <w:t xml:space="preserve">smart cities network ASEAN</w:t>
      </w:r>
      <w:r>
        <w:t xml:space="preserve">”</w:t>
      </w:r>
      <w:r>
        <w:t xml:space="preserve"> </w:t>
      </w:r>
      <w:r>
        <w:t xml:space="preserve">or typing</w:t>
      </w:r>
      <w:r>
        <w:t xml:space="preserve"> </w:t>
      </w:r>
      <w:r>
        <w:t xml:space="preserve">“</w:t>
      </w:r>
      <w:r>
        <w:t xml:space="preserve">smartcitiesnetwork</w:t>
      </w:r>
      <w:r>
        <w:t xml:space="preserve">”</w:t>
      </w:r>
      <w:r>
        <w:t xml:space="preserve"> </w:t>
      </w:r>
      <w:r>
        <w:t xml:space="preserve">into a browser is likely to encounter SCN’s private website (smartcitiesnetwork.net) before or instead of the official ASEAN page. SCN’s domain contains the exact phrase</w:t>
      </w:r>
      <w:r>
        <w:t xml:space="preserve"> </w:t>
      </w:r>
      <w:r>
        <w:t xml:space="preserve">“</w:t>
      </w:r>
      <w:r>
        <w:t xml:space="preserve">smartcitiesnetwork</w:t>
      </w:r>
      <w:r>
        <w:t xml:space="preserve">”</w:t>
      </w:r>
      <w:r>
        <w:t xml:space="preserve"> </w:t>
      </w:r>
      <w:r>
        <w:t xml:space="preserve">— the core of ASCN’s full name — further channeling traffic toward the private entity.</w:t>
      </w:r>
      <w:r>
        <w:rPr>
          <w:rStyle w:val="FootnoteReference"/>
        </w:rPr>
        <w:footnoteReference w:id="36"/>
      </w:r>
    </w:p>
    <w:p>
      <w:pPr>
        <w:pStyle w:val="BodyText"/>
      </w:pPr>
      <w:r>
        <w:t xml:space="preserve">The minimal differentiation matters because ASCN carries the full weight of ASEAN’s institutional legitimacy — ten sovereign governments, summit-level endorsement, secretariat support — while SCN carries none of these. Yet the name difference is so slight that a government official scanning a speaker bio could easily assume</w:t>
      </w:r>
      <w:r>
        <w:t xml:space="preserve"> </w:t>
      </w:r>
      <w:r>
        <w:t xml:space="preserve">“</w:t>
      </w:r>
      <w:r>
        <w:t xml:space="preserve">Chairman, Smart Cities Network</w:t>
      </w:r>
      <w:r>
        <w:t xml:space="preserve">”</w:t>
      </w:r>
      <w:r>
        <w:t xml:space="preserve"> </w:t>
      </w:r>
      <w:r>
        <w:t xml:space="preserve">refers to the official ASEAN initiative.</w:t>
      </w:r>
    </w:p>
    <w:bookmarkEnd w:id="37"/>
    <w:bookmarkStart w:id="38" w:name="side-by-side-comparison"/>
    <w:p>
      <w:pPr>
        <w:pStyle w:val="Heading3"/>
      </w:pPr>
      <w:r>
        <w:t xml:space="preserve">1.1.4 Side-by-Side Comparison</w:t>
      </w:r>
    </w:p>
    <w:p>
      <w:pPr>
        <w:pStyle w:val="FirstParagraph"/>
      </w:pPr>
      <w:r>
        <w:rPr>
          <w:bCs/>
          <w:b/>
        </w:rPr>
        <w:t xml:space="preserve">Table 1: ASEAN Smart Cities Network (ASCN) vs. Smart Cities Network (SCN)</w:t>
      </w:r>
    </w:p>
    <w:tbl>
      <w:tblPr>
        <w:tblStyle w:val="Table"/>
        <w:tblW w:type="pct" w:w="5000"/>
        <w:tblLook w:firstRow="1" w:lastRow="0" w:firstColumn="0" w:lastColumn="0" w:noHBand="0" w:noVBand="0" w:val="0020"/>
      </w:tblPr>
      <w:tblGrid>
        <w:gridCol w:w="2074"/>
        <w:gridCol w:w="3017"/>
        <w:gridCol w:w="2828"/>
      </w:tblGrid>
      <w:tr>
        <w:trPr>
          <w:tblHeader w:val="true"/>
        </w:trPr>
        <w:tc>
          <w:tcPr/>
          <w:p>
            <w:pPr>
              <w:pStyle w:val="Compact"/>
              <w:jc w:val="left"/>
            </w:pPr>
            <w:r>
              <w:t xml:space="preserve">Dimension</w:t>
            </w:r>
          </w:p>
        </w:tc>
        <w:tc>
          <w:tcPr/>
          <w:p>
            <w:pPr>
              <w:pStyle w:val="Compact"/>
              <w:jc w:val="left"/>
            </w:pPr>
            <w:r>
              <w:t xml:space="preserve">ASCN (Official)</w:t>
            </w:r>
          </w:p>
        </w:tc>
        <w:tc>
          <w:tcPr/>
          <w:p>
            <w:pPr>
              <w:pStyle w:val="Compact"/>
              <w:jc w:val="left"/>
            </w:pPr>
            <w:r>
              <w:t xml:space="preserve">SCN (Private)</w:t>
            </w:r>
          </w:p>
        </w:tc>
      </w:tr>
      <w:tr>
        <w:tc>
          <w:tcPr/>
          <w:p>
            <w:pPr>
              <w:pStyle w:val="Compact"/>
              <w:jc w:val="left"/>
            </w:pPr>
            <w:r>
              <w:rPr>
                <w:bCs/>
                <w:b/>
              </w:rPr>
              <w:t xml:space="preserve">Established</w:t>
            </w:r>
          </w:p>
        </w:tc>
        <w:tc>
          <w:tcPr/>
          <w:p>
            <w:pPr>
              <w:pStyle w:val="Compact"/>
              <w:jc w:val="left"/>
            </w:pPr>
            <w:r>
              <w:t xml:space="preserve">28 April 2018 (32nd ASEAN Summit)</w:t>
            </w:r>
          </w:p>
        </w:tc>
        <w:tc>
          <w:tcPr/>
          <w:p>
            <w:pPr>
              <w:pStyle w:val="Compact"/>
              <w:jc w:val="left"/>
            </w:pPr>
            <w:r>
              <w:t xml:space="preserve">14 August 2018 (Singapore ACRA)</w:t>
            </w:r>
          </w:p>
        </w:tc>
      </w:tr>
      <w:tr>
        <w:tc>
          <w:tcPr/>
          <w:p>
            <w:pPr>
              <w:pStyle w:val="Compact"/>
              <w:jc w:val="left"/>
            </w:pPr>
            <w:r>
              <w:rPr>
                <w:bCs/>
                <w:b/>
              </w:rPr>
              <w:t xml:space="preserve">Legal basis</w:t>
            </w:r>
          </w:p>
        </w:tc>
        <w:tc>
          <w:tcPr/>
          <w:p>
            <w:pPr>
              <w:pStyle w:val="Compact"/>
              <w:jc w:val="left"/>
            </w:pPr>
            <w:r>
              <w:t xml:space="preserve">Intergovernmental initiative of 10 ASEAN states</w:t>
            </w:r>
          </w:p>
        </w:tc>
        <w:tc>
          <w:tcPr/>
          <w:p>
            <w:pPr>
              <w:pStyle w:val="Compact"/>
              <w:jc w:val="left"/>
            </w:pPr>
            <w:r>
              <w:t xml:space="preserve">Singapore company limited by guarantee</w:t>
            </w:r>
          </w:p>
        </w:tc>
      </w:tr>
      <w:tr>
        <w:tc>
          <w:tcPr/>
          <w:p>
            <w:pPr>
              <w:pStyle w:val="Compact"/>
              <w:jc w:val="left"/>
            </w:pPr>
            <w:r>
              <w:rPr>
                <w:bCs/>
                <w:b/>
              </w:rPr>
              <w:t xml:space="preserve">Governing body</w:t>
            </w:r>
          </w:p>
        </w:tc>
        <w:tc>
          <w:tcPr/>
          <w:p>
            <w:pPr>
              <w:pStyle w:val="Compact"/>
              <w:jc w:val="left"/>
            </w:pPr>
            <w:r>
              <w:t xml:space="preserve">ASEAN Secretariat (Connectivity Division)</w:t>
            </w:r>
          </w:p>
        </w:tc>
        <w:tc>
          <w:tcPr/>
          <w:p>
            <w:pPr>
              <w:pStyle w:val="Compact"/>
              <w:jc w:val="left"/>
            </w:pPr>
            <w:r>
              <w:t xml:space="preserve">Unidentified; single Chairman (KC Tay)</w:t>
            </w:r>
          </w:p>
        </w:tc>
      </w:tr>
      <w:tr>
        <w:tc>
          <w:tcPr/>
          <w:p>
            <w:pPr>
              <w:pStyle w:val="Compact"/>
              <w:jc w:val="left"/>
            </w:pPr>
            <w:r>
              <w:rPr>
                <w:bCs/>
                <w:b/>
              </w:rPr>
              <w:t xml:space="preserve">Member cities</w:t>
            </w:r>
          </w:p>
        </w:tc>
        <w:tc>
          <w:tcPr/>
          <w:p>
            <w:pPr>
              <w:pStyle w:val="Compact"/>
              <w:jc w:val="left"/>
            </w:pPr>
            <w:r>
              <w:t xml:space="preserve">38 (government-nominated across 10 countries)</w:t>
            </w:r>
          </w:p>
        </w:tc>
        <w:tc>
          <w:tcPr/>
          <w:p>
            <w:pPr>
              <w:pStyle w:val="Compact"/>
              <w:jc w:val="left"/>
            </w:pPr>
            <w:r>
              <w:t xml:space="preserve">13 (self-reported, self-designated)</w:t>
            </w:r>
          </w:p>
        </w:tc>
      </w:tr>
      <w:tr>
        <w:tc>
          <w:tcPr/>
          <w:p>
            <w:pPr>
              <w:pStyle w:val="Compact"/>
              <w:jc w:val="left"/>
            </w:pPr>
            <w:r>
              <w:rPr>
                <w:bCs/>
                <w:b/>
              </w:rPr>
              <w:t xml:space="preserve">Name always includes</w:t>
            </w:r>
          </w:p>
        </w:tc>
        <w:tc>
          <w:tcPr/>
          <w:p>
            <w:pPr>
              <w:pStyle w:val="Compact"/>
              <w:jc w:val="left"/>
            </w:pPr>
            <w:r>
              <w:t xml:space="preserve">“</w:t>
            </w:r>
            <w:r>
              <w:t xml:space="preserve">ASEAN</w:t>
            </w:r>
            <w:r>
              <w:t xml:space="preserve">”</w:t>
            </w:r>
          </w:p>
        </w:tc>
        <w:tc>
          <w:tcPr/>
          <w:p>
            <w:pPr>
              <w:pStyle w:val="Compact"/>
              <w:jc w:val="left"/>
            </w:pPr>
            <w:r>
              <w:t xml:space="preserve">Excludes</w:t>
            </w:r>
            <w:r>
              <w:t xml:space="preserve"> </w:t>
            </w:r>
            <w:r>
              <w:t xml:space="preserve">“</w:t>
            </w:r>
            <w:r>
              <w:t xml:space="preserve">ASEAN</w:t>
            </w:r>
            <w:r>
              <w:t xml:space="preserve">”</w:t>
            </w:r>
          </w:p>
        </w:tc>
      </w:tr>
      <w:tr>
        <w:tc>
          <w:tcPr/>
          <w:p>
            <w:pPr>
              <w:pStyle w:val="Compact"/>
              <w:jc w:val="left"/>
            </w:pPr>
            <w:r>
              <w:rPr>
                <w:bCs/>
                <w:b/>
              </w:rPr>
              <w:t xml:space="preserve">Annual reports</w:t>
            </w:r>
          </w:p>
        </w:tc>
        <w:tc>
          <w:tcPr/>
          <w:p>
            <w:pPr>
              <w:pStyle w:val="Compact"/>
              <w:jc w:val="left"/>
            </w:pPr>
            <w:r>
              <w:t xml:space="preserve">Published M&amp;E reports</w:t>
            </w:r>
          </w:p>
        </w:tc>
        <w:tc>
          <w:tcPr/>
          <w:p>
            <w:pPr>
              <w:pStyle w:val="Compact"/>
              <w:jc w:val="left"/>
            </w:pPr>
            <w:r>
              <w:t xml:space="preserve">None publicly available</w:t>
            </w:r>
          </w:p>
        </w:tc>
      </w:tr>
      <w:tr>
        <w:tc>
          <w:tcPr/>
          <w:p>
            <w:pPr>
              <w:pStyle w:val="Compact"/>
              <w:jc w:val="left"/>
            </w:pPr>
            <w:r>
              <w:rPr>
                <w:bCs/>
                <w:b/>
              </w:rPr>
              <w:t xml:space="preserve">Financial transparency</w:t>
            </w:r>
          </w:p>
        </w:tc>
        <w:tc>
          <w:tcPr/>
          <w:p>
            <w:pPr>
              <w:pStyle w:val="Compact"/>
              <w:jc w:val="left"/>
            </w:pPr>
            <w:r>
              <w:t xml:space="preserve">Multi-donor funding disclosed</w:t>
            </w:r>
          </w:p>
        </w:tc>
        <w:tc>
          <w:tcPr/>
          <w:p>
            <w:pPr>
              <w:pStyle w:val="Compact"/>
              <w:jc w:val="left"/>
            </w:pPr>
            <w:r>
              <w:t xml:space="preserve">Zero financial disclosure</w:t>
            </w:r>
          </w:p>
        </w:tc>
      </w:tr>
      <w:tr>
        <w:tc>
          <w:tcPr/>
          <w:p>
            <w:pPr>
              <w:pStyle w:val="Compact"/>
              <w:jc w:val="left"/>
            </w:pPr>
            <w:r>
              <w:rPr>
                <w:bCs/>
                <w:b/>
              </w:rPr>
              <w:t xml:space="preserve">Staff</w:t>
            </w:r>
          </w:p>
        </w:tc>
        <w:tc>
          <w:tcPr/>
          <w:p>
            <w:pPr>
              <w:pStyle w:val="Compact"/>
              <w:jc w:val="left"/>
            </w:pPr>
            <w:r>
              <w:t xml:space="preserve">ASEAN Secretariat + Centre for Liveable Cities</w:t>
            </w:r>
          </w:p>
        </w:tc>
        <w:tc>
          <w:tcPr/>
          <w:p>
            <w:pPr>
              <w:pStyle w:val="Compact"/>
              <w:jc w:val="left"/>
            </w:pPr>
            <w:r>
              <w:t xml:space="preserve">Unknown; one identifiable person</w:t>
            </w:r>
          </w:p>
        </w:tc>
      </w:tr>
      <w:tr>
        <w:tc>
          <w:tcPr/>
          <w:p>
            <w:pPr>
              <w:pStyle w:val="Compact"/>
              <w:jc w:val="left"/>
            </w:pPr>
            <w:r>
              <w:rPr>
                <w:bCs/>
                <w:b/>
              </w:rPr>
              <w:t xml:space="preserve">City selection</w:t>
            </w:r>
          </w:p>
        </w:tc>
        <w:tc>
          <w:tcPr/>
          <w:p>
            <w:pPr>
              <w:pStyle w:val="Compact"/>
              <w:jc w:val="left"/>
            </w:pPr>
            <w:r>
              <w:t xml:space="preserve">Government-nominated National Representatives</w:t>
            </w:r>
          </w:p>
        </w:tc>
        <w:tc>
          <w:tcPr/>
          <w:p>
            <w:pPr>
              <w:pStyle w:val="Compact"/>
              <w:jc w:val="left"/>
            </w:pPr>
            <w:r>
              <w:t xml:space="preserve">Self-selected partnerships</w:t>
            </w:r>
          </w:p>
        </w:tc>
      </w:tr>
      <w:tr>
        <w:tc>
          <w:tcPr/>
          <w:p>
            <w:pPr>
              <w:pStyle w:val="Compact"/>
              <w:jc w:val="left"/>
            </w:pPr>
            <w:r>
              <w:rPr>
                <w:bCs/>
                <w:b/>
              </w:rPr>
              <w:t xml:space="preserve">Registered charity</w:t>
            </w:r>
          </w:p>
        </w:tc>
        <w:tc>
          <w:tcPr/>
          <w:p>
            <w:pPr>
              <w:pStyle w:val="Compact"/>
              <w:jc w:val="left"/>
            </w:pPr>
            <w:r>
              <w:t xml:space="preserve">N/A (intergovernmental)</w:t>
            </w:r>
          </w:p>
        </w:tc>
        <w:tc>
          <w:tcPr/>
          <w:p>
            <w:pPr>
              <w:pStyle w:val="Compact"/>
              <w:jc w:val="left"/>
            </w:pPr>
            <w:r>
              <w:t xml:space="preserve">No — not registered under Charities Act</w:t>
            </w:r>
          </w:p>
        </w:tc>
      </w:tr>
      <w:tr>
        <w:tc>
          <w:tcPr/>
          <w:p>
            <w:pPr>
              <w:pStyle w:val="Compact"/>
              <w:jc w:val="left"/>
            </w:pPr>
            <w:r>
              <w:rPr>
                <w:bCs/>
                <w:b/>
              </w:rPr>
              <w:t xml:space="preserve">Wikipedia page</w:t>
            </w:r>
          </w:p>
        </w:tc>
        <w:tc>
          <w:tcPr/>
          <w:p>
            <w:pPr>
              <w:pStyle w:val="Compact"/>
              <w:jc w:val="left"/>
            </w:pPr>
            <w:r>
              <w:t xml:space="preserve">Yes (4 language versions)</w:t>
            </w:r>
          </w:p>
        </w:tc>
        <w:tc>
          <w:tcPr/>
          <w:p>
            <w:pPr>
              <w:pStyle w:val="Compact"/>
              <w:jc w:val="left"/>
            </w:pPr>
            <w:r>
              <w:t xml:space="preserve">None</w:t>
            </w:r>
          </w:p>
        </w:tc>
      </w:tr>
      <w:tr>
        <w:tc>
          <w:tcPr/>
          <w:p>
            <w:pPr>
              <w:pStyle w:val="Compact"/>
              <w:jc w:val="left"/>
            </w:pPr>
            <w:r>
              <w:rPr>
                <w:bCs/>
                <w:b/>
              </w:rPr>
              <w:t xml:space="preserve">Academic citations</w:t>
            </w:r>
          </w:p>
        </w:tc>
        <w:tc>
          <w:tcPr/>
          <w:p>
            <w:pPr>
              <w:pStyle w:val="Compact"/>
              <w:jc w:val="left"/>
            </w:pPr>
            <w:r>
              <w:t xml:space="preserve">Extensive peer-reviewed literature</w:t>
            </w:r>
          </w:p>
        </w:tc>
        <w:tc>
          <w:tcPr/>
          <w:p>
            <w:pPr>
              <w:pStyle w:val="Compact"/>
              <w:jc w:val="left"/>
            </w:pPr>
            <w:r>
              <w:t xml:space="preserve">Zero as an organization</w:t>
            </w:r>
          </w:p>
        </w:tc>
      </w:tr>
      <w:tr>
        <w:tc>
          <w:tcPr/>
          <w:p>
            <w:pPr>
              <w:pStyle w:val="Compact"/>
              <w:jc w:val="left"/>
            </w:pPr>
            <w:r>
              <w:rPr>
                <w:bCs/>
                <w:b/>
              </w:rPr>
              <w:t xml:space="preserve">Government recognition</w:t>
            </w:r>
          </w:p>
        </w:tc>
        <w:tc>
          <w:tcPr/>
          <w:p>
            <w:pPr>
              <w:pStyle w:val="Compact"/>
              <w:jc w:val="left"/>
            </w:pPr>
            <w:r>
              <w:t xml:space="preserve">Summit-level, all 10 ASEAN states</w:t>
            </w:r>
          </w:p>
        </w:tc>
        <w:tc>
          <w:tcPr/>
          <w:p>
            <w:pPr>
              <w:pStyle w:val="Compact"/>
              <w:jc w:val="left"/>
            </w:pPr>
            <w:r>
              <w:t xml:space="preserve">None from Singapore or any ASEAN government</w:t>
            </w:r>
          </w:p>
        </w:tc>
      </w:tr>
    </w:tbl>
    <w:p>
      <w:pPr>
        <w:pStyle w:val="BodyText"/>
      </w:pPr>
      <w:r>
        <w:t xml:space="preserve">ASCN is a mature intergovernmental platform with documented governance, published reports, and government-nominated members. SCN is a private company with no published financials, no identified board, and no government accreditation — yet a name so similar it can be mistaken for the entity it mirrors.</w:t>
      </w:r>
    </w:p>
    <w:p>
      <w:r>
        <w:pict>
          <v:rect style="width:0;height:1.5pt" o:hralign="center" o:hrstd="t" o:hr="t"/>
        </w:pict>
      </w:r>
    </w:p>
    <w:bookmarkEnd w:id="38"/>
    <w:bookmarkEnd w:id="39"/>
    <w:bookmarkStart w:id="50" w:name="evidence-of-deliberate-confusion"/>
    <w:p>
      <w:pPr>
        <w:pStyle w:val="Heading2"/>
      </w:pPr>
      <w:r>
        <w:t xml:space="preserve">1.2 Evidence of Deliberate Confusion</w:t>
      </w:r>
    </w:p>
    <w:p>
      <w:pPr>
        <w:pStyle w:val="FirstParagraph"/>
      </w:pPr>
      <w:r>
        <w:t xml:space="preserve">Whether the name-jacking is deliberate or coincidental can be assessed by examining SCN’s conduct after incorporation. A legitimately independent organization with an accidentally similar name would presumably clarify the distinction. The evidence shows the opposite.</w:t>
      </w:r>
    </w:p>
    <w:bookmarkStart w:id="42" w:name="no-disclaimer-on-scns-website"/>
    <w:p>
      <w:pPr>
        <w:pStyle w:val="Heading3"/>
      </w:pPr>
      <w:r>
        <w:t xml:space="preserve">1.2.1 No Disclaimer on SCN’s Website</w:t>
      </w:r>
    </w:p>
    <w:p>
      <w:pPr>
        <w:pStyle w:val="FirstParagraph"/>
      </w:pPr>
      <w:r>
        <w:t xml:space="preserve">A comprehensive review of SCN’s website found</w:t>
      </w:r>
      <w:r>
        <w:t xml:space="preserve"> </w:t>
      </w:r>
      <w:r>
        <w:rPr>
          <w:bCs/>
          <w:b/>
        </w:rPr>
        <w:t xml:space="preserve">no visible disclaimer</w:t>
      </w:r>
      <w:r>
        <w:t xml:space="preserve"> </w:t>
      </w:r>
      <w:r>
        <w:t xml:space="preserve">clarifying that SCN is NOT the official ASEAN Smart Cities Network — not on the homepage, About page, Partners page, or Contact page.</w:t>
      </w:r>
      <w:r>
        <w:rPr>
          <w:rStyle w:val="FootnoteReference"/>
        </w:rPr>
        <w:footnoteReference w:id="40"/>
      </w:r>
    </w:p>
    <w:p>
      <w:pPr>
        <w:pStyle w:val="BodyText"/>
      </w:pPr>
      <w:r>
        <w:t xml:space="preserve">This omission matters because the potential for confusion is obvious. SCN’s homepage prominently features</w:t>
      </w:r>
      <w:r>
        <w:t xml:space="preserve"> </w:t>
      </w:r>
      <w:r>
        <w:t xml:space="preserve">“</w:t>
      </w:r>
      <w:r>
        <w:t xml:space="preserve">5 ASEAN Nations</w:t>
      </w:r>
      <w:r>
        <w:t xml:space="preserve">”</w:t>
      </w:r>
      <w:r>
        <w:t xml:space="preserve"> </w:t>
      </w:r>
      <w:r>
        <w:t xml:space="preserve">as a key statistic. Its tagline reads</w:t>
      </w:r>
      <w:r>
        <w:t xml:space="preserve"> </w:t>
      </w:r>
      <w:r>
        <w:t xml:space="preserve">“</w:t>
      </w:r>
      <w:r>
        <w:t xml:space="preserve">Building sustainable, inclusive, and digitally secure smart cities across Southeast Asia.</w:t>
      </w:r>
      <w:r>
        <w:t xml:space="preserve">”</w:t>
      </w:r>
      <w:r>
        <w:rPr>
          <w:rStyle w:val="FootnoteReference"/>
        </w:rPr>
        <w:footnoteReference w:id="41"/>
      </w:r>
      <w:r>
        <w:t xml:space="preserve"> </w:t>
      </w:r>
      <w:r>
        <w:t xml:space="preserve">The word</w:t>
      </w:r>
      <w:r>
        <w:t xml:space="preserve"> </w:t>
      </w:r>
      <w:r>
        <w:t xml:space="preserve">“</w:t>
      </w:r>
      <w:r>
        <w:t xml:space="preserve">ASEAN</w:t>
      </w:r>
      <w:r>
        <w:t xml:space="preserve">”</w:t>
      </w:r>
      <w:r>
        <w:t xml:space="preserve"> </w:t>
      </w:r>
      <w:r>
        <w:t xml:space="preserve">is woven throughout the site’s framing. Yet nowhere does SCN state:</w:t>
      </w:r>
      <w:r>
        <w:t xml:space="preserve"> </w:t>
      </w:r>
      <w:r>
        <w:t xml:space="preserve">“</w:t>
      </w:r>
      <w:r>
        <w:t xml:space="preserve">We are a private organization. We are not the official ASEAN Smart Cities Network.</w:t>
      </w:r>
      <w:r>
        <w:t xml:space="preserve">”</w:t>
      </w:r>
    </w:p>
    <w:p>
      <w:pPr>
        <w:pStyle w:val="BodyText"/>
      </w:pPr>
      <w:r>
        <w:t xml:space="preserve">This is not accidental oversight. SCN’s website is professionally designed and regularly updated. The choice not to clarify the distinction is itself a form of messaging.</w:t>
      </w:r>
    </w:p>
    <w:bookmarkEnd w:id="42"/>
    <w:bookmarkStart w:id="44" w:name="X53a13e762bece78de629b4ef409e8641d80b2d2"/>
    <w:p>
      <w:pPr>
        <w:pStyle w:val="Heading3"/>
      </w:pPr>
      <w:r>
        <w:t xml:space="preserve">1.2.2 Academic Conflation: A Peer-Reviewed Paper Used SCN’s Name for ASCN</w:t>
      </w:r>
    </w:p>
    <w:p>
      <w:pPr>
        <w:pStyle w:val="FirstParagraph"/>
      </w:pPr>
      <w:r>
        <w:t xml:space="preserve">The confusion has penetrated academic literature. A 2022 peer-reviewed article in</w:t>
      </w:r>
      <w:r>
        <w:t xml:space="preserve"> </w:t>
      </w:r>
      <w:r>
        <w:rPr>
          <w:iCs/>
          <w:i/>
        </w:rPr>
        <w:t xml:space="preserve">Politics and Governance</w:t>
      </w:r>
      <w:r>
        <w:t xml:space="preserve"> </w:t>
      </w:r>
      <w:r>
        <w:t xml:space="preserve">by Manuel Mejido Costoya, discussing the official ASCN, lists the following keyword:</w:t>
      </w:r>
    </w:p>
    <w:p>
      <w:pPr>
        <w:pStyle w:val="BlockText"/>
      </w:pPr>
      <w:r>
        <w:t xml:space="preserve">“</w:t>
      </w:r>
      <w:r>
        <w:t xml:space="preserve">Association of Southeast Asian Nations; city-to-city partnerships; experimentalist governance; regional integration;</w:t>
      </w:r>
      <w:r>
        <w:t xml:space="preserve"> </w:t>
      </w:r>
      <w:r>
        <w:rPr>
          <w:bCs/>
          <w:b/>
        </w:rPr>
        <w:t xml:space="preserve">Smart Cities Network</w:t>
      </w:r>
      <w:r>
        <w:t xml:space="preserve">; South-South cooperation</w:t>
      </w:r>
      <w:r>
        <w:t xml:space="preserve">”</w:t>
      </w:r>
      <w:r>
        <w:rPr>
          <w:rStyle w:val="FootnoteReference"/>
        </w:rPr>
        <w:footnoteReference w:id="43"/>
      </w:r>
    </w:p>
    <w:p>
      <w:pPr>
        <w:pStyle w:val="FirstParagraph"/>
      </w:pPr>
      <w:r>
        <w:t xml:space="preserve">The keyword</w:t>
      </w:r>
      <w:r>
        <w:t xml:space="preserve"> </w:t>
      </w:r>
      <w:r>
        <w:t xml:space="preserve">“</w:t>
      </w:r>
      <w:r>
        <w:t xml:space="preserve">Smart Cities Network</w:t>
      </w:r>
      <w:r>
        <w:t xml:space="preserve">”</w:t>
      </w:r>
      <w:r>
        <w:t xml:space="preserve"> </w:t>
      </w:r>
      <w:r>
        <w:t xml:space="preserve">— without</w:t>
      </w:r>
      <w:r>
        <w:t xml:space="preserve"> </w:t>
      </w:r>
      <w:r>
        <w:t xml:space="preserve">“</w:t>
      </w:r>
      <w:r>
        <w:t xml:space="preserve">ASEAN</w:t>
      </w:r>
      <w:r>
        <w:t xml:space="preserve">”</w:t>
      </w:r>
      <w:r>
        <w:t xml:space="preserve"> </w:t>
      </w:r>
      <w:r>
        <w:t xml:space="preserve">— appears in the official bibliographic record of a paper about the intergovernmental ASCN, not about KC Tay’s private entity. The paper’s content concerns the official ASEAN initiative; the keyword uses SCN’s exact name. When academic literature conflates the two names, the risk of confusion among practitioners and officials is substantially higher.</w:t>
      </w:r>
    </w:p>
    <w:bookmarkEnd w:id="44"/>
    <w:bookmarkStart w:id="47" w:name="Xb60b0984c3b5ba9871654211ddf1a29f99b6364"/>
    <w:p>
      <w:pPr>
        <w:pStyle w:val="Heading3"/>
      </w:pPr>
      <w:r>
        <w:t xml:space="preserve">1.2.3 Media Conflation: The 2019 PRNewswire Article</w:t>
      </w:r>
    </w:p>
    <w:p>
      <w:pPr>
        <w:pStyle w:val="FirstParagraph"/>
      </w:pPr>
      <w:r>
        <w:t xml:space="preserve">On 11 March 2019, PRNewswire published an article about SCN’s</w:t>
      </w:r>
      <w:r>
        <w:t xml:space="preserve"> </w:t>
      </w:r>
      <w:r>
        <w:t xml:space="preserve">“</w:t>
      </w:r>
      <w:r>
        <w:t xml:space="preserve">Digitally Twinned Smart Cities</w:t>
      </w:r>
      <w:r>
        <w:t xml:space="preserve">”</w:t>
      </w:r>
      <w:r>
        <w:t xml:space="preserve"> </w:t>
      </w:r>
      <w:r>
        <w:t xml:space="preserve">project. The article’s opening paragraph referenced the official ASCN:</w:t>
      </w:r>
    </w:p>
    <w:p>
      <w:pPr>
        <w:pStyle w:val="BlockText"/>
      </w:pPr>
      <w:r>
        <w:t xml:space="preserve">“</w:t>
      </w:r>
      <w:r>
        <w:t xml:space="preserve">The ASEAN Economic Community Blueprint 2025 and</w:t>
      </w:r>
      <w:r>
        <w:t xml:space="preserve"> </w:t>
      </w:r>
      <w:r>
        <w:rPr>
          <w:bCs/>
          <w:b/>
        </w:rPr>
        <w:t xml:space="preserve">the ASEAN Smart Cities Network should provide the necessary framework and network</w:t>
      </w:r>
      <w:r>
        <w:t xml:space="preserve"> </w:t>
      </w:r>
      <w:r>
        <w:t xml:space="preserve">to facilitate the deep and cohesive economic integration of the ASEAN Member States.</w:t>
      </w:r>
      <w:r>
        <w:t xml:space="preserve">”</w:t>
      </w:r>
      <w:r>
        <w:rPr>
          <w:rStyle w:val="FootnoteReference"/>
        </w:rPr>
        <w:footnoteReference w:id="45"/>
      </w:r>
    </w:p>
    <w:p>
      <w:pPr>
        <w:pStyle w:val="FirstParagraph"/>
      </w:pPr>
      <w:r>
        <w:t xml:space="preserve">Having established the official framework, the article then pivoted — without any transition or clarification — to SCN’s private activity:</w:t>
      </w:r>
    </w:p>
    <w:p>
      <w:pPr>
        <w:pStyle w:val="BlockText"/>
      </w:pPr>
      <w:r>
        <w:t xml:space="preserve">“</w:t>
      </w:r>
      <w:r>
        <w:t xml:space="preserve">This pioneering concept will be shared for the first time at the</w:t>
      </w:r>
      <w:r>
        <w:t xml:space="preserve"> </w:t>
      </w:r>
      <w:r>
        <w:t xml:space="preserve">‘</w:t>
      </w:r>
      <w:r>
        <w:t xml:space="preserve">Opportunities</w:t>
      </w:r>
      <w:r>
        <w:t xml:space="preserve">’</w:t>
      </w:r>
      <w:r>
        <w:t xml:space="preserve"> </w:t>
      </w:r>
      <w:r>
        <w:t xml:space="preserve">in ASEAN Smart Cities Project (Geospatial) event on 26 March 2019 that</w:t>
      </w:r>
      <w:r>
        <w:t xml:space="preserve"> </w:t>
      </w:r>
      <w:r>
        <w:rPr>
          <w:bCs/>
          <w:b/>
        </w:rPr>
        <w:t xml:space="preserve">Smart Cities Network is co-organising</w:t>
      </w:r>
      <w:r>
        <w:t xml:space="preserve"> </w:t>
      </w:r>
      <w:r>
        <w:t xml:space="preserve">with the Singapore Business Federation and GeoWorks.</w:t>
      </w:r>
      <w:r>
        <w:t xml:space="preserve">”</w:t>
      </w:r>
      <w:r>
        <w:rPr>
          <w:rStyle w:val="FootnoteReference"/>
        </w:rPr>
        <w:footnoteReference w:id="46"/>
      </w:r>
    </w:p>
    <w:p>
      <w:pPr>
        <w:pStyle w:val="FirstParagraph"/>
      </w:pPr>
      <w:r>
        <w:t xml:space="preserve">The structure created an implicit equivalence: the official ASCN provides the framework, and SCN organizes events under that framework. There was no statement that SCN is a private entity distinct from ASCN. A reader would reasonably conclude that SCN operates within or under the official ASEAN initiative.</w:t>
      </w:r>
    </w:p>
    <w:p>
      <w:pPr>
        <w:pStyle w:val="BodyText"/>
      </w:pPr>
      <w:r>
        <w:t xml:space="preserve">PRNewswire is a major news distribution service. The conflation reached a global business audience.</w:t>
      </w:r>
    </w:p>
    <w:bookmarkEnd w:id="47"/>
    <w:bookmarkStart w:id="49" w:name="X062947e1546feb3d948b800d4076695a7174bea"/>
    <w:p>
      <w:pPr>
        <w:pStyle w:val="Heading3"/>
      </w:pPr>
      <w:r>
        <w:t xml:space="preserve">1.2.4 Co-Organizing an</w:t>
      </w:r>
      <w:r>
        <w:t xml:space="preserve"> </w:t>
      </w:r>
      <w:r>
        <w:t xml:space="preserve">“</w:t>
      </w:r>
      <w:r>
        <w:t xml:space="preserve">ASEAN Smart Cities Update</w:t>
      </w:r>
      <w:r>
        <w:t xml:space="preserve">”</w:t>
      </w:r>
      <w:r>
        <w:t xml:space="preserve"> </w:t>
      </w:r>
      <w:r>
        <w:t xml:space="preserve">with a Government Official</w:t>
      </w:r>
    </w:p>
    <w:p>
      <w:pPr>
        <w:pStyle w:val="FirstParagraph"/>
      </w:pPr>
      <w:r>
        <w:t xml:space="preserve">One of the most striking pieces of evidence is SCN’s co-organization of an event titled</w:t>
      </w:r>
      <w:r>
        <w:t xml:space="preserve"> </w:t>
      </w:r>
      <w:r>
        <w:t xml:space="preserve">“</w:t>
      </w:r>
      <w:r>
        <w:t xml:space="preserve">ASEAN Smart Cities Update</w:t>
      </w:r>
      <w:r>
        <w:t xml:space="preserve">”</w:t>
      </w:r>
      <w:r>
        <w:t xml:space="preserve"> </w:t>
      </w:r>
      <w:r>
        <w:t xml:space="preserve">in January 2020. According to an ERIA presentation by KC Tay:</w:t>
      </w:r>
    </w:p>
    <w:p>
      <w:pPr>
        <w:pStyle w:val="BlockText"/>
      </w:pPr>
      <w:r>
        <w:t xml:space="preserve">“</w:t>
      </w:r>
      <w:r>
        <w:t xml:space="preserve">Sharing by Tham Borg Tsien from the Singapore Ministry of Foreign Affairs (MFA) on 13th Jan 2020 at the</w:t>
      </w:r>
      <w:r>
        <w:t xml:space="preserve"> </w:t>
      </w:r>
      <w:r>
        <w:rPr>
          <w:bCs/>
          <w:b/>
        </w:rPr>
        <w:t xml:space="preserve">ASEAN Smart Cities Update event in Singapore co-organized by the Singapore Business Federation and Smart Cities Network</w:t>
      </w:r>
      <w:r>
        <w:t xml:space="preserve">.</w:t>
      </w:r>
      <w:r>
        <w:t xml:space="preserve">”</w:t>
      </w:r>
      <w:r>
        <w:rPr>
          <w:rStyle w:val="FootnoteReference"/>
        </w:rPr>
        <w:footnoteReference w:id="48"/>
      </w:r>
    </w:p>
    <w:p>
      <w:pPr>
        <w:pStyle w:val="FirstParagraph"/>
      </w:pPr>
      <w:r>
        <w:t xml:space="preserve">This matters on multiple levels. The event title directly referenced the official ASEAN initiative. SCN co-organized it with the Singapore Business Federation, a statutory chamber with government-linked credibility. A Singapore Ministry of Foreign Affairs official spoke, lending the appearance of official sanction. SCN’s role as</w:t>
      </w:r>
      <w:r>
        <w:t xml:space="preserve"> </w:t>
      </w:r>
      <w:r>
        <w:t xml:space="preserve">“</w:t>
      </w:r>
      <w:r>
        <w:t xml:space="preserve">co-organizer</w:t>
      </w:r>
      <w:r>
        <w:t xml:space="preserve">”</w:t>
      </w:r>
      <w:r>
        <w:t xml:space="preserve"> </w:t>
      </w:r>
      <w:r>
        <w:t xml:space="preserve">positioned it as an institutional partner in ASCN-related programming — with no disclaimer that SCN was a private company, not the official ASCN.</w:t>
      </w:r>
    </w:p>
    <w:p>
      <w:r>
        <w:pict>
          <v:rect style="width:0;height:1.5pt" o:hralign="center" o:hrstd="t" o:hr="t"/>
        </w:pict>
      </w:r>
    </w:p>
    <w:bookmarkEnd w:id="49"/>
    <w:bookmarkEnd w:id="50"/>
    <w:bookmarkStart w:id="59" w:name="kc-tays-dual-positioning"/>
    <w:p>
      <w:pPr>
        <w:pStyle w:val="Heading2"/>
      </w:pPr>
      <w:r>
        <w:t xml:space="preserve">1.3 KC Tay’s Dual Positioning</w:t>
      </w:r>
    </w:p>
    <w:bookmarkStart w:id="52" w:name="X187bbf9ce508c8aea07754c175ace2525e8f79d"/>
    <w:p>
      <w:pPr>
        <w:pStyle w:val="Heading3"/>
      </w:pPr>
      <w:r>
        <w:t xml:space="preserve">1.3.1 Participating in Legitimate ASCN-Related Events</w:t>
      </w:r>
    </w:p>
    <w:p>
      <w:pPr>
        <w:pStyle w:val="FirstParagraph"/>
      </w:pPr>
      <w:r>
        <w:t xml:space="preserve">In July 2021, Tay presented at a workshop titled</w:t>
      </w:r>
      <w:r>
        <w:t xml:space="preserve"> </w:t>
      </w:r>
      <w:r>
        <w:t xml:space="preserve">“</w:t>
      </w:r>
      <w:r>
        <w:t xml:space="preserve">Digital Twin — Digital Connectivity for Smart Cities</w:t>
      </w:r>
      <w:r>
        <w:t xml:space="preserve">”</w:t>
      </w:r>
      <w:r>
        <w:t xml:space="preserve"> </w:t>
      </w:r>
      <w:r>
        <w:t xml:space="preserve">organized in collaboration with the ASEAN Secretariat. The agenda shows:</w:t>
      </w:r>
    </w:p>
    <w:p>
      <w:pPr>
        <w:pStyle w:val="BlockText"/>
      </w:pPr>
      <w:r>
        <w:t xml:space="preserve">“</w:t>
      </w:r>
      <w:r>
        <w:t xml:space="preserve">Welcome by the</w:t>
      </w:r>
      <w:r>
        <w:t xml:space="preserve"> </w:t>
      </w:r>
      <w:r>
        <w:rPr>
          <w:bCs/>
          <w:b/>
        </w:rPr>
        <w:t xml:space="preserve">ASEAN Secretariat</w:t>
      </w:r>
      <w:r>
        <w:t xml:space="preserve"> </w:t>
      </w:r>
      <w:r>
        <w:t xml:space="preserve">— Lim Chze Cheen</w:t>
      </w:r>
      <w:r>
        <w:t xml:space="preserve">”</w:t>
      </w:r>
      <w:r>
        <w:t xml:space="preserve"> </w:t>
      </w:r>
      <w:r>
        <w:t xml:space="preserve">followed by</w:t>
      </w:r>
      <w:r>
        <w:t xml:space="preserve"> </w:t>
      </w:r>
      <w:r>
        <w:t xml:space="preserve">“</w:t>
      </w:r>
      <w:r>
        <w:t xml:space="preserve">Introduction and Global Trends —</w:t>
      </w:r>
      <w:r>
        <w:t xml:space="preserve"> </w:t>
      </w:r>
      <w:r>
        <w:rPr>
          <w:bCs/>
          <w:b/>
        </w:rPr>
        <w:t xml:space="preserve">Tay Kok Chin</w:t>
      </w:r>
      <w:r>
        <w:t xml:space="preserve">”</w:t>
      </w:r>
      <w:r>
        <w:rPr>
          <w:rStyle w:val="FootnoteReference"/>
        </w:rPr>
        <w:footnoteReference w:id="51"/>
      </w:r>
    </w:p>
    <w:p>
      <w:pPr>
        <w:pStyle w:val="FirstParagraph"/>
      </w:pPr>
      <w:r>
        <w:t xml:space="preserve">Tay was presented alongside ASEAN Secretariat officials at an ASCN-adjacent event, listed as</w:t>
      </w:r>
      <w:r>
        <w:t xml:space="preserve"> </w:t>
      </w:r>
      <w:r>
        <w:t xml:space="preserve">“</w:t>
      </w:r>
      <w:r>
        <w:t xml:space="preserve">Chairman, Smart Cities Network.</w:t>
      </w:r>
      <w:r>
        <w:t xml:space="preserve">”</w:t>
      </w:r>
      <w:r>
        <w:t xml:space="preserve"> </w:t>
      </w:r>
      <w:r>
        <w:t xml:space="preserve">To an audience of officials and city representatives, this framing would suggest SCN was affiliated with the ASEAN Secretariat — neither of which is true. No evidence suggests Tay clarified the distinction.</w:t>
      </w:r>
    </w:p>
    <w:bookmarkEnd w:id="52"/>
    <w:bookmarkStart w:id="55" w:name="the-triple-naming-confusion"/>
    <w:p>
      <w:pPr>
        <w:pStyle w:val="Heading3"/>
      </w:pPr>
      <w:r>
        <w:t xml:space="preserve">1.3.2 The Triple Naming Confusion</w:t>
      </w:r>
    </w:p>
    <w:p>
      <w:pPr>
        <w:pStyle w:val="FirstParagraph"/>
      </w:pPr>
      <w:r>
        <w:t xml:space="preserve">KC Tay’s simultaneous leadership roles create a layered ambiguity that goes beyond the ASCN-SCN overlap. His standard bio lists:</w:t>
      </w:r>
    </w:p>
    <w:p>
      <w:pPr>
        <w:numPr>
          <w:ilvl w:val="0"/>
          <w:numId w:val="1001"/>
        </w:numPr>
        <w:pStyle w:val="Compact"/>
      </w:pPr>
      <w:r>
        <w:rPr>
          <w:bCs/>
          <w:b/>
        </w:rPr>
        <w:t xml:space="preserve">“</w:t>
      </w:r>
      <w:r>
        <w:rPr>
          <w:bCs/>
          <w:b/>
        </w:rPr>
        <w:t xml:space="preserve">Chairman, Smart Cities Network</w:t>
      </w:r>
      <w:r>
        <w:rPr>
          <w:bCs/>
          <w:b/>
        </w:rPr>
        <w:t xml:space="preserve">”</w:t>
      </w:r>
      <w:r>
        <w:t xml:space="preserve"> </w:t>
      </w:r>
      <w:r>
        <w:t xml:space="preserve">(SCN — the private entity)</w:t>
      </w:r>
    </w:p>
    <w:p>
      <w:pPr>
        <w:numPr>
          <w:ilvl w:val="0"/>
          <w:numId w:val="1001"/>
        </w:numPr>
        <w:pStyle w:val="Compact"/>
      </w:pPr>
      <w:r>
        <w:rPr>
          <w:bCs/>
          <w:b/>
        </w:rPr>
        <w:t xml:space="preserve">“</w:t>
      </w:r>
      <w:r>
        <w:rPr>
          <w:bCs/>
          <w:b/>
        </w:rPr>
        <w:t xml:space="preserve">Executive Director (ASEAN), Smart Cities Council</w:t>
      </w:r>
      <w:r>
        <w:rPr>
          <w:bCs/>
          <w:b/>
        </w:rPr>
        <w:t xml:space="preserve">”</w:t>
      </w:r>
      <w:r>
        <w:t xml:space="preserve"> </w:t>
      </w:r>
      <w:r>
        <w:t xml:space="preserve">(SCC — a separate global private organization)</w:t>
      </w:r>
    </w:p>
    <w:p>
      <w:pPr>
        <w:numPr>
          <w:ilvl w:val="0"/>
          <w:numId w:val="1001"/>
        </w:numPr>
        <w:pStyle w:val="Compact"/>
      </w:pPr>
      <w:r>
        <w:rPr>
          <w:bCs/>
          <w:b/>
        </w:rPr>
        <w:t xml:space="preserve">“</w:t>
      </w:r>
      <w:r>
        <w:rPr>
          <w:bCs/>
          <w:b/>
        </w:rPr>
        <w:t xml:space="preserve">Smart City Advisor, Philippines Department of Science and Technology</w:t>
      </w:r>
      <w:r>
        <w:rPr>
          <w:bCs/>
          <w:b/>
        </w:rPr>
        <w:t xml:space="preserve">”</w:t>
      </w:r>
      <w:r>
        <w:t xml:space="preserve"> </w:t>
      </w:r>
      <w:r>
        <w:t xml:space="preserve">(government advisory role)</w:t>
      </w:r>
    </w:p>
    <w:p>
      <w:pPr>
        <w:pStyle w:val="FirstParagraph"/>
      </w:pPr>
      <w:r>
        <w:t xml:space="preserve">This is a</w:t>
      </w:r>
      <w:r>
        <w:t xml:space="preserve"> </w:t>
      </w:r>
      <w:r>
        <w:rPr>
          <w:bCs/>
          <w:b/>
        </w:rPr>
        <w:t xml:space="preserve">triple naming confusion</w:t>
      </w:r>
      <w:r>
        <w:t xml:space="preserve">.</w:t>
      </w:r>
      <w:r>
        <w:t xml:space="preserve"> </w:t>
      </w:r>
      <w:r>
        <w:t xml:space="preserve">“</w:t>
      </w:r>
      <w:r>
        <w:t xml:space="preserve">Smart Cities Network</w:t>
      </w:r>
      <w:r>
        <w:t xml:space="preserve">”</w:t>
      </w:r>
      <w:r>
        <w:t xml:space="preserve"> </w:t>
      </w:r>
      <w:r>
        <w:t xml:space="preserve">(SCN) sounds like</w:t>
      </w:r>
      <w:r>
        <w:t xml:space="preserve"> </w:t>
      </w:r>
      <w:r>
        <w:t xml:space="preserve">“</w:t>
      </w:r>
      <w:r>
        <w:t xml:space="preserve">ASEAN Smart Cities Network</w:t>
      </w:r>
      <w:r>
        <w:t xml:space="preserve">”</w:t>
      </w:r>
      <w:r>
        <w:t xml:space="preserve"> </w:t>
      </w:r>
      <w:r>
        <w:t xml:space="preserve">(ASCN).</w:t>
      </w:r>
      <w:r>
        <w:t xml:space="preserve"> </w:t>
      </w:r>
      <w:r>
        <w:t xml:space="preserve">“</w:t>
      </w:r>
      <w:r>
        <w:t xml:space="preserve">Smart Cities Council</w:t>
      </w:r>
      <w:r>
        <w:t xml:space="preserve">”</w:t>
      </w:r>
      <w:r>
        <w:t xml:space="preserve"> </w:t>
      </w:r>
      <w:r>
        <w:t xml:space="preserve">(SCC) sounds like both.</w:t>
      </w:r>
      <w:r>
        <w:t xml:space="preserve"> </w:t>
      </w:r>
      <w:r>
        <w:t xml:space="preserve">“</w:t>
      </w:r>
      <w:r>
        <w:t xml:space="preserve">Executive Director (ASEAN)</w:t>
      </w:r>
      <w:r>
        <w:t xml:space="preserve">”</w:t>
      </w:r>
      <w:r>
        <w:t xml:space="preserve"> </w:t>
      </w:r>
      <w:r>
        <w:t xml:space="preserve">sounds like an ASEAN Secretariat position. The three titles, used together, create an impression of institutional authority that no single verifiable role confers.</w:t>
      </w:r>
    </w:p>
    <w:p>
      <w:pPr>
        <w:pStyle w:val="BodyText"/>
      </w:pPr>
      <w:r>
        <w:t xml:space="preserve">Tay served as Executive Director (ASEAN) for Smart Cities Council from 2018 to 2024 — overlapping exactly with his chairmanship of SCN.</w:t>
      </w:r>
      <w:r>
        <w:rPr>
          <w:rStyle w:val="FootnoteReference"/>
        </w:rPr>
        <w:footnoteReference w:id="53"/>
      </w:r>
      <w:r>
        <w:t xml:space="preserve"> </w:t>
      </w:r>
      <w:r>
        <w:t xml:space="preserve">He used a Smart Cities Council email address (KC.TAY@SmartCitiesCouncil.com) for SCN business, further blurring the line between the two organizations.</w:t>
      </w:r>
      <w:r>
        <w:rPr>
          <w:rStyle w:val="FootnoteReference"/>
        </w:rPr>
        <w:footnoteReference w:id="54"/>
      </w:r>
    </w:p>
    <w:bookmarkEnd w:id="55"/>
    <w:bookmarkStart w:id="57" w:name="no-evidence-of-clarification"/>
    <w:p>
      <w:pPr>
        <w:pStyle w:val="Heading3"/>
      </w:pPr>
      <w:r>
        <w:t xml:space="preserve">1.3.3 No Evidence of Clarification</w:t>
      </w:r>
    </w:p>
    <w:p>
      <w:pPr>
        <w:pStyle w:val="FirstParagraph"/>
      </w:pPr>
      <w:r>
        <w:t xml:space="preserve">Through extensive searches across event materials, speaker bios, presentation slides, and media coverage,</w:t>
      </w:r>
      <w:r>
        <w:t xml:space="preserve"> </w:t>
      </w:r>
      <w:r>
        <w:rPr>
          <w:bCs/>
          <w:b/>
        </w:rPr>
        <w:t xml:space="preserve">no evidence was found</w:t>
      </w:r>
      <w:r>
        <w:t xml:space="preserve"> </w:t>
      </w:r>
      <w:r>
        <w:t xml:space="preserve">of KC Tay proactively clarifying that:</w:t>
      </w:r>
    </w:p>
    <w:p>
      <w:pPr>
        <w:numPr>
          <w:ilvl w:val="0"/>
          <w:numId w:val="1002"/>
        </w:numPr>
        <w:pStyle w:val="Compact"/>
      </w:pPr>
      <w:r>
        <w:t xml:space="preserve">SCN is NOT the official ASEAN Smart Cities Network</w:t>
      </w:r>
    </w:p>
    <w:p>
      <w:pPr>
        <w:numPr>
          <w:ilvl w:val="0"/>
          <w:numId w:val="1002"/>
        </w:numPr>
        <w:pStyle w:val="Compact"/>
      </w:pPr>
      <w:r>
        <w:t xml:space="preserve">SCN is a private organization unrelated to the ASEAN Secretariat</w:t>
      </w:r>
    </w:p>
    <w:p>
      <w:pPr>
        <w:numPr>
          <w:ilvl w:val="0"/>
          <w:numId w:val="1002"/>
        </w:numPr>
        <w:pStyle w:val="Compact"/>
      </w:pPr>
      <w:r>
        <w:t xml:space="preserve">The official ASCN is hosted at asean.org</w:t>
      </w:r>
    </w:p>
    <w:p>
      <w:pPr>
        <w:pStyle w:val="FirstParagraph"/>
      </w:pPr>
      <w:r>
        <w:t xml:space="preserve">In his ERIA presentation, Tay defines</w:t>
      </w:r>
      <w:r>
        <w:t xml:space="preserve"> </w:t>
      </w:r>
      <w:r>
        <w:t xml:space="preserve">“</w:t>
      </w:r>
      <w:r>
        <w:t xml:space="preserve">What is the ASEAN Smart Cities Network (ASCN)?</w:t>
      </w:r>
      <w:r>
        <w:t xml:space="preserve">”</w:t>
      </w:r>
      <w:r>
        <w:t xml:space="preserve"> </w:t>
      </w:r>
      <w:r>
        <w:t xml:space="preserve">using official ASEAN materials — without any clarification that his own organization (SCN) is entirely separate from it.</w:t>
      </w:r>
      <w:r>
        <w:rPr>
          <w:rStyle w:val="FootnoteReference"/>
        </w:rPr>
        <w:footnoteReference w:id="56"/>
      </w:r>
      <w:r>
        <w:t xml:space="preserve"> </w:t>
      </w:r>
      <w:r>
        <w:t xml:space="preserve">The effect is to present himself as an authority on ASCN while running an organization with a near-identical name, without marking the boundary between the two.</w:t>
      </w:r>
    </w:p>
    <w:bookmarkEnd w:id="57"/>
    <w:bookmarkStart w:id="58" w:name="timeline-the-orchestration-of-confusion"/>
    <w:p>
      <w:pPr>
        <w:pStyle w:val="Heading3"/>
      </w:pPr>
      <w:r>
        <w:t xml:space="preserve">1.3.4 Timeline: The Orchestration of Confusion</w:t>
      </w:r>
    </w:p>
    <w:p>
      <w:pPr>
        <w:pStyle w:val="FirstParagraph"/>
      </w:pPr>
      <w:r>
        <w:rPr>
          <w:bCs/>
          <w:b/>
        </w:rPr>
        <w:t xml:space="preserve">Table 2: Timeline — ASCN Launch and SCN Name-Jacking</w:t>
      </w:r>
    </w:p>
    <w:tbl>
      <w:tblPr>
        <w:tblStyle w:val="Table"/>
        <w:tblW w:type="pct" w:w="5000"/>
        <w:tblLook w:firstRow="1" w:lastRow="0" w:firstColumn="0" w:lastColumn="0" w:noHBand="0" w:noVBand="0" w:val="0020"/>
      </w:tblPr>
      <w:tblGrid>
        <w:gridCol w:w="1827"/>
        <w:gridCol w:w="2132"/>
        <w:gridCol w:w="3960"/>
      </w:tblGrid>
      <w:tr>
        <w:trPr>
          <w:tblHeader w:val="true"/>
        </w:trPr>
        <w:tc>
          <w:tcPr/>
          <w:p>
            <w:pPr>
              <w:pStyle w:val="Compact"/>
              <w:jc w:val="left"/>
            </w:pPr>
            <w:r>
              <w:t xml:space="preserve">Date</w:t>
            </w:r>
          </w:p>
        </w:tc>
        <w:tc>
          <w:tcPr/>
          <w:p>
            <w:pPr>
              <w:pStyle w:val="Compact"/>
              <w:jc w:val="left"/>
            </w:pPr>
            <w:r>
              <w:t xml:space="preserve">Event</w:t>
            </w:r>
          </w:p>
        </w:tc>
        <w:tc>
          <w:tcPr/>
          <w:p>
            <w:pPr>
              <w:pStyle w:val="Compact"/>
              <w:jc w:val="left"/>
            </w:pPr>
            <w:r>
              <w:t xml:space="preserve">Significance</w:t>
            </w:r>
          </w:p>
        </w:tc>
      </w:tr>
      <w:tr>
        <w:tc>
          <w:tcPr/>
          <w:p>
            <w:pPr>
              <w:pStyle w:val="Compact"/>
              <w:jc w:val="left"/>
            </w:pPr>
            <w:r>
              <w:t xml:space="preserve">28 April 2018</w:t>
            </w:r>
          </w:p>
        </w:tc>
        <w:tc>
          <w:tcPr/>
          <w:p>
            <w:pPr>
              <w:pStyle w:val="Compact"/>
              <w:jc w:val="left"/>
            </w:pPr>
            <w:r>
              <w:t xml:space="preserve">ASCN established at 32nd ASEAN Summit, Singapore</w:t>
            </w:r>
          </w:p>
        </w:tc>
        <w:tc>
          <w:tcPr/>
          <w:p>
            <w:pPr>
              <w:pStyle w:val="Compact"/>
              <w:jc w:val="left"/>
            </w:pPr>
            <w:r>
              <w:t xml:space="preserve">Official intergovernmental initiative launched with summit-level authority</w:t>
            </w:r>
          </w:p>
        </w:tc>
      </w:tr>
      <w:tr>
        <w:tc>
          <w:tcPr/>
          <w:p>
            <w:pPr>
              <w:pStyle w:val="Compact"/>
              <w:jc w:val="left"/>
            </w:pPr>
            <w:r>
              <w:t xml:space="preserve">8 July 2018</w:t>
            </w:r>
          </w:p>
        </w:tc>
        <w:tc>
          <w:tcPr/>
          <w:p>
            <w:pPr>
              <w:pStyle w:val="Compact"/>
              <w:jc w:val="left"/>
            </w:pPr>
            <w:r>
              <w:t xml:space="preserve">Inaugural ASCN Meeting held in Singapore</w:t>
            </w:r>
          </w:p>
        </w:tc>
        <w:tc>
          <w:tcPr/>
          <w:p>
            <w:pPr>
              <w:pStyle w:val="Compact"/>
              <w:jc w:val="left"/>
            </w:pPr>
            <w:r>
              <w:t xml:space="preserve">First operational meeting; ASCN gains media visibility</w:t>
            </w:r>
          </w:p>
        </w:tc>
      </w:tr>
      <w:tr>
        <w:tc>
          <w:tcPr/>
          <w:p>
            <w:pPr>
              <w:pStyle w:val="Compact"/>
              <w:jc w:val="left"/>
            </w:pPr>
            <w:r>
              <w:rPr>
                <w:bCs/>
                <w:b/>
              </w:rPr>
              <w:t xml:space="preserve">14 August 2018</w:t>
            </w:r>
          </w:p>
        </w:tc>
        <w:tc>
          <w:tcPr/>
          <w:p>
            <w:pPr>
              <w:pStyle w:val="Compact"/>
              <w:jc w:val="left"/>
            </w:pPr>
            <w:r>
              <w:rPr>
                <w:bCs/>
                <w:b/>
              </w:rPr>
              <w:t xml:space="preserve">SCN incorporated in Singapore (UEN 201827719R)</w:t>
            </w:r>
          </w:p>
        </w:tc>
        <w:tc>
          <w:tcPr/>
          <w:p>
            <w:pPr>
              <w:pStyle w:val="Compact"/>
              <w:jc w:val="left"/>
            </w:pPr>
            <w:r>
              <w:rPr>
                <w:bCs/>
                <w:b/>
              </w:rPr>
              <w:t xml:space="preserve">Exactly 108 days after ASCN launch; 37 days after inaugural meeting</w:t>
            </w:r>
          </w:p>
        </w:tc>
      </w:tr>
      <w:tr>
        <w:tc>
          <w:tcPr/>
          <w:p>
            <w:pPr>
              <w:pStyle w:val="Compact"/>
              <w:jc w:val="left"/>
            </w:pPr>
            <w:r>
              <w:t xml:space="preserve">13 November 2018</w:t>
            </w:r>
          </w:p>
        </w:tc>
        <w:tc>
          <w:tcPr/>
          <w:p>
            <w:pPr>
              <w:pStyle w:val="Compact"/>
              <w:jc w:val="left"/>
            </w:pPr>
            <w:r>
              <w:t xml:space="preserve">ASEAN Smart Cities Framework adopted at 33rd ASEAN Summit</w:t>
            </w:r>
          </w:p>
        </w:tc>
        <w:tc>
          <w:tcPr/>
          <w:p>
            <w:pPr>
              <w:pStyle w:val="Compact"/>
              <w:jc w:val="left"/>
            </w:pPr>
            <w:r>
              <w:t xml:space="preserve">ASCN gains formal governance structure</w:t>
            </w:r>
          </w:p>
        </w:tc>
      </w:tr>
      <w:tr>
        <w:tc>
          <w:tcPr/>
          <w:p>
            <w:pPr>
              <w:pStyle w:val="Compact"/>
              <w:jc w:val="left"/>
            </w:pPr>
            <w:r>
              <w:t xml:space="preserve">11 March 2019</w:t>
            </w:r>
          </w:p>
        </w:tc>
        <w:tc>
          <w:tcPr/>
          <w:p>
            <w:pPr>
              <w:pStyle w:val="Compact"/>
              <w:jc w:val="left"/>
            </w:pPr>
            <w:r>
              <w:t xml:space="preserve">PRNewswire article conflates SCN with ASCN framework</w:t>
            </w:r>
          </w:p>
        </w:tc>
        <w:tc>
          <w:tcPr/>
          <w:p>
            <w:pPr>
              <w:pStyle w:val="Compact"/>
              <w:jc w:val="left"/>
            </w:pPr>
            <w:r>
              <w:t xml:space="preserve">First documented media confusion</w:t>
            </w:r>
          </w:p>
        </w:tc>
      </w:tr>
      <w:tr>
        <w:tc>
          <w:tcPr/>
          <w:p>
            <w:pPr>
              <w:pStyle w:val="Compact"/>
              <w:jc w:val="left"/>
            </w:pPr>
            <w:r>
              <w:t xml:space="preserve">26 March 2019</w:t>
            </w:r>
          </w:p>
        </w:tc>
        <w:tc>
          <w:tcPr/>
          <w:p>
            <w:pPr>
              <w:pStyle w:val="Compact"/>
              <w:jc w:val="left"/>
            </w:pPr>
            <w:r>
              <w:t xml:space="preserve">SCN co-organizes</w:t>
            </w:r>
            <w:r>
              <w:t xml:space="preserve"> </w:t>
            </w:r>
            <w:r>
              <w:t xml:space="preserve">“</w:t>
            </w:r>
            <w:r>
              <w:t xml:space="preserve">Opportunities in ASEAN Smart Cities</w:t>
            </w:r>
            <w:r>
              <w:t xml:space="preserve">”</w:t>
            </w:r>
            <w:r>
              <w:t xml:space="preserve"> </w:t>
            </w:r>
            <w:r>
              <w:t xml:space="preserve">event</w:t>
            </w:r>
          </w:p>
        </w:tc>
        <w:tc>
          <w:tcPr/>
          <w:p>
            <w:pPr>
              <w:pStyle w:val="Compact"/>
              <w:jc w:val="left"/>
            </w:pPr>
            <w:r>
              <w:t xml:space="preserve">SCN positions itself as organizer of ASEAN-branded events</w:t>
            </w:r>
          </w:p>
        </w:tc>
      </w:tr>
      <w:tr>
        <w:tc>
          <w:tcPr/>
          <w:p>
            <w:pPr>
              <w:pStyle w:val="Compact"/>
              <w:jc w:val="left"/>
            </w:pPr>
            <w:r>
              <w:rPr>
                <w:bCs/>
                <w:b/>
              </w:rPr>
              <w:t xml:space="preserve">13 January 2020</w:t>
            </w:r>
          </w:p>
        </w:tc>
        <w:tc>
          <w:tcPr/>
          <w:p>
            <w:pPr>
              <w:pStyle w:val="Compact"/>
              <w:jc w:val="left"/>
            </w:pPr>
            <w:r>
              <w:rPr>
                <w:bCs/>
                <w:b/>
              </w:rPr>
              <w:t xml:space="preserve">SCN co-organizes</w:t>
            </w:r>
            <w:r>
              <w:rPr>
                <w:bCs/>
                <w:b/>
              </w:rPr>
              <w:t xml:space="preserve"> </w:t>
            </w:r>
            <w:r>
              <w:rPr>
                <w:bCs/>
                <w:b/>
              </w:rPr>
              <w:t xml:space="preserve">“</w:t>
            </w:r>
            <w:r>
              <w:rPr>
                <w:bCs/>
                <w:b/>
              </w:rPr>
              <w:t xml:space="preserve">ASEAN Smart Cities Update</w:t>
            </w:r>
            <w:r>
              <w:rPr>
                <w:bCs/>
                <w:b/>
              </w:rPr>
              <w:t xml:space="preserve">”</w:t>
            </w:r>
            <w:r>
              <w:rPr>
                <w:bCs/>
                <w:b/>
              </w:rPr>
              <w:t xml:space="preserve"> </w:t>
            </w:r>
            <w:r>
              <w:rPr>
                <w:bCs/>
                <w:b/>
              </w:rPr>
              <w:t xml:space="preserve">with Singapore Business Federation; MFA official speaks</w:t>
            </w:r>
          </w:p>
        </w:tc>
        <w:tc>
          <w:tcPr/>
          <w:p>
            <w:pPr>
              <w:pStyle w:val="Compact"/>
              <w:jc w:val="left"/>
            </w:pPr>
            <w:r>
              <w:rPr>
                <w:bCs/>
                <w:b/>
              </w:rPr>
              <w:t xml:space="preserve">Peak name-jacking: private entity co-hosts ASEAN-titled event with government official</w:t>
            </w:r>
          </w:p>
        </w:tc>
      </w:tr>
      <w:tr>
        <w:tc>
          <w:tcPr/>
          <w:p>
            <w:pPr>
              <w:pStyle w:val="Compact"/>
              <w:jc w:val="left"/>
            </w:pPr>
            <w:r>
              <w:t xml:space="preserve">July 2021</w:t>
            </w:r>
          </w:p>
        </w:tc>
        <w:tc>
          <w:tcPr/>
          <w:p>
            <w:pPr>
              <w:pStyle w:val="Compact"/>
              <w:jc w:val="left"/>
            </w:pPr>
            <w:r>
              <w:t xml:space="preserve">Tay presents at ASEAN Secretariat Digital Twin workshop</w:t>
            </w:r>
          </w:p>
        </w:tc>
        <w:tc>
          <w:tcPr/>
          <w:p>
            <w:pPr>
              <w:pStyle w:val="Compact"/>
              <w:jc w:val="left"/>
            </w:pPr>
            <w:r>
              <w:t xml:space="preserve">SCN chairman positioned alongside ASEAN Secretariat officials</w:t>
            </w:r>
          </w:p>
        </w:tc>
      </w:tr>
      <w:tr>
        <w:tc>
          <w:tcPr/>
          <w:p>
            <w:pPr>
              <w:pStyle w:val="Compact"/>
              <w:jc w:val="left"/>
            </w:pPr>
            <w:r>
              <w:t xml:space="preserve">2022</w:t>
            </w:r>
          </w:p>
        </w:tc>
        <w:tc>
          <w:tcPr/>
          <w:p>
            <w:pPr>
              <w:pStyle w:val="Compact"/>
              <w:jc w:val="left"/>
            </w:pPr>
            <w:r>
              <w:t xml:space="preserve">Peer-reviewed paper uses</w:t>
            </w:r>
            <w:r>
              <w:t xml:space="preserve"> </w:t>
            </w:r>
            <w:r>
              <w:t xml:space="preserve">“</w:t>
            </w:r>
            <w:r>
              <w:t xml:space="preserve">Smart Cities Network</w:t>
            </w:r>
            <w:r>
              <w:t xml:space="preserve">”</w:t>
            </w:r>
            <w:r>
              <w:t xml:space="preserve"> </w:t>
            </w:r>
            <w:r>
              <w:t xml:space="preserve">as keyword for ASCN</w:t>
            </w:r>
          </w:p>
        </w:tc>
        <w:tc>
          <w:tcPr/>
          <w:p>
            <w:pPr>
              <w:pStyle w:val="Compact"/>
              <w:jc w:val="left"/>
            </w:pPr>
            <w:r>
              <w:t xml:space="preserve">Academic confusion documented</w:t>
            </w:r>
          </w:p>
        </w:tc>
      </w:tr>
      <w:tr>
        <w:tc>
          <w:tcPr/>
          <w:p>
            <w:pPr>
              <w:pStyle w:val="Compact"/>
              <w:jc w:val="left"/>
            </w:pPr>
            <w:r>
              <w:t xml:space="preserve">2025</w:t>
            </w:r>
          </w:p>
        </w:tc>
        <w:tc>
          <w:tcPr/>
          <w:p>
            <w:pPr>
              <w:pStyle w:val="Compact"/>
              <w:jc w:val="left"/>
            </w:pPr>
            <w:r>
              <w:t xml:space="preserve">Cauayan City (SCN partner since 2019) joins official ASCN</w:t>
            </w:r>
          </w:p>
        </w:tc>
        <w:tc>
          <w:tcPr/>
          <w:p>
            <w:pPr>
              <w:pStyle w:val="Compact"/>
              <w:jc w:val="left"/>
            </w:pPr>
            <w:r>
              <w:t xml:space="preserve">SCN’s private pathway leads to official network membership</w:t>
            </w:r>
          </w:p>
        </w:tc>
      </w:tr>
    </w:tbl>
    <w:p>
      <w:pPr>
        <w:pStyle w:val="BodyText"/>
      </w:pPr>
      <w:r>
        <w:t xml:space="preserve">The timeline reveals a pattern of deliberate positioning. SCN was incorporated not at a random moment, but at the precise window when ASCN was gaining operational momentum — after its establishment but before its framework was fully disseminated, when media coverage was high and public understanding was still forming.</w:t>
      </w:r>
    </w:p>
    <w:p>
      <w:pPr>
        <w:pStyle w:val="BodyText"/>
      </w:pPr>
      <w:r>
        <w:t xml:space="preserve">The subsequent events all followed from this initial positioning: the PRNewswire conflation, the ASEAN-titled event co-organization, the ASEAN Secretariat workshop participation, the academic keyword confusion. SCN inserted itself into the ASCN narrative at every available opportunity, and never, in any documented instance, clarified the distinction between the private entity and the official intergovernmental network.</w:t>
      </w:r>
    </w:p>
    <w:p>
      <w:r>
        <w:pict>
          <v:rect style="width:0;height:1.5pt" o:hralign="center" o:hrstd="t" o:hr="t"/>
        </w:pict>
      </w:r>
    </w:p>
    <w:bookmarkEnd w:id="58"/>
    <w:bookmarkEnd w:id="59"/>
    <w:bookmarkStart w:id="60" w:name="conclusion"/>
    <w:p>
      <w:pPr>
        <w:pStyle w:val="Heading2"/>
      </w:pPr>
      <w:r>
        <w:t xml:space="preserve">Conclusion</w:t>
      </w:r>
    </w:p>
    <w:p>
      <w:pPr>
        <w:pStyle w:val="FirstParagraph"/>
      </w:pPr>
      <w:r>
        <w:t xml:space="preserve">The evidence that SCN deliberately creates confusion with ASCN is cumulative and compelling. The name difference is the minimum possible — one word. The incorporation timing is the maximum strategic — four months after the official launch. The website contains no clarification. The events carry ASEAN titles. The academic literature has absorbed the confusion. The chairman holds triple-layered titles that amplify the ambiguity.</w:t>
      </w:r>
    </w:p>
    <w:p>
      <w:pPr>
        <w:pStyle w:val="BodyText"/>
      </w:pPr>
      <w:r>
        <w:t xml:space="preserve">No single piece of evidence proves intent. There is no</w:t>
      </w:r>
      <w:r>
        <w:t xml:space="preserve"> </w:t>
      </w:r>
      <w:r>
        <w:t xml:space="preserve">“</w:t>
      </w:r>
      <w:r>
        <w:t xml:space="preserve">smoking gun</w:t>
      </w:r>
      <w:r>
        <w:t xml:space="preserve">”</w:t>
      </w:r>
      <w:r>
        <w:t xml:space="preserve"> </w:t>
      </w:r>
      <w:r>
        <w:t xml:space="preserve">in which KC Tay states an intent to deceive. But intent in name-jacking is rarely documented directly. It is inferred from the pattern: the precision of the timing, the minimality of the name difference, the consistency of ASEAN-centric branding, the absence of any disclaimer, and the accumulation of ASEAN-adjacent positioning. Each element, viewed alone, might be dismissed as coincidence. Viewed together, they form a coherent strategy of associative legitimacy — borrowing the authority of ASEAN’s official smart city initiative without earning it, and without ever acknowledging the debt.</w:t>
      </w:r>
    </w:p>
    <w:p>
      <w:r>
        <w:pict>
          <v:rect style="width:0;height:1.5pt" o:hralign="center" o:hrstd="t" o:hr="t"/>
        </w:pict>
      </w:r>
    </w:p>
    <w:bookmarkEnd w:id="60"/>
    <w:bookmarkStart w:id="61" w:name="notes"/>
    <w:p>
      <w:pPr>
        <w:pStyle w:val="Heading2"/>
      </w:pPr>
      <w:r>
        <w:t xml:space="preserve">Notes</w:t>
      </w:r>
    </w:p>
    <w:p>
      <w:r>
        <w:pict>
          <v:rect style="width:0;height:1.5pt" o:hralign="center" o:hrstd="t" o:hr="t"/>
        </w:pict>
      </w:r>
    </w:p>
    <w:bookmarkEnd w:id="61"/>
    <w:bookmarkStart w:id="83" w:name="Xa29db4f3c64a48c1cc5c0de012484e3dfe2894a"/>
    <w:p>
      <w:pPr>
        <w:pStyle w:val="Heading2"/>
      </w:pPr>
      <w:r>
        <w:t xml:space="preserve">2. Kok Chin Tay — Background, Credentials, and Title Fraud</w:t>
      </w:r>
    </w:p>
    <w:p>
      <w:pPr>
        <w:pStyle w:val="FirstParagraph"/>
      </w:pPr>
      <w:r>
        <w:t xml:space="preserve">Before examining the organization he built, this chapter investigates the man behind Smart Cities Network. Kok Chin Tay — who brands himself as</w:t>
      </w:r>
      <w:r>
        <w:t xml:space="preserve"> </w:t>
      </w:r>
      <w:r>
        <w:t xml:space="preserve">“</w:t>
      </w:r>
      <w:r>
        <w:t xml:space="preserve">KC Tay</w:t>
      </w:r>
      <w:r>
        <w:t xml:space="preserve">”</w:t>
      </w:r>
      <w:r>
        <w:t xml:space="preserve"> </w:t>
      </w:r>
      <w:r>
        <w:t xml:space="preserve">— presents a public CV that blends verifiable corporate experience with academic titles that collapse under scrutiny. The single most objectively verifiable misconduct in this investigation is the persistent, years-long use of</w:t>
      </w:r>
      <w:r>
        <w:t xml:space="preserve"> </w:t>
      </w:r>
      <w:r>
        <w:t xml:space="preserve">“</w:t>
      </w:r>
      <w:r>
        <w:t xml:space="preserve">Dr.</w:t>
      </w:r>
      <w:r>
        <w:t xml:space="preserve">”</w:t>
      </w:r>
      <w:r>
        <w:t xml:space="preserve"> </w:t>
      </w:r>
      <w:r>
        <w:t xml:space="preserve">and</w:t>
      </w:r>
      <w:r>
        <w:t xml:space="preserve"> </w:t>
      </w:r>
      <w:r>
        <w:t xml:space="preserve">“</w:t>
      </w:r>
      <w:r>
        <w:t xml:space="preserve">Professor</w:t>
      </w:r>
      <w:r>
        <w:t xml:space="preserve">”</w:t>
      </w:r>
      <w:r>
        <w:t xml:space="preserve"> </w:t>
      </w:r>
      <w:r>
        <w:t xml:space="preserve">titles by a man whose highest confirmed academic credential is a self-reported Master of Science degree.</w:t>
      </w:r>
    </w:p>
    <w:p>
      <w:pPr>
        <w:pStyle w:val="BodyText"/>
      </w:pPr>
      <w:r>
        <w:t xml:space="preserve">This chapter separates fact from fiction, citing primary sources throughout. The evidence suggests a deliberate strategy of title inflation that has propagated through official government channels, international development reports, and academic institutions — creating false academic authority that opens doors to advisory roles, consulting contracts, and institutional appointments across developing Southeast Asia.</w:t>
      </w:r>
    </w:p>
    <w:p>
      <w:r>
        <w:pict>
          <v:rect style="width:0;height:1.5pt" o:hralign="center" o:hrstd="t" o:hr="t"/>
        </w:pict>
      </w:r>
    </w:p>
    <w:bookmarkStart w:id="69" w:name="verified-claims"/>
    <w:p>
      <w:pPr>
        <w:pStyle w:val="Heading3"/>
      </w:pPr>
      <w:r>
        <w:t xml:space="preserve">2.1 Verified Claims</w:t>
      </w:r>
    </w:p>
    <w:p>
      <w:pPr>
        <w:pStyle w:val="FirstParagraph"/>
      </w:pPr>
      <w:r>
        <w:t xml:space="preserve">KC Tay’s professional biography is not entirely fabricated. Several core claims withstand independent verification and establish that he is a genuine figure within the ASEAN smart cities ecosystem.</w:t>
      </w:r>
    </w:p>
    <w:bookmarkStart w:id="62" w:name="Xe85a80410656e11fc7e2a4c67dedf7964b91450"/>
    <w:p>
      <w:pPr>
        <w:pStyle w:val="Heading4"/>
      </w:pPr>
      <w:r>
        <w:t xml:space="preserve">2.1.1 IBM ASEAN Leader for Smarter Planet and Smarter Buildings (2011–2013) — Confirmed</w:t>
      </w:r>
    </w:p>
    <w:p>
      <w:pPr>
        <w:pStyle w:val="FirstParagraph"/>
      </w:pPr>
      <w:r>
        <w:t xml:space="preserve">Multiple independent sources confirm Tay’s employment at IBM during 2011–2013. His e27 profile states he</w:t>
      </w:r>
      <w:r>
        <w:t xml:space="preserve"> </w:t>
      </w:r>
      <w:r>
        <w:t xml:space="preserve">“</w:t>
      </w:r>
      <w:r>
        <w:t xml:space="preserve">led such effort for IBM from 2011–2013</w:t>
      </w:r>
      <w:r>
        <w:t xml:space="preserve">”</w:t>
      </w:r>
      <w:r>
        <w:t xml:space="preserve"> </w:t>
      </w:r>
      <w:r>
        <w:t xml:space="preserve">as a</w:t>
      </w:r>
      <w:r>
        <w:t xml:space="preserve"> </w:t>
      </w:r>
      <w:r>
        <w:t xml:space="preserve">“</w:t>
      </w:r>
      <w:r>
        <w:t xml:space="preserve">leading thought leader regarding Smarter Planet, Smarter Buildings and Smarter Cities</w:t>
      </w:r>
      <w:r>
        <w:t xml:space="preserve">”</w:t>
      </w:r>
      <w:r>
        <w:t xml:space="preserve"> </w:t>
      </w:r>
      <w:r>
        <w:t xml:space="preserve">. The UK Smart Cities Mission speaker biography corroborates:</w:t>
      </w:r>
      <w:r>
        <w:t xml:space="preserve"> </w:t>
      </w:r>
      <w:r>
        <w:t xml:space="preserve">“</w:t>
      </w:r>
      <w:r>
        <w:t xml:space="preserve">He has been involved with Smart Cities since 2011 when he was with IBM Global Alliance Leader for Smarter Planet and Smarter Buildings for ASEAN</w:t>
      </w:r>
      <w:r>
        <w:t xml:space="preserve">”</w:t>
      </w:r>
      <w:r>
        <w:t xml:space="preserve"> </w:t>
      </w:r>
      <w:r>
        <w:t xml:space="preserve">. The Asia Institute of Mentoring records that he</w:t>
      </w:r>
      <w:r>
        <w:t xml:space="preserve"> </w:t>
      </w:r>
      <w:r>
        <w:t xml:space="preserve">“</w:t>
      </w:r>
      <w:r>
        <w:t xml:space="preserve">project-managed the Smarter Cities Challenge in collaboration with the Singapore government in 2012, and won the top IBM Centennial Grant Award to promote energy efficiency among schools in Singapore</w:t>
      </w:r>
      <w:r>
        <w:t xml:space="preserve">”</w:t>
      </w:r>
      <w:r>
        <w:t xml:space="preserve"> </w:t>
      </w:r>
      <w:r>
        <w:t xml:space="preserve">.</w:t>
      </w:r>
    </w:p>
    <w:bookmarkEnd w:id="62"/>
    <w:bookmarkStart w:id="63" w:name="X054e43199630d07596b26d98a0090c9e4adf010"/>
    <w:p>
      <w:pPr>
        <w:pStyle w:val="Heading4"/>
      </w:pPr>
      <w:r>
        <w:t xml:space="preserve">2.1.2 Project Managed IBM Smarter Cities Challenge Singapore 2012 — Confirmed</w:t>
      </w:r>
    </w:p>
    <w:p>
      <w:pPr>
        <w:pStyle w:val="FirstParagraph"/>
      </w:pPr>
      <w:r>
        <w:t xml:space="preserve">The IBM Smarter Cities Challenge 2012 grant recipients list, published by IBM, confirms that</w:t>
      </w:r>
      <w:r>
        <w:t xml:space="preserve"> </w:t>
      </w:r>
      <w:r>
        <w:t xml:space="preserve">“</w:t>
      </w:r>
      <w:r>
        <w:t xml:space="preserve">Jurong Lake District, Singapore</w:t>
      </w:r>
      <w:r>
        <w:t xml:space="preserve">”</w:t>
      </w:r>
      <w:r>
        <w:t xml:space="preserve"> </w:t>
      </w:r>
      <w:r>
        <w:t xml:space="preserve">was one of 33 cities selected globally . Yahoo Singapore independently confirmed the grant . Tay’s claimed project management role is consistently attributed across multiple speaker bios from unrelated event organizers.</w:t>
      </w:r>
    </w:p>
    <w:bookmarkEnd w:id="63"/>
    <w:bookmarkStart w:id="64" w:name="Xca3b216e9aee0c98b85955d52ace37c57e51f5d"/>
    <w:p>
      <w:pPr>
        <w:pStyle w:val="Heading4"/>
      </w:pPr>
      <w:r>
        <w:t xml:space="preserve">2.1.3 Founding Chairman of SCN (2018) — Confirmed via ACRA</w:t>
      </w:r>
    </w:p>
    <w:p>
      <w:pPr>
        <w:pStyle w:val="FirstParagraph"/>
      </w:pPr>
      <w:r>
        <w:t xml:space="preserve">Smart Cities Network Ltd is registered with Singapore’s Accounting and Corporate Regulatory Authority under UEN 201827719R, incorporated on 14 August 2018 . Tay is listed as Chairman on SCN’s own website and consistently identified as</w:t>
      </w:r>
      <w:r>
        <w:t xml:space="preserve"> </w:t>
      </w:r>
      <w:r>
        <w:t xml:space="preserve">“</w:t>
      </w:r>
      <w:r>
        <w:t xml:space="preserve">Founding Chairman</w:t>
      </w:r>
      <w:r>
        <w:t xml:space="preserve">”</w:t>
      </w:r>
      <w:r>
        <w:t xml:space="preserve"> </w:t>
      </w:r>
      <w:r>
        <w:t xml:space="preserve">across event listings from 2019 through 2025.</w:t>
      </w:r>
    </w:p>
    <w:bookmarkEnd w:id="64"/>
    <w:bookmarkStart w:id="65" w:name="X5c341561c386d48977d6ce3754881522aff8fb8"/>
    <w:p>
      <w:pPr>
        <w:pStyle w:val="Heading4"/>
      </w:pPr>
      <w:r>
        <w:t xml:space="preserve">2.1.4 Executive Director (ASEAN) for Smart Cities Council — Confirmed</w:t>
      </w:r>
    </w:p>
    <w:p>
      <w:pPr>
        <w:pStyle w:val="FirstParagraph"/>
      </w:pPr>
      <w:r>
        <w:t xml:space="preserve">Despite the current Smart Cities Council website having a broken</w:t>
      </w:r>
      <w:r>
        <w:t xml:space="preserve"> </w:t>
      </w:r>
      <w:r>
        <w:t xml:space="preserve">“</w:t>
      </w:r>
      <w:r>
        <w:t xml:space="preserve">Our Leaders</w:t>
      </w:r>
      <w:r>
        <w:t xml:space="preserve">”</w:t>
      </w:r>
      <w:r>
        <w:t xml:space="preserve"> </w:t>
      </w:r>
      <w:r>
        <w:t xml:space="preserve">page, multiple authoritative sources confirm this role. The Hong Kong Government Digital Economy Summit (2024) official press release lists</w:t>
      </w:r>
      <w:r>
        <w:t xml:space="preserve"> </w:t>
      </w:r>
      <w:r>
        <w:t xml:space="preserve">“</w:t>
      </w:r>
      <w:r>
        <w:t xml:space="preserve">ASEAN Executive Director of Smart Cities Council, Mr Tay Kok-Chin</w:t>
      </w:r>
      <w:r>
        <w:t xml:space="preserve">”</w:t>
      </w:r>
      <w:r>
        <w:t xml:space="preserve"> </w:t>
      </w:r>
      <w:r>
        <w:t xml:space="preserve">as a keynote speaker . An official G20 policy paper — the T20 Indonesia Policy Brief (2022) — lists</w:t>
      </w:r>
      <w:r>
        <w:t xml:space="preserve"> </w:t>
      </w:r>
      <w:r>
        <w:t xml:space="preserve">“</w:t>
      </w:r>
      <w:r>
        <w:t xml:space="preserve">ASEAN Director of Smart Cities Council, the largest ecosystem of stakeholders in the world with over 600 cities in their network</w:t>
      </w:r>
      <w:r>
        <w:t xml:space="preserve">”</w:t>
      </w:r>
      <w:r>
        <w:t xml:space="preserve"> </w:t>
      </w:r>
      <w:r>
        <w:t xml:space="preserve">. The T20 Communiqué (2022) lists him as contributing author . Additional confirmation comes from Beca Singapore , ASECH Indonesia , and the Baguio Herald Express .</w:t>
      </w:r>
    </w:p>
    <w:bookmarkEnd w:id="65"/>
    <w:bookmarkStart w:id="66" w:name="X958305319a6c95fc1f05efa32dd856765c919bc"/>
    <w:p>
      <w:pPr>
        <w:pStyle w:val="Heading4"/>
      </w:pPr>
      <w:r>
        <w:t xml:space="preserve">2.1.5 Philippines DOST STI Ambassador (December 2021) — Confirmed</w:t>
      </w:r>
    </w:p>
    <w:p>
      <w:pPr>
        <w:pStyle w:val="FirstParagraph"/>
      </w:pPr>
      <w:r>
        <w:t xml:space="preserve">The Philippines Department of Science and Technology officially appointed Tay as a Science, Technology and Innovation (STI) Ambassador in December 2021. The DOST official website features him as a speaker at DOST events . The DOST Science and Technology Information Institute features him . The Philippines News Agency reports on his activities . The Asia Institute of Mentoring records that he was</w:t>
      </w:r>
      <w:r>
        <w:t xml:space="preserve"> </w:t>
      </w:r>
      <w:r>
        <w:t xml:space="preserve">“</w:t>
      </w:r>
      <w:r>
        <w:t xml:space="preserve">awarded the Science, Technology and Innovation (STI) Ambassador as a</w:t>
      </w:r>
      <w:r>
        <w:t xml:space="preserve"> </w:t>
      </w:r>
      <w:r>
        <w:t xml:space="preserve">‘</w:t>
      </w:r>
      <w:r>
        <w:t xml:space="preserve">prime mover</w:t>
      </w:r>
      <w:r>
        <w:t xml:space="preserve">’</w:t>
      </w:r>
      <w:r>
        <w:t xml:space="preserve"> </w:t>
      </w:r>
      <w:r>
        <w:t xml:space="preserve">by the Philippines Department of Science Technology (DOST) in Dec 2021, which launched a national movement for Smart &amp; Sustainable Cities in March 2023</w:t>
      </w:r>
      <w:r>
        <w:t xml:space="preserve">”</w:t>
      </w:r>
      <w:r>
        <w:t xml:space="preserve"> </w:t>
      </w:r>
      <w:r>
        <w:t xml:space="preserve">. The League of Cities of the Philippines references his involvement with Cauayan City workshops .</w:t>
      </w:r>
    </w:p>
    <w:bookmarkEnd w:id="66"/>
    <w:bookmarkStart w:id="67" w:name="X1fd4a4a89380c787009e9974175e832e3be9823"/>
    <w:p>
      <w:pPr>
        <w:pStyle w:val="Heading4"/>
      </w:pPr>
      <w:r>
        <w:t xml:space="preserve">2.1.6 MSc Computer Science from City University London — Self-Stated</w:t>
      </w:r>
    </w:p>
    <w:p>
      <w:pPr>
        <w:pStyle w:val="FirstParagraph"/>
      </w:pPr>
      <w:r>
        <w:t xml:space="preserve">On the National University of Management (NUM) Cambodia faculty page, Tay himself states:</w:t>
      </w:r>
      <w:r>
        <w:t xml:space="preserve"> </w:t>
      </w:r>
      <w:r>
        <w:t xml:space="preserve">“</w:t>
      </w:r>
      <w:r>
        <w:t xml:space="preserve">I hold the Degree of Master of Science in Computer Science from the City University, London, United Kingdom</w:t>
      </w:r>
      <w:r>
        <w:t xml:space="preserve">”</w:t>
      </w:r>
      <w:r>
        <w:t xml:space="preserve"> </w:t>
      </w:r>
      <w:r>
        <w:t xml:space="preserve">. This claim appears consistently across self-authored biographies</w:t>
      </w:r>
      <w:r>
        <w:t xml:space="preserve"> </w:t>
      </w:r>
      <w:r>
        <w:rPr>
          <w:vertAlign w:val="superscript"/>
        </w:rPr>
        <w:t xml:space="preserve">1</w:t>
      </w:r>
      <w:r>
        <w:t xml:space="preserve"> </w:t>
      </w:r>
      <w:r>
        <w:rPr>
          <w:vertAlign w:val="superscript"/>
        </w:rPr>
        <w:t xml:space="preserve">2</w:t>
      </w:r>
      <w:r>
        <w:t xml:space="preserve">but has</w:t>
      </w:r>
      <w:r>
        <w:t xml:space="preserve"> </w:t>
      </w:r>
      <w:r>
        <w:rPr>
          <w:bCs/>
          <w:b/>
        </w:rPr>
        <w:t xml:space="preserve">not been independently verified</w:t>
      </w:r>
      <w:r>
        <w:t xml:space="preserve"> </w:t>
      </w:r>
      <w:r>
        <w:t xml:space="preserve">through the university’s alumni records. Notably, Tay</w:t>
      </w:r>
      <w:r>
        <w:t xml:space="preserve"> </w:t>
      </w:r>
      <w:r>
        <w:rPr>
          <w:bCs/>
          <w:b/>
        </w:rPr>
        <w:t xml:space="preserve">never claims a PhD</w:t>
      </w:r>
      <w:r>
        <w:t xml:space="preserve"> </w:t>
      </w:r>
      <w:r>
        <w:t xml:space="preserve">in any source found — he consistently lists only this Master’s degree.</w:t>
      </w:r>
    </w:p>
    <w:bookmarkEnd w:id="67"/>
    <w:bookmarkStart w:id="68" w:name="one-ieee-academic-paper-2018-verified"/>
    <w:p>
      <w:pPr>
        <w:pStyle w:val="Heading4"/>
      </w:pPr>
      <w:r>
        <w:t xml:space="preserve">2.1.7 One IEEE Academic Paper (2018) — Verified</w:t>
      </w:r>
    </w:p>
    <w:p>
      <w:pPr>
        <w:pStyle w:val="FirstParagraph"/>
      </w:pPr>
      <w:r>
        <w:t xml:space="preserve">Tay co-authored</w:t>
      </w:r>
      <w:r>
        <w:t xml:space="preserve"> </w:t>
      </w:r>
      <w:r>
        <w:t xml:space="preserve">“</w:t>
      </w:r>
      <w:r>
        <w:t xml:space="preserve">The SMART Initiative and the Garuda Smart City Framework for the Development of Smart Cities,</w:t>
      </w:r>
      <w:r>
        <w:t xml:space="preserve">”</w:t>
      </w:r>
      <w:r>
        <w:t xml:space="preserve"> </w:t>
      </w:r>
      <w:r>
        <w:t xml:space="preserve">published in IEEE Xplore , connected to Bandung Institute of Technology, Indonesia. The paper has accumulated 71 citations per Google Scholar</w:t>
      </w:r>
      <w:r>
        <w:t xml:space="preserve"> </w:t>
      </w:r>
      <w:r>
        <w:rPr>
          <w:vertAlign w:val="superscript"/>
        </w:rPr>
        <w:t xml:space="preserve">3</w:t>
      </w:r>
      <w:r>
        <w:t xml:space="preserve">. A second publication (2020) also lists him as co-author</w:t>
      </w:r>
      <w:r>
        <w:t xml:space="preserve"> </w:t>
      </w:r>
      <w:r>
        <w:rPr>
          <w:vertAlign w:val="superscript"/>
        </w:rPr>
        <w:t xml:space="preserve">4</w:t>
      </w:r>
      <w:r>
        <w:t xml:space="preserve">. However, this limited record — two papers over seven years — is thin for someone presenting himself as a global thought leader.</w:t>
      </w:r>
    </w:p>
    <w:p>
      <w:r>
        <w:pict>
          <v:rect style="width:0;height:1.5pt" o:hralign="center" o:hrstd="t" o:hr="t"/>
        </w:pict>
      </w:r>
    </w:p>
    <w:bookmarkEnd w:id="68"/>
    <w:bookmarkEnd w:id="69"/>
    <w:bookmarkStart w:id="75" w:name="the-dr.professor-title-fraud"/>
    <w:p>
      <w:pPr>
        <w:pStyle w:val="Heading3"/>
      </w:pPr>
      <w:r>
        <w:t xml:space="preserve">2.2 The</w:t>
      </w:r>
      <w:r>
        <w:t xml:space="preserve"> </w:t>
      </w:r>
      <w:r>
        <w:t xml:space="preserve">“</w:t>
      </w:r>
      <w:r>
        <w:t xml:space="preserve">Dr./Professor</w:t>
      </w:r>
      <w:r>
        <w:t xml:space="preserve">”</w:t>
      </w:r>
      <w:r>
        <w:t xml:space="preserve"> </w:t>
      </w:r>
      <w:r>
        <w:t xml:space="preserve">Title Fraud</w:t>
      </w:r>
    </w:p>
    <w:p>
      <w:pPr>
        <w:pStyle w:val="FirstParagraph"/>
      </w:pPr>
      <w:r>
        <w:t xml:space="preserve">Despite holding only a self-reported MSc — and never claiming a PhD himself — Kok Chin Tay has been referred to as</w:t>
      </w:r>
      <w:r>
        <w:t xml:space="preserve"> </w:t>
      </w:r>
      <w:r>
        <w:t xml:space="preserve">“</w:t>
      </w:r>
      <w:r>
        <w:t xml:space="preserve">Dr.</w:t>
      </w:r>
      <w:r>
        <w:t xml:space="preserve">”</w:t>
      </w:r>
      <w:r>
        <w:t xml:space="preserve"> </w:t>
      </w:r>
      <w:r>
        <w:t xml:space="preserve">and</w:t>
      </w:r>
      <w:r>
        <w:t xml:space="preserve"> </w:t>
      </w:r>
      <w:r>
        <w:t xml:space="preserve">“</w:t>
      </w:r>
      <w:r>
        <w:t xml:space="preserve">Professor</w:t>
      </w:r>
      <w:r>
        <w:t xml:space="preserve">”</w:t>
      </w:r>
      <w:r>
        <w:t xml:space="preserve"> </w:t>
      </w:r>
      <w:r>
        <w:t xml:space="preserve">across official government publications, international development reports, and academic institutional websites for years. He has not corrected these titles.</w:t>
      </w:r>
    </w:p>
    <w:bookmarkStart w:id="70" w:name="X7a050a9e24365c3348c585d38adeca3df751086"/>
    <w:p>
      <w:pPr>
        <w:pStyle w:val="Heading4"/>
      </w:pPr>
      <w:r>
        <w:t xml:space="preserve">2.2.1 Philippine DOST and PNA Call Him</w:t>
      </w:r>
      <w:r>
        <w:t xml:space="preserve"> </w:t>
      </w:r>
      <w:r>
        <w:t xml:space="preserve">“</w:t>
      </w:r>
      <w:r>
        <w:t xml:space="preserve">Dr. Kok Chin Tay</w:t>
      </w:r>
      <w:r>
        <w:t xml:space="preserve">”</w:t>
      </w:r>
      <w:r>
        <w:t xml:space="preserve"> </w:t>
      </w:r>
      <w:r>
        <w:t xml:space="preserve">— But NO PhD Exists</w:t>
      </w:r>
    </w:p>
    <w:p>
      <w:pPr>
        <w:pStyle w:val="FirstParagraph"/>
      </w:pPr>
      <w:r>
        <w:t xml:space="preserve">The Philippines Department of Science and Technology — a national government agency — publishes material referring to</w:t>
      </w:r>
      <w:r>
        <w:t xml:space="preserve"> </w:t>
      </w:r>
      <w:r>
        <w:t xml:space="preserve">“</w:t>
      </w:r>
      <w:r>
        <w:t xml:space="preserve">Dr. Kok Chin Tay, Chair of the Smart Cities Network and Executive Director (ASEAN) of the Smart Cities Council</w:t>
      </w:r>
      <w:r>
        <w:t xml:space="preserve">”</w:t>
      </w:r>
      <w:r>
        <w:t xml:space="preserve"> </w:t>
      </w:r>
      <w:r>
        <w:t xml:space="preserve">. The Philippines News Agency, the government’s official news wire, similarly reports on</w:t>
      </w:r>
      <w:r>
        <w:t xml:space="preserve"> </w:t>
      </w:r>
      <w:r>
        <w:t xml:space="preserve">“</w:t>
      </w:r>
      <w:r>
        <w:t xml:space="preserve">Dr. Kok Chin Tay, SCN chair and executive director of the ASEAN Smart Cities Council</w:t>
      </w:r>
      <w:r>
        <w:t xml:space="preserve">”</w:t>
      </w:r>
      <w:r>
        <w:t xml:space="preserve"> </w:t>
      </w:r>
      <w:r>
        <w:t xml:space="preserve">. The DOST Science and Technology Information Institute features him under the same title .</w:t>
      </w:r>
    </w:p>
    <w:p>
      <w:pPr>
        <w:pStyle w:val="BodyText"/>
      </w:pPr>
      <w:r>
        <w:t xml:space="preserve">These are not casual event listings. These are official publications of the Philippine government. There are two possibilities, and neither is flattering:</w:t>
      </w:r>
    </w:p>
    <w:p>
      <w:pPr>
        <w:numPr>
          <w:ilvl w:val="0"/>
          <w:numId w:val="1003"/>
        </w:numPr>
        <w:pStyle w:val="Compact"/>
      </w:pPr>
      <w:r>
        <w:rPr>
          <w:bCs/>
          <w:b/>
        </w:rPr>
        <w:t xml:space="preserve">Scenario A</w:t>
      </w:r>
      <w:r>
        <w:t xml:space="preserve">: KC Tay presented himself as</w:t>
      </w:r>
      <w:r>
        <w:t xml:space="preserve"> </w:t>
      </w:r>
      <w:r>
        <w:t xml:space="preserve">“</w:t>
      </w:r>
      <w:r>
        <w:t xml:space="preserve">Dr.</w:t>
      </w:r>
      <w:r>
        <w:t xml:space="preserve">”</w:t>
      </w:r>
      <w:r>
        <w:t xml:space="preserve"> </w:t>
      </w:r>
      <w:r>
        <w:t xml:space="preserve">to Philippine officials, who recorded it in good faith. This would represent deliberate misrepresentation.</w:t>
      </w:r>
    </w:p>
    <w:p>
      <w:pPr>
        <w:numPr>
          <w:ilvl w:val="0"/>
          <w:numId w:val="1003"/>
        </w:numPr>
        <w:pStyle w:val="Compact"/>
      </w:pPr>
      <w:r>
        <w:rPr>
          <w:bCs/>
          <w:b/>
        </w:rPr>
        <w:t xml:space="preserve">Scenario B</w:t>
      </w:r>
      <w:r>
        <w:t xml:space="preserve">: Philippine officials assumed the title independently, and Tay never corrected it. This would represent willful negligence — benefiting from false credentials he knows are incorrect.</w:t>
      </w:r>
    </w:p>
    <w:p>
      <w:pPr>
        <w:pStyle w:val="FirstParagraph"/>
      </w:pPr>
      <w:r>
        <w:t xml:space="preserve">Either way, the title is false. No PhD has been found in any database. His own biographies list only an MSc .</w:t>
      </w:r>
    </w:p>
    <w:bookmarkEnd w:id="70"/>
    <w:bookmarkStart w:id="71" w:name="X80467496eab34d2d3ac222adf96f63978437b2c"/>
    <w:p>
      <w:pPr>
        <w:pStyle w:val="Heading4"/>
      </w:pPr>
      <w:r>
        <w:t xml:space="preserve">2.2.2 NUM Cambodia Lists Him as</w:t>
      </w:r>
      <w:r>
        <w:t xml:space="preserve"> </w:t>
      </w:r>
      <w:r>
        <w:t xml:space="preserve">“</w:t>
      </w:r>
      <w:r>
        <w:t xml:space="preserve">Professor</w:t>
      </w:r>
      <w:r>
        <w:t xml:space="preserve">”</w:t>
      </w:r>
      <w:r>
        <w:t xml:space="preserve"> </w:t>
      </w:r>
      <w:r>
        <w:t xml:space="preserve">— An MSc Does Not Qualify for Full Professorship</w:t>
      </w:r>
    </w:p>
    <w:p>
      <w:pPr>
        <w:pStyle w:val="FirstParagraph"/>
      </w:pPr>
      <w:r>
        <w:t xml:space="preserve">The National University of Management (NUM) in Cambodia lists</w:t>
      </w:r>
      <w:r>
        <w:t xml:space="preserve"> </w:t>
      </w:r>
      <w:r>
        <w:t xml:space="preserve">“</w:t>
      </w:r>
      <w:r>
        <w:t xml:space="preserve">Professor Kok Chin (KC) Tay</w:t>
      </w:r>
      <w:r>
        <w:t xml:space="preserve">”</w:t>
      </w:r>
      <w:r>
        <w:t xml:space="preserve"> </w:t>
      </w:r>
      <w:r>
        <w:t xml:space="preserve">on its Faculty of Digital Economy page and features him in its MSc in Digital Economy prospectus</w:t>
      </w:r>
      <w:r>
        <w:t xml:space="preserve"> </w:t>
      </w:r>
      <w:r>
        <w:rPr>
          <w:vertAlign w:val="superscript"/>
        </w:rPr>
        <w:t xml:space="preserve">1</w:t>
      </w:r>
      <w:r>
        <w:t xml:space="preserve">, listing him as an</w:t>
      </w:r>
      <w:r>
        <w:t xml:space="preserve"> </w:t>
      </w:r>
      <w:r>
        <w:t xml:space="preserve">“</w:t>
      </w:r>
      <w:r>
        <w:t xml:space="preserve">adjunct professor</w:t>
      </w:r>
      <w:r>
        <w:t xml:space="preserve">”</w:t>
      </w:r>
      <w:r>
        <w:t xml:space="preserve"> </w:t>
      </w:r>
      <w:r>
        <w:t xml:space="preserve">teaching</w:t>
      </w:r>
      <w:r>
        <w:t xml:space="preserve"> </w:t>
      </w:r>
      <w:r>
        <w:t xml:space="preserve">“</w:t>
      </w:r>
      <w:r>
        <w:t xml:space="preserve">Smart City System and Management</w:t>
      </w:r>
      <w:r>
        <w:t xml:space="preserve">”</w:t>
      </w:r>
      <w:r>
        <w:t xml:space="preserve"> </w:t>
      </w:r>
      <w:r>
        <w:rPr>
          <w:vertAlign w:val="superscript"/>
        </w:rPr>
        <w:t xml:space="preserve">5</w:t>
      </w:r>
      <w:r>
        <w:t xml:space="preserve">.</w:t>
      </w:r>
    </w:p>
    <w:p>
      <w:pPr>
        <w:pStyle w:val="BodyText"/>
      </w:pPr>
      <w:r>
        <w:t xml:space="preserve">In legitimate academic systems worldwide, the rank of</w:t>
      </w:r>
      <w:r>
        <w:t xml:space="preserve"> </w:t>
      </w:r>
      <w:r>
        <w:t xml:space="preserve">“</w:t>
      </w:r>
      <w:r>
        <w:t xml:space="preserve">Professor</w:t>
      </w:r>
      <w:r>
        <w:t xml:space="preserve">”</w:t>
      </w:r>
      <w:r>
        <w:t xml:space="preserve"> </w:t>
      </w:r>
      <w:r>
        <w:t xml:space="preserve">requires a doctoral degree and substantial published research. Tay holds neither. His two conference/journal papers do not meet the publication threshold for professorial appointment. While Cambodia occasionally confers honorary visiting titles on industry practitioners, NUM presents him as</w:t>
      </w:r>
      <w:r>
        <w:t xml:space="preserve"> </w:t>
      </w:r>
      <w:r>
        <w:t xml:space="preserve">“</w:t>
      </w:r>
      <w:r>
        <w:t xml:space="preserve">Professor Kok Chin (KC) Tay</w:t>
      </w:r>
      <w:r>
        <w:t xml:space="preserve">”</w:t>
      </w:r>
      <w:r>
        <w:t xml:space="preserve"> </w:t>
      </w:r>
      <w:r>
        <w:t xml:space="preserve">without qualification — suggesting a regular academic appointment rather than an honorary designation.</w:t>
      </w:r>
    </w:p>
    <w:bookmarkEnd w:id="71"/>
    <w:bookmarkStart w:id="72" w:name="Xa92941622fc050e1d328be57638d17acdc74e9d"/>
    <w:p>
      <w:pPr>
        <w:pStyle w:val="Heading4"/>
      </w:pPr>
      <w:r>
        <w:t xml:space="preserve">2.2.3 JICA Reports:</w:t>
      </w:r>
      <w:r>
        <w:t xml:space="preserve"> </w:t>
      </w:r>
      <w:r>
        <w:t xml:space="preserve">“</w:t>
      </w:r>
      <w:r>
        <w:t xml:space="preserve">Adjunct Professor at NUS</w:t>
      </w:r>
      <w:r>
        <w:t xml:space="preserve">”</w:t>
      </w:r>
      <w:r>
        <w:t xml:space="preserve"> </w:t>
      </w:r>
      <w:r>
        <w:t xml:space="preserve">— His Own Bios Say</w:t>
      </w:r>
      <w:r>
        <w:t xml:space="preserve"> </w:t>
      </w:r>
      <w:r>
        <w:t xml:space="preserve">“</w:t>
      </w:r>
      <w:r>
        <w:t xml:space="preserve">Adjunct Lecturer</w:t>
      </w:r>
      <w:r>
        <w:t xml:space="preserve">”</w:t>
      </w:r>
    </w:p>
    <w:p>
      <w:pPr>
        <w:pStyle w:val="FirstParagraph"/>
      </w:pPr>
      <w:r>
        <w:t xml:space="preserve">A 2025 JICA (Japan International Cooperation Agency) report lists Tay as</w:t>
      </w:r>
      <w:r>
        <w:t xml:space="preserve"> </w:t>
      </w:r>
      <w:r>
        <w:t xml:space="preserve">“</w:t>
      </w:r>
      <w:r>
        <w:t xml:space="preserve">Chairman of Smart Cities Network and Adjunct Professor at National University of Singapore</w:t>
      </w:r>
      <w:r>
        <w:t xml:space="preserve">”</w:t>
      </w:r>
      <w:r>
        <w:t xml:space="preserve"> </w:t>
      </w:r>
      <w:r>
        <w:t xml:space="preserve">. This is significant title inflation. Every other source — including Tay’s own biographies — lists him as</w:t>
      </w:r>
      <w:r>
        <w:t xml:space="preserve"> </w:t>
      </w:r>
      <w:r>
        <w:t xml:space="preserve">“</w:t>
      </w:r>
      <w:r>
        <w:t xml:space="preserve">Adjunct Lecturer</w:t>
      </w:r>
      <w:r>
        <w:t xml:space="preserve">”</w:t>
      </w:r>
      <w:r>
        <w:t xml:space="preserve"> </w:t>
      </w:r>
      <w:r>
        <w:t xml:space="preserve">at</w:t>
      </w:r>
      <w:r>
        <w:t xml:space="preserve"> </w:t>
      </w:r>
      <w:r>
        <w:t xml:space="preserve">“</w:t>
      </w:r>
      <w:r>
        <w:t xml:space="preserve">NUS School of Continuing and Lifelong Education (SCALE) Global</w:t>
      </w:r>
      <w:r>
        <w:t xml:space="preserve">”</w:t>
      </w:r>
      <w:r>
        <w:t xml:space="preserve"> </w:t>
      </w:r>
      <w:r>
        <w:t xml:space="preserve">.</w:t>
      </w:r>
    </w:p>
    <w:p>
      <w:pPr>
        <w:pStyle w:val="BodyText"/>
      </w:pPr>
      <w:r>
        <w:t xml:space="preserve">The distinction matters. In Singapore’s academic hierarchy,</w:t>
      </w:r>
      <w:r>
        <w:t xml:space="preserve"> </w:t>
      </w:r>
      <w:r>
        <w:t xml:space="preserve">“</w:t>
      </w:r>
      <w:r>
        <w:t xml:space="preserve">Lecturer</w:t>
      </w:r>
      <w:r>
        <w:t xml:space="preserve">”</w:t>
      </w:r>
      <w:r>
        <w:t xml:space="preserve"> </w:t>
      </w:r>
      <w:r>
        <w:t xml:space="preserve">is a teaching-focused role for industry practitioners that does not require a PhD.</w:t>
      </w:r>
      <w:r>
        <w:t xml:space="preserve"> </w:t>
      </w:r>
      <w:r>
        <w:t xml:space="preserve">“</w:t>
      </w:r>
      <w:r>
        <w:t xml:space="preserve">Professor</w:t>
      </w:r>
      <w:r>
        <w:t xml:space="preserve">”</w:t>
      </w:r>
      <w:r>
        <w:t xml:space="preserve"> </w:t>
      </w:r>
      <w:r>
        <w:t xml:space="preserve">is a senior rank requiring a doctorate, substantial research, and peer-reviewed appointment. The JICA report upgraded Tay’s title by at least two academic ranks. Whether the error originated with Tay or with JICA’s researchers, it has remained uncorrected in an official Japanese government development agency publication.</w:t>
      </w:r>
    </w:p>
    <w:bookmarkEnd w:id="72"/>
    <w:bookmarkStart w:id="73" w:name="Xaca92f64f2104a281688779a532c05a6d4763ab"/>
    <w:p>
      <w:pPr>
        <w:pStyle w:val="Heading4"/>
      </w:pPr>
      <w:r>
        <w:t xml:space="preserve">2.2.4 Event Listings Use</w:t>
      </w:r>
      <w:r>
        <w:t xml:space="preserve"> </w:t>
      </w:r>
      <w:r>
        <w:t xml:space="preserve">“</w:t>
      </w:r>
      <w:r>
        <w:t xml:space="preserve">Prof. Kok Chin Tay</w:t>
      </w:r>
      <w:r>
        <w:t xml:space="preserve">”</w:t>
      </w:r>
      <w:r>
        <w:t xml:space="preserve"> </w:t>
      </w:r>
      <w:r>
        <w:t xml:space="preserve">— Propagated Through Official Channels</w:t>
      </w:r>
    </w:p>
    <w:p>
      <w:pPr>
        <w:pStyle w:val="FirstParagraph"/>
      </w:pPr>
      <w:r>
        <w:t xml:space="preserve">The title inflation propagates through conference programs and speaker profiles. Once</w:t>
      </w:r>
      <w:r>
        <w:t xml:space="preserve"> </w:t>
      </w:r>
      <w:r>
        <w:t xml:space="preserve">“</w:t>
      </w:r>
      <w:r>
        <w:t xml:space="preserve">Dr.</w:t>
      </w:r>
      <w:r>
        <w:t xml:space="preserve">”</w:t>
      </w:r>
      <w:r>
        <w:t xml:space="preserve"> </w:t>
      </w:r>
      <w:r>
        <w:t xml:space="preserve">or</w:t>
      </w:r>
      <w:r>
        <w:t xml:space="preserve"> </w:t>
      </w:r>
      <w:r>
        <w:t xml:space="preserve">“</w:t>
      </w:r>
      <w:r>
        <w:t xml:space="preserve">Professor</w:t>
      </w:r>
      <w:r>
        <w:t xml:space="preserve">”</w:t>
      </w:r>
      <w:r>
        <w:t xml:space="preserve"> </w:t>
      </w:r>
      <w:r>
        <w:t xml:space="preserve">appears in an official source — particularly government sources like Philippines DOST or international agency reports like JICA — other event organizers copy the title without verification. The false credential becomes self-reinforcing: a journalist conducting due diligence might find three sources calling him</w:t>
      </w:r>
      <w:r>
        <w:t xml:space="preserve"> </w:t>
      </w:r>
      <w:r>
        <w:t xml:space="preserve">“</w:t>
      </w:r>
      <w:r>
        <w:t xml:space="preserve">Professor</w:t>
      </w:r>
      <w:r>
        <w:t xml:space="preserve">”</w:t>
      </w:r>
      <w:r>
        <w:t xml:space="preserve"> </w:t>
      </w:r>
      <w:r>
        <w:t xml:space="preserve">and conclude the title is legitimate, never realizing all trace back to the same uncorrected error.</w:t>
      </w:r>
    </w:p>
    <w:bookmarkEnd w:id="73"/>
    <w:bookmarkStart w:id="74" w:name="X9fa028b018c0530781d7e9d2c7aae65e53b9aba"/>
    <w:p>
      <w:pPr>
        <w:pStyle w:val="Heading4"/>
      </w:pPr>
      <w:r>
        <w:t xml:space="preserve">2.2.5 Uncorrected for Years — Creates False Academic Authority</w:t>
      </w:r>
    </w:p>
    <w:p>
      <w:pPr>
        <w:pStyle w:val="FirstParagraph"/>
      </w:pPr>
      <w:r>
        <w:t xml:space="preserve">The critical element is time. The Philippines DOST sources using</w:t>
      </w:r>
      <w:r>
        <w:t xml:space="preserve"> </w:t>
      </w:r>
      <w:r>
        <w:t xml:space="preserve">“</w:t>
      </w:r>
      <w:r>
        <w:t xml:space="preserve">Dr.</w:t>
      </w:r>
      <w:r>
        <w:t xml:space="preserve">”</w:t>
      </w:r>
      <w:r>
        <w:t xml:space="preserve"> </w:t>
      </w:r>
      <w:r>
        <w:t xml:space="preserve">date to at least 2023 . The JICA report using</w:t>
      </w:r>
      <w:r>
        <w:t xml:space="preserve"> </w:t>
      </w:r>
      <w:r>
        <w:t xml:space="preserve">“</w:t>
      </w:r>
      <w:r>
        <w:t xml:space="preserve">Adjunct Professor at NUS</w:t>
      </w:r>
      <w:r>
        <w:t xml:space="preserve">”</w:t>
      </w:r>
      <w:r>
        <w:t xml:space="preserve"> </w:t>
      </w:r>
      <w:r>
        <w:t xml:space="preserve">was published in 2025 . The NUM Cambodia</w:t>
      </w:r>
      <w:r>
        <w:t xml:space="preserve"> </w:t>
      </w:r>
      <w:r>
        <w:t xml:space="preserve">“</w:t>
      </w:r>
      <w:r>
        <w:t xml:space="preserve">Professor</w:t>
      </w:r>
      <w:r>
        <w:t xml:space="preserve">”</w:t>
      </w:r>
      <w:r>
        <w:t xml:space="preserve"> </w:t>
      </w:r>
      <w:r>
        <w:t xml:space="preserve">listing is current as of 2024 . These titles have persisted for</w:t>
      </w:r>
      <w:r>
        <w:t xml:space="preserve"> </w:t>
      </w:r>
      <w:r>
        <w:rPr>
          <w:bCs/>
          <w:b/>
        </w:rPr>
        <w:t xml:space="preserve">years</w:t>
      </w:r>
      <w:r>
        <w:t xml:space="preserve">.</w:t>
      </w:r>
    </w:p>
    <w:p>
      <w:pPr>
        <w:pStyle w:val="BodyText"/>
      </w:pPr>
      <w:r>
        <w:t xml:space="preserve">If these were honest errors, a single email from Tay to Philippines DOST, JICA, or NUM Cambodia would have triggered corrections. Government agencies and international organizations generally correct factual errors when notified, particularly regarding academic credentials. The persistence of these titles — and Tay’s continued feature under them — indicates either active encouragement of their use or a deliberate choice not to correct them.</w:t>
      </w:r>
    </w:p>
    <w:p>
      <w:pPr>
        <w:pStyle w:val="BodyText"/>
      </w:pPr>
      <w:r>
        <w:t xml:space="preserve">The practical effect is significant. In Southeast Asian professional culture, academic titles are gatekeeping credentials. Government officials in developing countries are more likely to grant access, advisory contracts, and institutional appointments to someone addressed as</w:t>
      </w:r>
      <w:r>
        <w:t xml:space="preserve"> </w:t>
      </w:r>
      <w:r>
        <w:t xml:space="preserve">“</w:t>
      </w:r>
      <w:r>
        <w:t xml:space="preserve">Dr.</w:t>
      </w:r>
      <w:r>
        <w:t xml:space="preserve">”</w:t>
      </w:r>
      <w:r>
        <w:t xml:space="preserve"> </w:t>
      </w:r>
      <w:r>
        <w:t xml:space="preserve">or</w:t>
      </w:r>
      <w:r>
        <w:t xml:space="preserve"> </w:t>
      </w:r>
      <w:r>
        <w:t xml:space="preserve">“</w:t>
      </w:r>
      <w:r>
        <w:t xml:space="preserve">Professor</w:t>
      </w:r>
      <w:r>
        <w:t xml:space="preserve">”</w:t>
      </w:r>
      <w:r>
        <w:t xml:space="preserve"> </w:t>
      </w:r>
      <w:r>
        <w:t xml:space="preserve">than to</w:t>
      </w:r>
      <w:r>
        <w:t xml:space="preserve"> </w:t>
      </w:r>
      <w:r>
        <w:t xml:space="preserve">“</w:t>
      </w:r>
      <w:r>
        <w:t xml:space="preserve">Mr. Tay, who has a Master’s degree and worked at IBM.</w:t>
      </w:r>
      <w:r>
        <w:t xml:space="preserve">”</w:t>
      </w:r>
      <w:r>
        <w:t xml:space="preserve"> </w:t>
      </w:r>
      <w:r>
        <w:t xml:space="preserve">The title fraud directly facilitates the consulting and advisory relationships that form the economic basis of SCN’s operations.</w:t>
      </w:r>
    </w:p>
    <w:p>
      <w:r>
        <w:pict>
          <v:rect style="width:0;height:1.5pt" o:hralign="center" o:hrstd="t" o:hr="t"/>
        </w:pict>
      </w:r>
    </w:p>
    <w:bookmarkEnd w:id="74"/>
    <w:bookmarkEnd w:id="75"/>
    <w:bookmarkStart w:id="80" w:name="unverifiable-claims"/>
    <w:p>
      <w:pPr>
        <w:pStyle w:val="Heading3"/>
      </w:pPr>
      <w:r>
        <w:t xml:space="preserve">2.3 Unverifiable Claims</w:t>
      </w:r>
    </w:p>
    <w:p>
      <w:pPr>
        <w:pStyle w:val="FirstParagraph"/>
      </w:pPr>
      <w:r>
        <w:t xml:space="preserve">Beyond the verifiable facts and the demonstrably false titles, several recurring claims in Tay’s biography could not be confirmed through independent sources.</w:t>
      </w:r>
    </w:p>
    <w:bookmarkStart w:id="76" w:name="X2f1fd5052ef768677d461cda3d8fd94a30df395"/>
    <w:p>
      <w:pPr>
        <w:pStyle w:val="Heading4"/>
      </w:pPr>
      <w:r>
        <w:t xml:space="preserve">2.3.1 Singapore Adjunct Positions NOT Found in Institutional Directories</w:t>
      </w:r>
    </w:p>
    <w:p>
      <w:pPr>
        <w:pStyle w:val="FirstParagraph"/>
      </w:pPr>
      <w:r>
        <w:t xml:space="preserve">Tay’s speaker bios list him as</w:t>
      </w:r>
      <w:r>
        <w:t xml:space="preserve"> </w:t>
      </w:r>
      <w:r>
        <w:t xml:space="preserve">“</w:t>
      </w:r>
      <w:r>
        <w:t xml:space="preserve">Adjunct Lecturer</w:t>
      </w:r>
      <w:r>
        <w:t xml:space="preserve">”</w:t>
      </w:r>
      <w:r>
        <w:t xml:space="preserve"> </w:t>
      </w:r>
      <w:r>
        <w:t xml:space="preserve">at three Singapore institutions</w:t>
      </w:r>
      <w:r>
        <w:t xml:space="preserve"> </w:t>
      </w:r>
      <w:r>
        <w:rPr>
          <w:vertAlign w:val="superscript"/>
        </w:rPr>
        <w:t xml:space="preserve">2</w:t>
      </w:r>
      <w:r>
        <w:t xml:space="preserve">. None could be verified:</w:t>
      </w:r>
    </w:p>
    <w:p>
      <w:pPr>
        <w:numPr>
          <w:ilvl w:val="0"/>
          <w:numId w:val="1004"/>
        </w:numPr>
        <w:pStyle w:val="Compact"/>
      </w:pPr>
      <w:r>
        <w:rPr>
          <w:bCs/>
          <w:b/>
        </w:rPr>
        <w:t xml:space="preserve">BCA Academy</w:t>
      </w:r>
      <w:r>
        <w:t xml:space="preserve">: Searched the trainer directory; KC Tay not listed among 100+ adjunct lecturers</w:t>
      </w:r>
      <w:r>
        <w:t xml:space="preserve"> </w:t>
      </w:r>
      <w:r>
        <w:rPr>
          <w:vertAlign w:val="superscript"/>
        </w:rPr>
        <w:t xml:space="preserve">6</w:t>
      </w:r>
      <w:r>
        <w:t xml:space="preserve">.</w:t>
      </w:r>
    </w:p>
    <w:p>
      <w:pPr>
        <w:numPr>
          <w:ilvl w:val="0"/>
          <w:numId w:val="1004"/>
        </w:numPr>
        <w:pStyle w:val="Compact"/>
      </w:pPr>
      <w:r>
        <w:rPr>
          <w:bCs/>
          <w:b/>
        </w:rPr>
        <w:t xml:space="preserve">SIT</w:t>
      </w:r>
      <w:r>
        <w:t xml:space="preserve">: Site-specific searches returned zero results; annual reports do not list him</w:t>
      </w:r>
      <w:r>
        <w:t xml:space="preserve"> </w:t>
      </w:r>
      <w:r>
        <w:rPr>
          <w:vertAlign w:val="superscript"/>
        </w:rPr>
        <w:t xml:space="preserve">7</w:t>
      </w:r>
      <w:r>
        <w:t xml:space="preserve"> </w:t>
      </w:r>
      <w:r>
        <w:rPr>
          <w:vertAlign w:val="superscript"/>
        </w:rPr>
        <w:t xml:space="preserve">8</w:t>
      </w:r>
      <w:r>
        <w:t xml:space="preserve">.</w:t>
      </w:r>
    </w:p>
    <w:p>
      <w:pPr>
        <w:numPr>
          <w:ilvl w:val="0"/>
          <w:numId w:val="1004"/>
        </w:numPr>
        <w:pStyle w:val="Compact"/>
      </w:pPr>
      <w:r>
        <w:rPr>
          <w:bCs/>
          <w:b/>
        </w:rPr>
        <w:t xml:space="preserve">NUS SCALE</w:t>
      </w:r>
      <w:r>
        <w:t xml:space="preserve">: Site-specific searches returned zero results; unit heads page does not list him</w:t>
      </w:r>
      <w:r>
        <w:t xml:space="preserve"> </w:t>
      </w:r>
      <w:r>
        <w:rPr>
          <w:vertAlign w:val="superscript"/>
        </w:rPr>
        <w:t xml:space="preserve">9</w:t>
      </w:r>
      <w:r>
        <w:t xml:space="preserve">.</w:t>
      </w:r>
    </w:p>
    <w:p>
      <w:pPr>
        <w:pStyle w:val="FirstParagraph"/>
      </w:pPr>
      <w:r>
        <w:t xml:space="preserve">An IES-INCA document from 2020 lists Tay as an</w:t>
      </w:r>
      <w:r>
        <w:t xml:space="preserve"> </w:t>
      </w:r>
      <w:r>
        <w:t xml:space="preserve">“</w:t>
      </w:r>
      <w:r>
        <w:t xml:space="preserve">Industry Partner</w:t>
      </w:r>
      <w:r>
        <w:t xml:space="preserve">”</w:t>
      </w:r>
      <w:r>
        <w:t xml:space="preserve"> </w:t>
      </w:r>
      <w:r>
        <w:t xml:space="preserve">for NUS School of Computing capstone projects — not as an adjunct lecturer . This suggests any NUS connection is informal rather than a formal appointment.</w:t>
      </w:r>
    </w:p>
    <w:bookmarkEnd w:id="76"/>
    <w:bookmarkStart w:id="77" w:name="Xf1b4c73ad1f3059b8b8ca8af8fa0ae29a0b259f"/>
    <w:p>
      <w:pPr>
        <w:pStyle w:val="Heading4"/>
      </w:pPr>
      <w:r>
        <w:t xml:space="preserve">2.3.2 Vietnam</w:t>
      </w:r>
      <w:r>
        <w:t xml:space="preserve"> </w:t>
      </w:r>
      <w:r>
        <w:t xml:space="preserve">“</w:t>
      </w:r>
      <w:r>
        <w:t xml:space="preserve">Master Consultant</w:t>
      </w:r>
      <w:r>
        <w:t xml:space="preserve">”</w:t>
      </w:r>
      <w:r>
        <w:t xml:space="preserve"> </w:t>
      </w:r>
      <w:r>
        <w:t xml:space="preserve">— Developer Name Never Disclosed</w:t>
      </w:r>
    </w:p>
    <w:p>
      <w:pPr>
        <w:pStyle w:val="FirstParagraph"/>
      </w:pPr>
      <w:r>
        <w:t xml:space="preserve">Tay’s biography states:</w:t>
      </w:r>
      <w:r>
        <w:t xml:space="preserve"> </w:t>
      </w:r>
      <w:r>
        <w:t xml:space="preserve">“</w:t>
      </w:r>
      <w:r>
        <w:t xml:space="preserve">In August 2020, he was appointed as the Master Consultant for a property developer in Vietnam to develop Smart Communities for them</w:t>
      </w:r>
      <w:r>
        <w:t xml:space="preserve">”</w:t>
      </w:r>
      <w:r>
        <w:t xml:space="preserve"> </w:t>
      </w:r>
      <w:r>
        <w:t xml:space="preserve">. The property developer’s name is</w:t>
      </w:r>
      <w:r>
        <w:t xml:space="preserve"> </w:t>
      </w:r>
      <w:r>
        <w:rPr>
          <w:bCs/>
          <w:b/>
        </w:rPr>
        <w:t xml:space="preserve">never disclosed</w:t>
      </w:r>
      <w:r>
        <w:t xml:space="preserve">. No Vietnamese press coverage or government records reference this appointment. This claim appears only in Tay’s own event bios with no independent verification.</w:t>
      </w:r>
    </w:p>
    <w:bookmarkEnd w:id="77"/>
    <w:bookmarkStart w:id="78" w:name="X1e7662b0d7c5386f071466c5d9774f05d0971ff"/>
    <w:p>
      <w:pPr>
        <w:pStyle w:val="Heading4"/>
      </w:pPr>
      <w:r>
        <w:t xml:space="preserve">2.3.3 Phnom Penh Consulting — No Cambodian Government Documents</w:t>
      </w:r>
    </w:p>
    <w:p>
      <w:pPr>
        <w:pStyle w:val="FirstParagraph"/>
      </w:pPr>
      <w:r>
        <w:t xml:space="preserve">Tay is described as</w:t>
      </w:r>
      <w:r>
        <w:t xml:space="preserve"> </w:t>
      </w:r>
      <w:r>
        <w:t xml:space="preserve">“</w:t>
      </w:r>
      <w:r>
        <w:t xml:space="preserve">Consulting Expert for the Implementation Masterplan 2035 for the Phnom Penh Smart and Sustainable City Strategic Roadmap</w:t>
      </w:r>
      <w:r>
        <w:t xml:space="preserve">”</w:t>
      </w:r>
      <w:r>
        <w:t xml:space="preserve"> </w:t>
      </w:r>
      <w:r>
        <w:t xml:space="preserve">. His own 2021 presentation slides reference collaboration with Phnom Penh . However,</w:t>
      </w:r>
      <w:r>
        <w:t xml:space="preserve"> </w:t>
      </w:r>
      <w:r>
        <w:rPr>
          <w:bCs/>
          <w:b/>
        </w:rPr>
        <w:t xml:space="preserve">no direct confirmation from the Phnom Penh city government</w:t>
      </w:r>
      <w:r>
        <w:t xml:space="preserve"> </w:t>
      </w:r>
      <w:r>
        <w:t xml:space="preserve">was found — no procurement records, no official consultant appointments, no city government publications naming Tay or SCN.</w:t>
      </w:r>
    </w:p>
    <w:bookmarkEnd w:id="78"/>
    <w:bookmarkStart w:id="79" w:name="Xf0dd37333a569c3e37ef86f773075884606a890"/>
    <w:p>
      <w:pPr>
        <w:pStyle w:val="Heading4"/>
      </w:pPr>
      <w:r>
        <w:t xml:space="preserve">2.3.4 UN ESCAP Cambodia Consultant — Only in Self-Published Bios</w:t>
      </w:r>
    </w:p>
    <w:p>
      <w:pPr>
        <w:pStyle w:val="FirstParagraph"/>
      </w:pPr>
      <w:r>
        <w:t xml:space="preserve">Multiple event bios and the T20 policy brief describe Tay as</w:t>
      </w:r>
      <w:r>
        <w:t xml:space="preserve"> </w:t>
      </w:r>
      <w:r>
        <w:t xml:space="preserve">“</w:t>
      </w:r>
      <w:r>
        <w:t xml:space="preserve">UNESCAP Smart City Consultant</w:t>
      </w:r>
      <w:r>
        <w:t xml:space="preserve">”</w:t>
      </w:r>
      <w:r>
        <w:t xml:space="preserve"> </w:t>
      </w:r>
      <w:r>
        <w:t xml:space="preserve">.</w:t>
      </w:r>
      <w:r>
        <w:t xml:space="preserve"> </w:t>
      </w:r>
      <w:r>
        <w:rPr>
          <w:bCs/>
          <w:b/>
        </w:rPr>
        <w:t xml:space="preserve">No official UN ESCAP document</w:t>
      </w:r>
      <w:r>
        <w:t xml:space="preserve"> </w:t>
      </w:r>
      <w:r>
        <w:t xml:space="preserve">confirming this consultancy contract was found on unescap.org or in UN databases.</w:t>
      </w:r>
    </w:p>
    <w:p>
      <w:r>
        <w:pict>
          <v:rect style="width:0;height:1.5pt" o:hralign="center" o:hrstd="t" o:hr="t"/>
        </w:pict>
      </w:r>
    </w:p>
    <w:bookmarkEnd w:id="79"/>
    <w:bookmarkEnd w:id="80"/>
    <w:bookmarkStart w:id="81" w:name="claims-verification-summary"/>
    <w:p>
      <w:pPr>
        <w:pStyle w:val="Heading3"/>
      </w:pPr>
      <w:r>
        <w:t xml:space="preserve">Claims Verification Summary</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Claim</w:t>
            </w:r>
          </w:p>
        </w:tc>
        <w:tc>
          <w:tcPr/>
          <w:p>
            <w:pPr>
              <w:pStyle w:val="Compact"/>
              <w:jc w:val="left"/>
            </w:pPr>
            <w:r>
              <w:t xml:space="preserve">Evidence Status</w:t>
            </w:r>
          </w:p>
        </w:tc>
        <w:tc>
          <w:tcPr/>
          <w:p>
            <w:pPr>
              <w:pStyle w:val="Compact"/>
              <w:jc w:val="left"/>
            </w:pPr>
            <w:r>
              <w:t xml:space="preserve">Confidence</w:t>
            </w:r>
          </w:p>
        </w:tc>
        <w:tc>
          <w:tcPr/>
          <w:p>
            <w:pPr>
              <w:pStyle w:val="Compact"/>
              <w:jc w:val="left"/>
            </w:pPr>
            <w:r>
              <w:t xml:space="preserve">Key Sources</w:t>
            </w:r>
          </w:p>
        </w:tc>
      </w:tr>
      <w:tr>
        <w:tc>
          <w:tcPr/>
          <w:p>
            <w:pPr>
              <w:pStyle w:val="Compact"/>
              <w:jc w:val="left"/>
            </w:pPr>
            <w:r>
              <w:t xml:space="preserve">IBM ASEAN Leader, Smarter Planet &amp; Smarter Buildings (2011–2013)</w:t>
            </w:r>
          </w:p>
        </w:tc>
        <w:tc>
          <w:tcPr/>
          <w:p>
            <w:pPr>
              <w:pStyle w:val="Compact"/>
              <w:jc w:val="left"/>
            </w:pPr>
            <w:r>
              <w:rPr>
                <w:bCs/>
                <w:b/>
              </w:rPr>
              <w:t xml:space="preserve">VERIFIED</w:t>
            </w:r>
            <w:r>
              <w:t xml:space="preserve"> </w:t>
            </w:r>
            <w:r>
              <w:t xml:space="preserve">— Multiple independent sources confirm</w:t>
            </w:r>
          </w:p>
        </w:tc>
        <w:tc>
          <w:tcPr/>
          <w:p>
            <w:pPr>
              <w:pStyle w:val="Compact"/>
              <w:jc w:val="left"/>
            </w:pPr>
            <w:r>
              <w:t xml:space="preserve">HIGH</w:t>
            </w:r>
          </w:p>
        </w:tc>
        <w:tc>
          <w:tcPr/>
          <w:p>
            <w:pPr>
              <w:pStyle w:val="Compact"/>
              <w:jc w:val="left"/>
            </w:pPr>
            <w:r>
              <w:t xml:space="preserve">e27 , UK Smart Cities Mission , Asia Institute of Mentoring</w:t>
            </w:r>
          </w:p>
        </w:tc>
      </w:tr>
      <w:tr>
        <w:tc>
          <w:tcPr/>
          <w:p>
            <w:pPr>
              <w:pStyle w:val="Compact"/>
              <w:jc w:val="left"/>
            </w:pPr>
            <w:r>
              <w:t xml:space="preserve">Project managed IBM Smarter Cities Challenge Singapore 2012</w:t>
            </w:r>
          </w:p>
        </w:tc>
        <w:tc>
          <w:tcPr/>
          <w:p>
            <w:pPr>
              <w:pStyle w:val="Compact"/>
              <w:jc w:val="left"/>
            </w:pPr>
            <w:r>
              <w:rPr>
                <w:bCs/>
                <w:b/>
              </w:rPr>
              <w:t xml:space="preserve">VERIFIED</w:t>
            </w:r>
            <w:r>
              <w:t xml:space="preserve"> </w:t>
            </w:r>
            <w:r>
              <w:t xml:space="preserve">— IBM official grant list confirms</w:t>
            </w:r>
          </w:p>
        </w:tc>
        <w:tc>
          <w:tcPr/>
          <w:p>
            <w:pPr>
              <w:pStyle w:val="Compact"/>
              <w:jc w:val="left"/>
            </w:pPr>
            <w:r>
              <w:t xml:space="preserve">HIGH</w:t>
            </w:r>
          </w:p>
        </w:tc>
        <w:tc>
          <w:tcPr/>
          <w:p>
            <w:pPr>
              <w:pStyle w:val="Compact"/>
              <w:jc w:val="left"/>
            </w:pPr>
            <w:r>
              <w:t xml:space="preserve">IBM , Yahoo SG</w:t>
            </w:r>
          </w:p>
        </w:tc>
      </w:tr>
      <w:tr>
        <w:tc>
          <w:tcPr/>
          <w:p>
            <w:pPr>
              <w:pStyle w:val="Compact"/>
              <w:jc w:val="left"/>
            </w:pPr>
            <w:r>
              <w:t xml:space="preserve">Founding Chairman of SCN (incorporated 2018)</w:t>
            </w:r>
          </w:p>
        </w:tc>
        <w:tc>
          <w:tcPr/>
          <w:p>
            <w:pPr>
              <w:pStyle w:val="Compact"/>
              <w:jc w:val="left"/>
            </w:pPr>
            <w:r>
              <w:rPr>
                <w:bCs/>
                <w:b/>
              </w:rPr>
              <w:t xml:space="preserve">VERIFIED</w:t>
            </w:r>
            <w:r>
              <w:t xml:space="preserve"> </w:t>
            </w:r>
            <w:r>
              <w:t xml:space="preserve">— ACRA registration confirmed</w:t>
            </w:r>
          </w:p>
        </w:tc>
        <w:tc>
          <w:tcPr/>
          <w:p>
            <w:pPr>
              <w:pStyle w:val="Compact"/>
              <w:jc w:val="left"/>
            </w:pPr>
            <w:r>
              <w:t xml:space="preserve">HIGH</w:t>
            </w:r>
          </w:p>
        </w:tc>
        <w:tc>
          <w:tcPr/>
          <w:p>
            <w:pPr>
              <w:pStyle w:val="Compact"/>
              <w:jc w:val="left"/>
            </w:pPr>
            <w:r>
              <w:t xml:space="preserve">UEN 201827719R</w:t>
            </w:r>
          </w:p>
        </w:tc>
      </w:tr>
      <w:tr>
        <w:tc>
          <w:tcPr/>
          <w:p>
            <w:pPr>
              <w:pStyle w:val="Compact"/>
              <w:jc w:val="left"/>
            </w:pPr>
            <w:r>
              <w:t xml:space="preserve">Executive Director (ASEAN), Smart Cities Council</w:t>
            </w:r>
          </w:p>
        </w:tc>
        <w:tc>
          <w:tcPr/>
          <w:p>
            <w:pPr>
              <w:pStyle w:val="Compact"/>
              <w:jc w:val="left"/>
            </w:pPr>
            <w:r>
              <w:rPr>
                <w:bCs/>
                <w:b/>
              </w:rPr>
              <w:t xml:space="preserve">VERIFIED</w:t>
            </w:r>
            <w:r>
              <w:t xml:space="preserve"> </w:t>
            </w:r>
            <w:r>
              <w:t xml:space="preserve">— Government and G20 sources confirm</w:t>
            </w:r>
          </w:p>
        </w:tc>
        <w:tc>
          <w:tcPr/>
          <w:p>
            <w:pPr>
              <w:pStyle w:val="Compact"/>
              <w:jc w:val="left"/>
            </w:pPr>
            <w:r>
              <w:t xml:space="preserve">HIGH</w:t>
            </w:r>
          </w:p>
        </w:tc>
        <w:tc>
          <w:tcPr/>
          <w:p>
            <w:pPr>
              <w:pStyle w:val="Compact"/>
              <w:jc w:val="left"/>
            </w:pPr>
            <w:r>
              <w:t xml:space="preserve">HK Govt , T20</w:t>
            </w:r>
          </w:p>
        </w:tc>
      </w:tr>
      <w:tr>
        <w:tc>
          <w:tcPr/>
          <w:p>
            <w:pPr>
              <w:pStyle w:val="Compact"/>
              <w:jc w:val="left"/>
            </w:pPr>
            <w:r>
              <w:t xml:space="preserve">Philippines DOST STI Ambassador (Dec 2021)</w:t>
            </w:r>
          </w:p>
        </w:tc>
        <w:tc>
          <w:tcPr/>
          <w:p>
            <w:pPr>
              <w:pStyle w:val="Compact"/>
              <w:jc w:val="left"/>
            </w:pPr>
            <w:r>
              <w:rPr>
                <w:bCs/>
                <w:b/>
              </w:rPr>
              <w:t xml:space="preserve">VERIFIED</w:t>
            </w:r>
            <w:r>
              <w:t xml:space="preserve"> </w:t>
            </w:r>
            <w:r>
              <w:t xml:space="preserve">— Official Philippines government sources</w:t>
            </w:r>
          </w:p>
        </w:tc>
        <w:tc>
          <w:tcPr/>
          <w:p>
            <w:pPr>
              <w:pStyle w:val="Compact"/>
              <w:jc w:val="left"/>
            </w:pPr>
            <w:r>
              <w:t xml:space="preserve">HIGH</w:t>
            </w:r>
          </w:p>
        </w:tc>
        <w:tc>
          <w:tcPr/>
          <w:p>
            <w:pPr>
              <w:pStyle w:val="Compact"/>
              <w:jc w:val="left"/>
            </w:pPr>
            <w:r>
              <w:t xml:space="preserve">DOST , PNA</w:t>
            </w:r>
          </w:p>
        </w:tc>
      </w:tr>
      <w:tr>
        <w:tc>
          <w:tcPr/>
          <w:p>
            <w:pPr>
              <w:pStyle w:val="Compact"/>
              <w:jc w:val="left"/>
            </w:pPr>
            <w:r>
              <w:t xml:space="preserve">MSc Computer Science, City University London</w:t>
            </w:r>
          </w:p>
        </w:tc>
        <w:tc>
          <w:tcPr/>
          <w:p>
            <w:pPr>
              <w:pStyle w:val="Compact"/>
              <w:jc w:val="left"/>
            </w:pPr>
            <w:r>
              <w:rPr>
                <w:bCs/>
                <w:b/>
              </w:rPr>
              <w:t xml:space="preserve">SELF-STATED</w:t>
            </w:r>
            <w:r>
              <w:t xml:space="preserve"> </w:t>
            </w:r>
            <w:r>
              <w:t xml:space="preserve">— Consistent but not independently verified</w:t>
            </w:r>
          </w:p>
        </w:tc>
        <w:tc>
          <w:tcPr/>
          <w:p>
            <w:pPr>
              <w:pStyle w:val="Compact"/>
              <w:jc w:val="left"/>
            </w:pPr>
            <w:r>
              <w:t xml:space="preserve">MEDIUM</w:t>
            </w:r>
          </w:p>
        </w:tc>
        <w:tc>
          <w:tcPr/>
          <w:p>
            <w:pPr>
              <w:pStyle w:val="Compact"/>
              <w:jc w:val="left"/>
            </w:pPr>
            <w:r>
              <w:t xml:space="preserve">NUM , bios</w:t>
            </w:r>
            <w:r>
              <w:t xml:space="preserve"> </w:t>
            </w:r>
            <w:r>
              <w:rPr>
                <w:vertAlign w:val="superscript"/>
              </w:rPr>
              <w:t xml:space="preserve">2</w:t>
            </w:r>
          </w:p>
        </w:tc>
      </w:tr>
      <w:tr>
        <w:tc>
          <w:tcPr/>
          <w:p>
            <w:pPr>
              <w:pStyle w:val="Compact"/>
              <w:jc w:val="left"/>
            </w:pPr>
            <w:r>
              <w:t xml:space="preserve">IEEE academic paper (Garuda framework, 2018)</w:t>
            </w:r>
          </w:p>
        </w:tc>
        <w:tc>
          <w:tcPr/>
          <w:p>
            <w:pPr>
              <w:pStyle w:val="Compact"/>
              <w:jc w:val="left"/>
            </w:pPr>
            <w:r>
              <w:rPr>
                <w:bCs/>
                <w:b/>
              </w:rPr>
              <w:t xml:space="preserve">VERIFIED</w:t>
            </w:r>
            <w:r>
              <w:t xml:space="preserve"> </w:t>
            </w:r>
            <w:r>
              <w:t xml:space="preserve">— Published in IEEE Xplore, 71 citations</w:t>
            </w:r>
          </w:p>
        </w:tc>
        <w:tc>
          <w:tcPr/>
          <w:p>
            <w:pPr>
              <w:pStyle w:val="Compact"/>
              <w:jc w:val="left"/>
            </w:pPr>
            <w:r>
              <w:t xml:space="preserve">HIGH</w:t>
            </w:r>
          </w:p>
        </w:tc>
        <w:tc>
          <w:tcPr/>
          <w:p>
            <w:pPr>
              <w:pStyle w:val="Compact"/>
              <w:jc w:val="left"/>
            </w:pPr>
            <w:r>
              <w:t xml:space="preserve">IEEE , Google Scholar</w:t>
            </w:r>
            <w:r>
              <w:t xml:space="preserve"> </w:t>
            </w:r>
            <w:r>
              <w:rPr>
                <w:vertAlign w:val="superscript"/>
              </w:rPr>
              <w:t xml:space="preserve">3</w:t>
            </w:r>
          </w:p>
        </w:tc>
      </w:tr>
      <w:tr>
        <w:tc>
          <w:tcPr/>
          <w:p>
            <w:pPr>
              <w:pStyle w:val="Compact"/>
              <w:jc w:val="left"/>
            </w:pPr>
            <w:r>
              <w:t xml:space="preserve">“</w:t>
            </w:r>
            <w:r>
              <w:t xml:space="preserve">Dr. Kok Chin Tay</w:t>
            </w:r>
            <w:r>
              <w:t xml:space="preserve">”</w:t>
            </w:r>
            <w:r>
              <w:t xml:space="preserve"> </w:t>
            </w:r>
            <w:r>
              <w:t xml:space="preserve">(Philippines DOST, PNA)</w:t>
            </w:r>
          </w:p>
        </w:tc>
        <w:tc>
          <w:tcPr/>
          <w:p>
            <w:pPr>
              <w:pStyle w:val="Compact"/>
              <w:jc w:val="left"/>
            </w:pPr>
            <w:r>
              <w:rPr>
                <w:bCs/>
                <w:b/>
              </w:rPr>
              <w:t xml:space="preserve">FRAUDULENT</w:t>
            </w:r>
            <w:r>
              <w:t xml:space="preserve"> </w:t>
            </w:r>
            <w:r>
              <w:t xml:space="preserve">— No PhD found; only claims MSc</w:t>
            </w:r>
          </w:p>
        </w:tc>
        <w:tc>
          <w:tcPr/>
          <w:p>
            <w:pPr>
              <w:pStyle w:val="Compact"/>
              <w:jc w:val="left"/>
            </w:pPr>
            <w:r>
              <w:t xml:space="preserve">HIGH (fraud)</w:t>
            </w:r>
          </w:p>
        </w:tc>
        <w:tc>
          <w:tcPr/>
          <w:p>
            <w:pPr>
              <w:pStyle w:val="Compact"/>
              <w:jc w:val="left"/>
            </w:pPr>
            <w:r>
              <w:t xml:space="preserve">DOST , PNA</w:t>
            </w:r>
          </w:p>
        </w:tc>
      </w:tr>
      <w:tr>
        <w:tc>
          <w:tcPr/>
          <w:p>
            <w:pPr>
              <w:pStyle w:val="Compact"/>
              <w:jc w:val="left"/>
            </w:pPr>
            <w:r>
              <w:t xml:space="preserve">“</w:t>
            </w:r>
            <w:r>
              <w:t xml:space="preserve">Professor</w:t>
            </w:r>
            <w:r>
              <w:t xml:space="preserve">”</w:t>
            </w:r>
            <w:r>
              <w:t xml:space="preserve"> </w:t>
            </w:r>
            <w:r>
              <w:t xml:space="preserve">at NUM Cambodia</w:t>
            </w:r>
          </w:p>
        </w:tc>
        <w:tc>
          <w:tcPr/>
          <w:p>
            <w:pPr>
              <w:pStyle w:val="Compact"/>
              <w:jc w:val="left"/>
            </w:pPr>
            <w:r>
              <w:rPr>
                <w:bCs/>
                <w:b/>
              </w:rPr>
              <w:t xml:space="preserve">MISLEADING</w:t>
            </w:r>
            <w:r>
              <w:t xml:space="preserve"> </w:t>
            </w:r>
            <w:r>
              <w:t xml:space="preserve">— Honorary title; MSc does not qualify for professorship</w:t>
            </w:r>
          </w:p>
        </w:tc>
        <w:tc>
          <w:tcPr/>
          <w:p>
            <w:pPr>
              <w:pStyle w:val="Compact"/>
              <w:jc w:val="left"/>
            </w:pPr>
            <w:r>
              <w:t xml:space="preserve">HIGH (fraud)</w:t>
            </w:r>
          </w:p>
        </w:tc>
        <w:tc>
          <w:tcPr/>
          <w:p>
            <w:pPr>
              <w:pStyle w:val="Compact"/>
              <w:jc w:val="left"/>
            </w:pPr>
            <w:r>
              <w:t xml:space="preserve">NUM</w:t>
            </w:r>
            <w:r>
              <w:t xml:space="preserve"> </w:t>
            </w:r>
            <w:r>
              <w:rPr>
                <w:vertAlign w:val="superscript"/>
              </w:rPr>
              <w:t xml:space="preserve">1</w:t>
            </w:r>
            <w:r>
              <w:t xml:space="preserve"> </w:t>
            </w:r>
            <w:r>
              <w:rPr>
                <w:vertAlign w:val="superscript"/>
              </w:rPr>
              <w:t xml:space="preserve">5</w:t>
            </w:r>
          </w:p>
        </w:tc>
      </w:tr>
      <w:tr>
        <w:tc>
          <w:tcPr/>
          <w:p>
            <w:pPr>
              <w:pStyle w:val="Compact"/>
              <w:jc w:val="left"/>
            </w:pPr>
            <w:r>
              <w:t xml:space="preserve">“</w:t>
            </w:r>
            <w:r>
              <w:t xml:space="preserve">Adjunct Professor at NUS</w:t>
            </w:r>
            <w:r>
              <w:t xml:space="preserve">”</w:t>
            </w:r>
            <w:r>
              <w:t xml:space="preserve"> </w:t>
            </w:r>
            <w:r>
              <w:t xml:space="preserve">(JICA report)</w:t>
            </w:r>
          </w:p>
        </w:tc>
        <w:tc>
          <w:tcPr/>
          <w:p>
            <w:pPr>
              <w:pStyle w:val="Compact"/>
              <w:jc w:val="left"/>
            </w:pPr>
            <w:r>
              <w:rPr>
                <w:bCs/>
                <w:b/>
              </w:rPr>
              <w:t xml:space="preserve">INFLATED</w:t>
            </w:r>
            <w:r>
              <w:t xml:space="preserve"> </w:t>
            </w:r>
            <w:r>
              <w:t xml:space="preserve">— Own bios say</w:t>
            </w:r>
            <w:r>
              <w:t xml:space="preserve"> </w:t>
            </w:r>
            <w:r>
              <w:t xml:space="preserve">“</w:t>
            </w:r>
            <w:r>
              <w:t xml:space="preserve">Adjunct Lecturer</w:t>
            </w:r>
            <w:r>
              <w:t xml:space="preserve">”</w:t>
            </w:r>
            <w:r>
              <w:t xml:space="preserve">; two-rank upgrade</w:t>
            </w:r>
          </w:p>
        </w:tc>
        <w:tc>
          <w:tcPr/>
          <w:p>
            <w:pPr>
              <w:pStyle w:val="Compact"/>
              <w:jc w:val="left"/>
            </w:pPr>
            <w:r>
              <w:t xml:space="preserve">HIGH (fraud)</w:t>
            </w:r>
          </w:p>
        </w:tc>
        <w:tc>
          <w:tcPr/>
          <w:p>
            <w:pPr>
              <w:pStyle w:val="Compact"/>
              <w:jc w:val="left"/>
            </w:pPr>
            <w:r>
              <w:t xml:space="preserve">JICA vs. bios</w:t>
            </w:r>
          </w:p>
        </w:tc>
      </w:tr>
      <w:tr>
        <w:tc>
          <w:tcPr/>
          <w:p>
            <w:pPr>
              <w:pStyle w:val="Compact"/>
              <w:jc w:val="left"/>
            </w:pPr>
            <w:r>
              <w:t xml:space="preserve">Adjunct Lecturer at BCA Academy, SIT, NUS SCALE</w:t>
            </w:r>
          </w:p>
        </w:tc>
        <w:tc>
          <w:tcPr/>
          <w:p>
            <w:pPr>
              <w:pStyle w:val="Compact"/>
              <w:jc w:val="left"/>
            </w:pPr>
            <w:r>
              <w:rPr>
                <w:bCs/>
                <w:b/>
              </w:rPr>
              <w:t xml:space="preserve">NOT VERIFIED</w:t>
            </w:r>
            <w:r>
              <w:t xml:space="preserve"> </w:t>
            </w:r>
            <w:r>
              <w:t xml:space="preserve">— No institutional directory listings</w:t>
            </w:r>
          </w:p>
        </w:tc>
        <w:tc>
          <w:tcPr/>
          <w:p>
            <w:pPr>
              <w:pStyle w:val="Compact"/>
              <w:jc w:val="left"/>
            </w:pPr>
            <w:r>
              <w:t xml:space="preserve">LOW</w:t>
            </w:r>
          </w:p>
        </w:tc>
        <w:tc>
          <w:tcPr/>
          <w:p>
            <w:pPr>
              <w:pStyle w:val="Compact"/>
              <w:jc w:val="left"/>
            </w:pPr>
            <w:r>
              <w:t xml:space="preserve">BCA</w:t>
            </w:r>
            <w:r>
              <w:t xml:space="preserve"> </w:t>
            </w:r>
            <w:r>
              <w:rPr>
                <w:vertAlign w:val="superscript"/>
              </w:rPr>
              <w:t xml:space="preserve">6</w:t>
            </w:r>
            <w:r>
              <w:t xml:space="preserve">, SIT</w:t>
            </w:r>
            <w:r>
              <w:t xml:space="preserve"> </w:t>
            </w:r>
            <w:r>
              <w:rPr>
                <w:vertAlign w:val="superscript"/>
              </w:rPr>
              <w:t xml:space="preserve">7</w:t>
            </w:r>
            <w:r>
              <w:t xml:space="preserve"> </w:t>
            </w:r>
            <w:r>
              <w:rPr>
                <w:vertAlign w:val="superscript"/>
              </w:rPr>
              <w:t xml:space="preserve">8</w:t>
            </w:r>
            <w:r>
              <w:t xml:space="preserve">, SCALE</w:t>
            </w:r>
            <w:r>
              <w:t xml:space="preserve"> </w:t>
            </w:r>
            <w:r>
              <w:rPr>
                <w:vertAlign w:val="superscript"/>
              </w:rPr>
              <w:t xml:space="preserve">9</w:t>
            </w:r>
          </w:p>
        </w:tc>
      </w:tr>
      <w:tr>
        <w:tc>
          <w:tcPr/>
          <w:p>
            <w:pPr>
              <w:pStyle w:val="Compact"/>
              <w:jc w:val="left"/>
            </w:pPr>
            <w:r>
              <w:t xml:space="preserve">Vietnam</w:t>
            </w:r>
            <w:r>
              <w:t xml:space="preserve"> </w:t>
            </w:r>
            <w:r>
              <w:t xml:space="preserve">“</w:t>
            </w:r>
            <w:r>
              <w:t xml:space="preserve">Master Consultant</w:t>
            </w:r>
            <w:r>
              <w:t xml:space="preserve">”</w:t>
            </w:r>
            <w:r>
              <w:t xml:space="preserve"> </w:t>
            </w:r>
            <w:r>
              <w:t xml:space="preserve">(Aug 2020)</w:t>
            </w:r>
          </w:p>
        </w:tc>
        <w:tc>
          <w:tcPr/>
          <w:p>
            <w:pPr>
              <w:pStyle w:val="Compact"/>
              <w:jc w:val="left"/>
            </w:pPr>
            <w:r>
              <w:rPr>
                <w:bCs/>
                <w:b/>
              </w:rPr>
              <w:t xml:space="preserve">NOT VERIFIED</w:t>
            </w:r>
            <w:r>
              <w:t xml:space="preserve"> </w:t>
            </w:r>
            <w:r>
              <w:t xml:space="preserve">— Developer name never disclosed</w:t>
            </w:r>
          </w:p>
        </w:tc>
        <w:tc>
          <w:tcPr/>
          <w:p>
            <w:pPr>
              <w:pStyle w:val="Compact"/>
              <w:jc w:val="left"/>
            </w:pPr>
            <w:r>
              <w:t xml:space="preserve">LOW</w:t>
            </w:r>
          </w:p>
        </w:tc>
        <w:tc>
          <w:tcPr/>
          <w:p>
            <w:pPr>
              <w:pStyle w:val="Compact"/>
              <w:jc w:val="left"/>
            </w:pPr>
            <w:r>
              <w:t xml:space="preserve">Self-claimed</w:t>
            </w:r>
          </w:p>
        </w:tc>
      </w:tr>
      <w:tr>
        <w:tc>
          <w:tcPr/>
          <w:p>
            <w:pPr>
              <w:pStyle w:val="Compact"/>
              <w:jc w:val="left"/>
            </w:pPr>
            <w:r>
              <w:t xml:space="preserve">Phnom Penh Smart City Strategic Roadmap consultant</w:t>
            </w:r>
          </w:p>
        </w:tc>
        <w:tc>
          <w:tcPr/>
          <w:p>
            <w:pPr>
              <w:pStyle w:val="Compact"/>
              <w:jc w:val="left"/>
            </w:pPr>
            <w:r>
              <w:rPr>
                <w:bCs/>
                <w:b/>
              </w:rPr>
              <w:t xml:space="preserve">PARTIALLY VERIFIED</w:t>
            </w:r>
            <w:r>
              <w:t xml:space="preserve"> </w:t>
            </w:r>
            <w:r>
              <w:t xml:space="preserve">— No Cambodian government confirmation</w:t>
            </w:r>
          </w:p>
        </w:tc>
        <w:tc>
          <w:tcPr/>
          <w:p>
            <w:pPr>
              <w:pStyle w:val="Compact"/>
              <w:jc w:val="left"/>
            </w:pPr>
            <w:r>
              <w:t xml:space="preserve">MEDIUM</w:t>
            </w:r>
          </w:p>
        </w:tc>
        <w:tc>
          <w:tcPr/>
          <w:p>
            <w:pPr>
              <w:pStyle w:val="Compact"/>
              <w:jc w:val="left"/>
            </w:pPr>
            <w:r>
              <w:t xml:space="preserve">Slides , T20</w:t>
            </w:r>
          </w:p>
        </w:tc>
      </w:tr>
      <w:tr>
        <w:tc>
          <w:tcPr/>
          <w:p>
            <w:pPr>
              <w:pStyle w:val="Compact"/>
              <w:jc w:val="left"/>
            </w:pPr>
            <w:r>
              <w:t xml:space="preserve">UN ESCAP Cambodia consultant</w:t>
            </w:r>
          </w:p>
        </w:tc>
        <w:tc>
          <w:tcPr/>
          <w:p>
            <w:pPr>
              <w:pStyle w:val="Compact"/>
              <w:jc w:val="left"/>
            </w:pPr>
            <w:r>
              <w:rPr>
                <w:bCs/>
                <w:b/>
              </w:rPr>
              <w:t xml:space="preserve">PARTIALLY VERIFIED</w:t>
            </w:r>
            <w:r>
              <w:t xml:space="preserve"> </w:t>
            </w:r>
            <w:r>
              <w:t xml:space="preserve">— No UN ESCAP contract found</w:t>
            </w:r>
          </w:p>
        </w:tc>
        <w:tc>
          <w:tcPr/>
          <w:p>
            <w:pPr>
              <w:pStyle w:val="Compact"/>
              <w:jc w:val="left"/>
            </w:pPr>
            <w:r>
              <w:t xml:space="preserve">MEDIUM</w:t>
            </w:r>
          </w:p>
        </w:tc>
        <w:tc>
          <w:tcPr/>
          <w:p>
            <w:pPr>
              <w:pStyle w:val="Compact"/>
              <w:jc w:val="left"/>
            </w:pPr>
            <w:r>
              <w:t xml:space="preserve">Bios only</w:t>
            </w:r>
          </w:p>
        </w:tc>
      </w:tr>
      <w:tr>
        <w:tc>
          <w:tcPr/>
          <w:p>
            <w:pPr>
              <w:pStyle w:val="Compact"/>
              <w:jc w:val="left"/>
            </w:pPr>
            <w:r>
              <w:t xml:space="preserve">Patents or professional certifications</w:t>
            </w:r>
          </w:p>
        </w:tc>
        <w:tc>
          <w:tcPr/>
          <w:p>
            <w:pPr>
              <w:pStyle w:val="Compact"/>
              <w:jc w:val="left"/>
            </w:pPr>
            <w:r>
              <w:rPr>
                <w:bCs/>
                <w:b/>
              </w:rPr>
              <w:t xml:space="preserve">NONE FOUND</w:t>
            </w:r>
            <w:r>
              <w:t xml:space="preserve"> </w:t>
            </w:r>
            <w:r>
              <w:t xml:space="preserve">— Zero records in any database</w:t>
            </w:r>
          </w:p>
        </w:tc>
        <w:tc>
          <w:tcPr/>
          <w:p>
            <w:pPr>
              <w:pStyle w:val="Compact"/>
              <w:jc w:val="left"/>
            </w:pPr>
            <w:r>
              <w:t xml:space="preserve">HIGH</w:t>
            </w:r>
          </w:p>
        </w:tc>
        <w:tc>
          <w:tcPr/>
          <w:p>
            <w:pPr>
              <w:pStyle w:val="Compact"/>
              <w:jc w:val="left"/>
            </w:pPr>
            <w:r>
              <w:t xml:space="preserve">Multiple searches</w:t>
            </w:r>
          </w:p>
        </w:tc>
      </w:tr>
    </w:tbl>
    <w:p>
      <w:r>
        <w:pict>
          <v:rect style="width:0;height:1.5pt" o:hralign="center" o:hrstd="t" o:hr="t"/>
        </w:pict>
      </w:r>
    </w:p>
    <w:bookmarkEnd w:id="81"/>
    <w:bookmarkStart w:id="82" w:name="chapter-2-assessment"/>
    <w:p>
      <w:pPr>
        <w:pStyle w:val="Heading3"/>
      </w:pPr>
      <w:r>
        <w:t xml:space="preserve">Chapter 2 Assessment</w:t>
      </w:r>
    </w:p>
    <w:p>
      <w:pPr>
        <w:pStyle w:val="FirstParagraph"/>
      </w:pPr>
      <w:r>
        <w:t xml:space="preserve">Kok Chin Tay is not a fiction. His IBM employment is real. His SCN chairmanship is legally registered. His Philippines DOST advisory role is confirmed by official government sources. His Smart Cities Council ASEAN Executive Director position is documented in G20 papers and Hong Kong government press releases. These are legitimate credentials that would support a credible smart cities consulting career.</w:t>
      </w:r>
    </w:p>
    <w:p>
      <w:pPr>
        <w:pStyle w:val="BodyText"/>
      </w:pPr>
      <w:r>
        <w:t xml:space="preserve">But they are not sufficient for the profile he has constructed.</w:t>
      </w:r>
    </w:p>
    <w:p>
      <w:pPr>
        <w:pStyle w:val="BodyText"/>
      </w:pPr>
      <w:r>
        <w:t xml:space="preserve">The</w:t>
      </w:r>
      <w:r>
        <w:t xml:space="preserve"> </w:t>
      </w:r>
      <w:r>
        <w:t xml:space="preserve">“</w:t>
      </w:r>
      <w:r>
        <w:t xml:space="preserve">Dr.</w:t>
      </w:r>
      <w:r>
        <w:t xml:space="preserve">”</w:t>
      </w:r>
      <w:r>
        <w:t xml:space="preserve"> </w:t>
      </w:r>
      <w:r>
        <w:t xml:space="preserve">and</w:t>
      </w:r>
      <w:r>
        <w:t xml:space="preserve"> </w:t>
      </w:r>
      <w:r>
        <w:t xml:space="preserve">“</w:t>
      </w:r>
      <w:r>
        <w:t xml:space="preserve">Professor</w:t>
      </w:r>
      <w:r>
        <w:t xml:space="preserve">”</w:t>
      </w:r>
      <w:r>
        <w:t xml:space="preserve"> </w:t>
      </w:r>
      <w:r>
        <w:t xml:space="preserve">titles are not embellishments — they are systematically inflated academic credentials that have propagated through official channels for years without correction. A man with a Master’s degree has been presented, and has allowed himself to be presented, as holding doctoral and professorial rank. Government agencies in the Philippines, a Japanese international development agency, and a Cambodian national university have all published these false titles.</w:t>
      </w:r>
    </w:p>
    <w:p>
      <w:pPr>
        <w:pStyle w:val="BodyText"/>
      </w:pPr>
      <w:r>
        <w:t xml:space="preserve">The pattern exploits information asymmetry. A Philippines city mayor or a Cambodian provincial official has limited capacity to verify Singaporean academic appointments or British university degrees. When the Philippines DOST itself calls him</w:t>
      </w:r>
      <w:r>
        <w:t xml:space="preserve"> </w:t>
      </w:r>
      <w:r>
        <w:t xml:space="preserve">“</w:t>
      </w:r>
      <w:r>
        <w:t xml:space="preserve">Dr.,</w:t>
      </w:r>
      <w:r>
        <w:t xml:space="preserve">”</w:t>
      </w:r>
      <w:r>
        <w:t xml:space="preserve"> </w:t>
      </w:r>
      <w:r>
        <w:t xml:space="preserve">who in that bureaucratic chain would question it? When JICA calls him</w:t>
      </w:r>
      <w:r>
        <w:t xml:space="preserve"> </w:t>
      </w:r>
      <w:r>
        <w:t xml:space="preserve">“</w:t>
      </w:r>
      <w:r>
        <w:t xml:space="preserve">Adjunct Professor at NUS,</w:t>
      </w:r>
      <w:r>
        <w:t xml:space="preserve">”</w:t>
      </w:r>
      <w:r>
        <w:t xml:space="preserve"> </w:t>
      </w:r>
      <w:r>
        <w:t xml:space="preserve">who in Cambodia would know that NUS directories do not list him?</w:t>
      </w:r>
    </w:p>
    <w:p>
      <w:pPr>
        <w:pStyle w:val="BodyText"/>
      </w:pPr>
      <w:r>
        <w:t xml:space="preserve">The title fraud is the foundation upon which other questionable claims rest. It is the single most objectively verifiable misconduct in this investigation — documented in primary sources across three countries, uncorrected for years, and directly facilitating access to government advisory roles that SCN’s operations depend upon.</w:t>
      </w:r>
    </w:p>
    <w:p>
      <w:r>
        <w:pict>
          <v:rect style="width:0;height:1.5pt" o:hralign="center" o:hrstd="t" o:hr="t"/>
        </w:pict>
      </w:r>
    </w:p>
    <w:bookmarkEnd w:id="82"/>
    <w:bookmarkEnd w:id="83"/>
    <w:bookmarkStart w:id="95" w:name="smart-cities-network-what-it-actually-is"/>
    <w:p>
      <w:pPr>
        <w:pStyle w:val="Heading2"/>
      </w:pPr>
      <w:r>
        <w:t xml:space="preserve">3. Smart Cities Network — What It Actually Is</w:t>
      </w:r>
    </w:p>
    <w:p>
      <w:pPr>
        <w:pStyle w:val="FirstParagraph"/>
      </w:pPr>
      <w:r>
        <w:t xml:space="preserve">On paper, Smart Cities Network Ltd is a legitimate Singapore entity with a valid Unique Entity Number, an appropriate not-for-profit corporate structure, and a seven-year operating history. But peel back the registration documents and what emerges is not an organization in any conventional sense — it is a single individual, a rented mailbox, and a collection of unverified partnership claims sustained by the structural invisibility that Singapore corporate law affords to non-charitable companies.</w:t>
      </w:r>
    </w:p>
    <w:p>
      <w:pPr>
        <w:pStyle w:val="BodyText"/>
      </w:pPr>
      <w:r>
        <w:t xml:space="preserve">This chapter examines SCN’s legal foundations, governance vacuum, and financial opacity to establish what the organization actually is.</w:t>
      </w:r>
    </w:p>
    <w:bookmarkStart w:id="94" w:name="legal-status"/>
    <w:p>
      <w:pPr>
        <w:pStyle w:val="Heading3"/>
      </w:pPr>
      <w:r>
        <w:t xml:space="preserve">3.1 Legal Status</w:t>
      </w:r>
    </w:p>
    <w:bookmarkStart w:id="84" w:name="Xd0a699f5d92f340e691e9200472bf8fe3acf3fa"/>
    <w:p>
      <w:pPr>
        <w:pStyle w:val="Heading4"/>
      </w:pPr>
      <w:r>
        <w:t xml:space="preserve">3.1.1 Registered as</w:t>
      </w:r>
      <w:r>
        <w:t xml:space="preserve"> </w:t>
      </w:r>
      <w:r>
        <w:t xml:space="preserve">“</w:t>
      </w:r>
      <w:r>
        <w:t xml:space="preserve">SMART CITIES NETWORK LTD.</w:t>
      </w:r>
      <w:r>
        <w:t xml:space="preserve">”</w:t>
      </w:r>
      <w:r>
        <w:t xml:space="preserve"> </w:t>
      </w:r>
      <w:r>
        <w:t xml:space="preserve">(UEN: 201827719R) — Company Limited by Guarantee, incorporated 14 August 2018</w:t>
      </w:r>
    </w:p>
    <w:p>
      <w:pPr>
        <w:pStyle w:val="FirstParagraph"/>
      </w:pPr>
      <w:r>
        <w:t xml:space="preserve">SCN is registered with Singapore’s Accounting and Corporate Regulatory Authority (ACRA) as SMART CITIES NETWORK LTD, UEN 201827719R, incorporated 14 August 2018 as a Public Company Limited by Guarantee, with registered address at 531A Upper Cross Street, #04-98 Hong Lim Complex, Singapore 051531. The Company Limited by Guarantee (CLG) structure is Singapore’s standard vehicle for not-for-profit organizations. It has no share capital or shareholders; members act as guarantors who agree to pay a nominal sum if the company dissolves. The structure is common and legitimate — used by trade associations, religious bodies, and genuine charities.</w:t>
      </w:r>
    </w:p>
    <w:p>
      <w:pPr>
        <w:pStyle w:val="BodyText"/>
      </w:pPr>
      <w:r>
        <w:t xml:space="preserve">What is remarkable is the timing. SCN was incorporated exactly four months after the official ASEAN Smart Cities Network (ASCN) was established at the 32nd ASEAN Summit on 28 April 2018.</w:t>
      </w:r>
      <w:r>
        <w:t xml:space="preserve"> </w:t>
      </w:r>
      <w:r>
        <w:t xml:space="preserve">“</w:t>
      </w:r>
      <w:r>
        <w:t xml:space="preserve">Smart Cities Network</w:t>
      </w:r>
      <w:r>
        <w:t xml:space="preserve">”</w:t>
      </w:r>
      <w:r>
        <w:t xml:space="preserve"> </w:t>
      </w:r>
      <w:r>
        <w:t xml:space="preserve">is</w:t>
      </w:r>
      <w:r>
        <w:t xml:space="preserve"> </w:t>
      </w:r>
      <w:r>
        <w:t xml:space="preserve">“</w:t>
      </w:r>
      <w:r>
        <w:t xml:space="preserve">ASEAN Smart Cities Network</w:t>
      </w:r>
      <w:r>
        <w:t xml:space="preserve">”</w:t>
      </w:r>
      <w:r>
        <w:t xml:space="preserve"> </w:t>
      </w:r>
      <w:r>
        <w:t xml:space="preserve">with one word removed. SCN’s website contains no disclaimer clarifying it is not the intergovernmental ASCN. The CLG structure provides legal legitimacy; the name harvests credibility from an official ASEAN initiative.</w:t>
      </w:r>
    </w:p>
    <w:bookmarkEnd w:id="84"/>
    <w:bookmarkStart w:id="85" w:name="X46fe0c6325d2a48ad662229fdcd217a81f671e3"/>
    <w:p>
      <w:pPr>
        <w:pStyle w:val="Heading4"/>
      </w:pPr>
      <w:r>
        <w:t xml:space="preserve">3.1.2 NOT a registered charity — pays 17% corporate tax</w:t>
      </w:r>
    </w:p>
    <w:p>
      <w:pPr>
        <w:pStyle w:val="FirstParagraph"/>
      </w:pPr>
      <w:r>
        <w:t xml:space="preserve">SCN is not registered as a charity under Singapore’s Charities Act. A search of the Singapore Charity Portal returns zero results for</w:t>
      </w:r>
      <w:r>
        <w:t xml:space="preserve"> </w:t>
      </w:r>
      <w:r>
        <w:t xml:space="preserve">“</w:t>
      </w:r>
      <w:r>
        <w:t xml:space="preserve">Smart Cities Network.</w:t>
      </w:r>
      <w:r>
        <w:t xml:space="preserve">”</w:t>
      </w:r>
      <w:r>
        <w:t xml:space="preserve"> </w:t>
      </w:r>
      <w:r>
        <w:t xml:space="preserve">Charity registration requires demonstration of exclusively charitable purposes and registration with the Commissioner of Charities — a standard SCN has not met. The consequences are concrete:</w:t>
      </w:r>
    </w:p>
    <w:p>
      <w:pPr>
        <w:numPr>
          <w:ilvl w:val="0"/>
          <w:numId w:val="1005"/>
        </w:numPr>
        <w:pStyle w:val="Compact"/>
      </w:pPr>
      <w:r>
        <w:rPr>
          <w:bCs/>
          <w:b/>
        </w:rPr>
        <w:t xml:space="preserve">No automatic income tax exemption</w:t>
      </w:r>
      <w:r>
        <w:t xml:space="preserve"> </w:t>
      </w:r>
      <w:r>
        <w:t xml:space="preserve">under section 13(1)(zm) of the Income Tax Act -</w:t>
      </w:r>
      <w:r>
        <w:t xml:space="preserve"> </w:t>
      </w:r>
      <w:r>
        <w:rPr>
          <w:bCs/>
          <w:b/>
        </w:rPr>
        <w:t xml:space="preserve">No property tax exemption</w:t>
      </w:r>
      <w:r>
        <w:t xml:space="preserve"> </w:t>
      </w:r>
      <w:r>
        <w:t xml:space="preserve">on premises used for charitable purposes</w:t>
      </w:r>
    </w:p>
    <w:p>
      <w:pPr>
        <w:numPr>
          <w:ilvl w:val="0"/>
          <w:numId w:val="1005"/>
        </w:numPr>
        <w:pStyle w:val="Compact"/>
      </w:pPr>
      <w:r>
        <w:rPr>
          <w:bCs/>
          <w:b/>
        </w:rPr>
        <w:t xml:space="preserve">Cannot issue tax-deductible receipts</w:t>
      </w:r>
      <w:r>
        <w:t xml:space="preserve"> </w:t>
      </w:r>
      <w:r>
        <w:t xml:space="preserve">for donations (no IPC status)</w:t>
      </w:r>
    </w:p>
    <w:p>
      <w:pPr>
        <w:numPr>
          <w:ilvl w:val="0"/>
          <w:numId w:val="1005"/>
        </w:numPr>
        <w:pStyle w:val="Compact"/>
      </w:pPr>
      <w:r>
        <w:rPr>
          <w:bCs/>
          <w:b/>
        </w:rPr>
        <w:t xml:space="preserve">Not subject</w:t>
      </w:r>
      <w:r>
        <w:t xml:space="preserve"> </w:t>
      </w:r>
      <w:r>
        <w:t xml:space="preserve">to the Charity Council’s Code of Governance</w:t>
      </w:r>
    </w:p>
    <w:p>
      <w:pPr>
        <w:pStyle w:val="FirstParagraph"/>
      </w:pPr>
      <w:r>
        <w:t xml:space="preserve">SCN pays Singapore’s standard corporate income tax rate of 17% on chargeable income. Whatever</w:t>
      </w:r>
      <w:r>
        <w:t xml:space="preserve"> </w:t>
      </w:r>
      <w:r>
        <w:t xml:space="preserve">“</w:t>
      </w:r>
      <w:r>
        <w:t xml:space="preserve">not-for-profit</w:t>
      </w:r>
      <w:r>
        <w:t xml:space="preserve">”</w:t>
      </w:r>
      <w:r>
        <w:t xml:space="preserve"> </w:t>
      </w:r>
      <w:r>
        <w:t xml:space="preserve">means to SCN, it does not mean the tax-exempt status that Singapore law associates with charitable activity.</w:t>
      </w:r>
    </w:p>
    <w:bookmarkEnd w:id="85"/>
    <w:bookmarkStart w:id="86" w:name="Xdefa42851f3bf46caa6bd4e40490775c008013a"/>
    <w:p>
      <w:pPr>
        <w:pStyle w:val="Heading4"/>
      </w:pPr>
      <w:r>
        <w:t xml:space="preserve">3.1.3</w:t>
      </w:r>
      <w:r>
        <w:t xml:space="preserve"> </w:t>
      </w:r>
      <w:r>
        <w:t xml:space="preserve">“</w:t>
      </w:r>
      <w:r>
        <w:t xml:space="preserve">Not-for-profit</w:t>
      </w:r>
      <w:r>
        <w:t xml:space="preserve">”</w:t>
      </w:r>
      <w:r>
        <w:t xml:space="preserve"> </w:t>
      </w:r>
      <w:r>
        <w:t xml:space="preserve">is a self-descriptor with no legal basis</w:t>
      </w:r>
    </w:p>
    <w:p>
      <w:pPr>
        <w:pStyle w:val="FirstParagraph"/>
      </w:pPr>
      <w:r>
        <w:t xml:space="preserve">The term</w:t>
      </w:r>
      <w:r>
        <w:t xml:space="preserve"> </w:t>
      </w:r>
      <w:r>
        <w:t xml:space="preserve">“</w:t>
      </w:r>
      <w:r>
        <w:t xml:space="preserve">not-for-profit</w:t>
      </w:r>
      <w:r>
        <w:t xml:space="preserve">”</w:t>
      </w:r>
      <w:r>
        <w:t xml:space="preserve"> </w:t>
      </w:r>
      <w:r>
        <w:t xml:space="preserve">appears throughout SCN’s website, press releases, and Chairman Kok Chin Tay’s biographies. But in Singapore corporate law,</w:t>
      </w:r>
      <w:r>
        <w:t xml:space="preserve"> </w:t>
      </w:r>
      <w:r>
        <w:t xml:space="preserve">“</w:t>
      </w:r>
      <w:r>
        <w:t xml:space="preserve">not-for-profit</w:t>
      </w:r>
      <w:r>
        <w:t xml:space="preserve">”</w:t>
      </w:r>
      <w:r>
        <w:t xml:space="preserve"> </w:t>
      </w:r>
      <w:r>
        <w:t xml:space="preserve">has no independent legal meaning. It is a self-descriptor, not a regulated category.</w:t>
      </w:r>
    </w:p>
    <w:p>
      <w:pPr>
        <w:pStyle w:val="BodyText"/>
      </w:pPr>
      <w:r>
        <w:t xml:space="preserve">A CLG cannot distribute profits to members, which creates a not-for-profit</w:t>
      </w:r>
      <w:r>
        <w:t xml:space="preserve"> </w:t>
      </w:r>
      <w:r>
        <w:rPr>
          <w:iCs/>
          <w:i/>
        </w:rPr>
        <w:t xml:space="preserve">structure</w:t>
      </w:r>
      <w:r>
        <w:t xml:space="preserve">. But without charity registration, no regulator reviews whether SCN’s activities serve charitable purposes, whether directors fulfill fiduciary duties, or whether resources are deployed for public benefit. The label becomes a statement of aspiration — one SCN deploys to solicit partnerships without submitting to the accountability mechanisms that legitimate Singapore nonprofits accept.</w:t>
      </w:r>
    </w:p>
    <w:bookmarkEnd w:id="86"/>
    <w:bookmarkStart w:id="87" w:name="X8ad5de14d722e47f8b9ea5d8441706a1d15e8f2"/>
    <w:p>
      <w:pPr>
        <w:pStyle w:val="Heading4"/>
      </w:pPr>
      <w:r>
        <w:t xml:space="preserve">3.1.4 Virtual office at Hong Lim Complex (100+ companies share the address)</w:t>
      </w:r>
    </w:p>
    <w:p>
      <w:pPr>
        <w:pStyle w:val="FirstParagraph"/>
      </w:pPr>
      <w:r>
        <w:t xml:space="preserve">SCN’s registered address at 531A Upper Cross Street, #04-98 Hong Lim Complex is a virtual office in a commercial building shared by more than 100 companies. Multiple corporate service providers list the exact same unit as their registered address offering. The arrangement is legal and common. But it means SCN almost certainly maintains no physical office, no staff to visit, and no operational headquarters. The</w:t>
      </w:r>
      <w:r>
        <w:t xml:space="preserve"> </w:t>
      </w:r>
      <w:r>
        <w:t xml:space="preserve">“</w:t>
      </w:r>
      <w:r>
        <w:t xml:space="preserve">office</w:t>
      </w:r>
      <w:r>
        <w:t xml:space="preserve">”</w:t>
      </w:r>
      <w:r>
        <w:t xml:space="preserve"> </w:t>
      </w:r>
      <w:r>
        <w:t xml:space="preserve">is a mailbox in a shared business center — consistent with a one-person operation rather than the regional network SCN claims to be. ### 3.2 Governance Reality</w:t>
      </w:r>
    </w:p>
    <w:bookmarkEnd w:id="87"/>
    <w:bookmarkStart w:id="88" w:name="X812474b1e403fb8544adc7fda7dfb0787a7c183"/>
    <w:p>
      <w:pPr>
        <w:pStyle w:val="Heading4"/>
      </w:pPr>
      <w:r>
        <w:t xml:space="preserve">3.2.1 KC Tay is sole identifiable person — no board, no staff, no employees named</w:t>
      </w:r>
    </w:p>
    <w:p>
      <w:pPr>
        <w:pStyle w:val="FirstParagraph"/>
      </w:pPr>
      <w:r>
        <w:t xml:space="preserve">After exhaustive searches across SCN’s website, press releases, conference programs, academic papers, and government documents, exactly one person is identified with SCN in any leadership capacity: Kok Chin Tay, the</w:t>
      </w:r>
      <w:r>
        <w:t xml:space="preserve"> </w:t>
      </w:r>
      <w:r>
        <w:t xml:space="preserve">“</w:t>
      </w:r>
      <w:r>
        <w:t xml:space="preserve">Founding Chairman.</w:t>
      </w:r>
      <w:r>
        <w:t xml:space="preserve">”</w:t>
      </w:r>
      <w:r>
        <w:t xml:space="preserve"> </w:t>
      </w:r>
      <w:r>
        <w:rPr>
          <w:vertAlign w:val="superscript"/>
        </w:rPr>
        <w:t xml:space="preserve">10</w:t>
      </w:r>
      <w:r>
        <w:t xml:space="preserve">No other individual has ever been named as a board member, director, employee, volunteer, or officer in any public source across seven years. The SCN</w:t>
      </w:r>
      <w:r>
        <w:t xml:space="preserve"> </w:t>
      </w:r>
      <w:r>
        <w:t xml:space="preserve">“</w:t>
      </w:r>
      <w:r>
        <w:t xml:space="preserve">Contact Us</w:t>
      </w:r>
      <w:r>
        <w:t xml:space="preserve">”</w:t>
      </w:r>
      <w:r>
        <w:t xml:space="preserve"> </w:t>
      </w:r>
      <w:r>
        <w:t xml:space="preserve">page lists a single email address and one mobile phone number. No departmental contacts. No media inquiries line. No administrative support.</w:t>
      </w:r>
    </w:p>
    <w:p>
      <w:pPr>
        <w:pStyle w:val="BodyText"/>
      </w:pPr>
      <w:r>
        <w:t xml:space="preserve">This is the profile of a personal consulting vehicle, not a seven-year-old organization claiming 13 partner cities across five ASEAN nations. #### 3.2.2</w:t>
      </w:r>
      <w:r>
        <w:t xml:space="preserve"> </w:t>
      </w:r>
      <w:r>
        <w:t xml:space="preserve">“</w:t>
      </w:r>
      <w:r>
        <w:t xml:space="preserve">Executive Council</w:t>
      </w:r>
      <w:r>
        <w:t xml:space="preserve">”</w:t>
      </w:r>
      <w:r>
        <w:t xml:space="preserve"> </w:t>
      </w:r>
      <w:r>
        <w:t xml:space="preserve">claimed but zero members named</w:t>
      </w:r>
    </w:p>
    <w:p>
      <w:pPr>
        <w:pStyle w:val="BodyText"/>
      </w:pPr>
      <w:r>
        <w:t xml:space="preserve">SCN’s website</w:t>
      </w:r>
      <w:r>
        <w:t xml:space="preserve"> </w:t>
      </w:r>
      <w:r>
        <w:t xml:space="preserve">“</w:t>
      </w:r>
      <w:r>
        <w:t xml:space="preserve">Structure</w:t>
      </w:r>
      <w:r>
        <w:t xml:space="preserve">”</w:t>
      </w:r>
      <w:r>
        <w:t xml:space="preserve"> </w:t>
      </w:r>
      <w:r>
        <w:t xml:space="preserve">page describes a hierarchy topped by an</w:t>
      </w:r>
      <w:r>
        <w:t xml:space="preserve"> </w:t>
      </w:r>
      <w:r>
        <w:t xml:space="preserve">“</w:t>
      </w:r>
      <w:r>
        <w:t xml:space="preserve">Executive Council</w:t>
      </w:r>
      <w:r>
        <w:t xml:space="preserve">”</w:t>
      </w:r>
      <w:r>
        <w:t xml:space="preserve"> </w:t>
      </w:r>
      <w:r>
        <w:t xml:space="preserve">— the</w:t>
      </w:r>
      <w:r>
        <w:t xml:space="preserve"> </w:t>
      </w:r>
      <w:r>
        <w:t xml:space="preserve">“</w:t>
      </w:r>
      <w:r>
        <w:t xml:space="preserve">strategic leadership and governance body overseeing the network’s mission and global alignment.</w:t>
      </w:r>
      <w:r>
        <w:t xml:space="preserve">”</w:t>
      </w:r>
      <w:r>
        <w:t xml:space="preserve"> </w:t>
      </w:r>
      <w:r>
        <w:rPr>
          <w:vertAlign w:val="superscript"/>
        </w:rPr>
        <w:t xml:space="preserve">11</w:t>
      </w:r>
      <w:r>
        <w:t xml:space="preserve">Below it sit claimed</w:t>
      </w:r>
      <w:r>
        <w:t xml:space="preserve"> </w:t>
      </w:r>
      <w:r>
        <w:t xml:space="preserve">“</w:t>
      </w:r>
      <w:r>
        <w:t xml:space="preserve">Regional Chapters,</w:t>
      </w:r>
      <w:r>
        <w:t xml:space="preserve">”</w:t>
      </w:r>
      <w:r>
        <w:t xml:space="preserve"> </w:t>
      </w:r>
      <w:r>
        <w:t xml:space="preserve">“</w:t>
      </w:r>
      <w:r>
        <w:t xml:space="preserve">Working Groups</w:t>
      </w:r>
      <w:r>
        <w:t xml:space="preserve">”</w:t>
      </w:r>
      <w:r>
        <w:t xml:space="preserve"> </w:t>
      </w:r>
      <w:r>
        <w:t xml:space="preserve">(Mobility, Sustainability, Cyber Security), a</w:t>
      </w:r>
      <w:r>
        <w:t xml:space="preserve"> </w:t>
      </w:r>
      <w:r>
        <w:t xml:space="preserve">“</w:t>
      </w:r>
      <w:r>
        <w:t xml:space="preserve">Youth Network (SCYN)</w:t>
      </w:r>
      <w:r>
        <w:t xml:space="preserve">”</w:t>
      </w:r>
      <w:r>
        <w:t xml:space="preserve"> </w:t>
      </w:r>
      <w:r>
        <w:t xml:space="preserve">at two Singapore universities, and a</w:t>
      </w:r>
      <w:r>
        <w:t xml:space="preserve"> </w:t>
      </w:r>
      <w:r>
        <w:t xml:space="preserve">“</w:t>
      </w:r>
      <w:r>
        <w:t xml:space="preserve">Member Community.</w:t>
      </w:r>
      <w:r>
        <w:t xml:space="preserve">”</w:t>
      </w:r>
      <w:r>
        <w:t xml:space="preserve"> </w:t>
      </w:r>
      <w:r>
        <w:t xml:space="preserve">Not a single Executive Council member is named. No terms of reference, meeting schedules, or minutes are published. Regional Chapters have no listed locations or leaders. Working Groups have no chairs. The Youth Network has no documented activities.</w:t>
      </w:r>
      <w:r>
        <w:t xml:space="preserve"> </w:t>
      </w:r>
      <w:r>
        <w:rPr>
          <w:vertAlign w:val="superscript"/>
        </w:rPr>
        <w:t xml:space="preserve">11</w:t>
      </w:r>
      <w:r>
        <w:t xml:space="preserve">This is a hollow governance structure — organizational chart labels without substance. The Executive Council exists as a conceptual placeholder, giving SCN the appearance of collective decision-making while all authority rests with one person.</w:t>
      </w:r>
    </w:p>
    <w:bookmarkEnd w:id="88"/>
    <w:bookmarkStart w:id="89" w:name="uses-scc-email-for-scn-business"/>
    <w:p>
      <w:pPr>
        <w:pStyle w:val="Heading4"/>
      </w:pPr>
      <w:r>
        <w:t xml:space="preserve">3.2.3 Uses SCC email for SCN business</w:t>
      </w:r>
    </w:p>
    <w:p>
      <w:pPr>
        <w:pStyle w:val="FirstParagraph"/>
      </w:pPr>
      <w:r>
        <w:t xml:space="preserve">Multiple official documents list KC Tay’s contact as</w:t>
      </w:r>
      <w:r>
        <w:t xml:space="preserve"> </w:t>
      </w:r>
      <w:r>
        <w:rPr>
          <w:bCs/>
          <w:b/>
        </w:rPr>
        <w:t xml:space="preserve">KC.TAY@SmartCitiesCouncil.com</w:t>
      </w:r>
      <w:r>
        <w:t xml:space="preserve">, not SCN’s own smartcitiesnetwork.org domain. Tay has stated:</w:t>
      </w:r>
      <w:r>
        <w:t xml:space="preserve"> </w:t>
      </w:r>
      <w:r>
        <w:t xml:space="preserve">“</w:t>
      </w:r>
      <w:r>
        <w:t xml:space="preserve">My name is Kok Chin (KC) Tay, Chairman of the Smart Cities Network and the ASEAN Exec Director of US-based Smart Cities Council.</w:t>
      </w:r>
      <w:r>
        <w:t xml:space="preserve">”</w:t>
      </w:r>
      <w:r>
        <w:t xml:space="preserve"> </w:t>
      </w:r>
      <w:r>
        <w:t xml:space="preserve">This dual role creates significant conflict of interest: SCN claims to be an independent not-for-profit network, while SCC is a global commercial ecosystem with paying members. By directing SCN communications through SCC infrastructure, Tay blurs the organizational boundary. There is no published disclosure of this dual role, no recusal policy, and no management of the conflicts that arise when one person directs two similarly named organizations with different commercial incentives. #### 3.2.4 No governance documents published</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A comprehensive search returned no published governance documents anywhere:</w:t>
            </w:r>
            <w:r>
              <w:t xml:space="preserve"> </w:t>
            </w:r>
            <w:r>
              <w:rPr>
                <w:vertAlign w:val="superscript"/>
              </w:rPr>
              <w:t xml:space="preserve">12</w:t>
            </w:r>
            <w:r>
              <w:t xml:space="preserve"> </w:t>
            </w:r>
            <w:r>
              <w:rPr>
                <w:vertAlign w:val="superscript"/>
              </w:rPr>
              <w:t xml:space="preserve">13</w:t>
            </w:r>
          </w:p>
        </w:tc>
        <w:tc>
          <w:tcPr/>
          <w:p>
            <w:pPr>
              <w:pStyle w:val="Compact"/>
              <w:jc w:val="left"/>
            </w:pPr>
            <w:r>
              <w:t xml:space="preserve">Document Type</w:t>
            </w:r>
          </w:p>
        </w:tc>
      </w:tr>
      <w:tr>
        <w:tc>
          <w:tcPr/>
          <w:p>
            <w:pPr>
              <w:pStyle w:val="Compact"/>
              <w:jc w:val="left"/>
            </w:pPr>
            <w:r>
              <w:t xml:space="preserve">Constitution or Memorandum &amp; Articles of Association</w:t>
            </w:r>
          </w:p>
        </w:tc>
        <w:tc>
          <w:tcPr/>
          <w:p>
            <w:pPr>
              <w:pStyle w:val="Compact"/>
              <w:jc w:val="left"/>
            </w:pPr>
            <w:r>
              <w:rPr>
                <w:bCs/>
                <w:b/>
              </w:rPr>
              <w:t xml:space="preserve">NOT FOUND</w:t>
            </w:r>
          </w:p>
        </w:tc>
      </w:tr>
      <w:tr>
        <w:tc>
          <w:tcPr/>
          <w:p>
            <w:pPr>
              <w:pStyle w:val="Compact"/>
              <w:jc w:val="left"/>
            </w:pPr>
            <w:r>
              <w:t xml:space="preserve">Bylaws or Rules of Procedure</w:t>
            </w:r>
          </w:p>
        </w:tc>
        <w:tc>
          <w:tcPr/>
          <w:p>
            <w:pPr>
              <w:pStyle w:val="Compact"/>
              <w:jc w:val="left"/>
            </w:pPr>
            <w:r>
              <w:rPr>
                <w:bCs/>
                <w:b/>
              </w:rPr>
              <w:t xml:space="preserve">NOT FOUND</w:t>
            </w:r>
          </w:p>
        </w:tc>
      </w:tr>
      <w:tr>
        <w:tc>
          <w:tcPr/>
          <w:p>
            <w:pPr>
              <w:pStyle w:val="Compact"/>
              <w:jc w:val="left"/>
            </w:pPr>
            <w:r>
              <w:t xml:space="preserve">Board/Executive Council Terms of Reference</w:t>
            </w:r>
          </w:p>
        </w:tc>
        <w:tc>
          <w:tcPr/>
          <w:p>
            <w:pPr>
              <w:pStyle w:val="Compact"/>
              <w:jc w:val="left"/>
            </w:pPr>
            <w:r>
              <w:rPr>
                <w:bCs/>
                <w:b/>
              </w:rPr>
              <w:t xml:space="preserve">NOT FOUND</w:t>
            </w:r>
          </w:p>
        </w:tc>
      </w:tr>
      <w:tr>
        <w:tc>
          <w:tcPr/>
          <w:p>
            <w:pPr>
              <w:pStyle w:val="Compact"/>
              <w:jc w:val="left"/>
            </w:pPr>
            <w:r>
              <w:t xml:space="preserve">Code of Conduct or Ethics Policy</w:t>
            </w:r>
          </w:p>
        </w:tc>
        <w:tc>
          <w:tcPr/>
          <w:p>
            <w:pPr>
              <w:pStyle w:val="Compact"/>
              <w:jc w:val="left"/>
            </w:pPr>
            <w:r>
              <w:rPr>
                <w:bCs/>
                <w:b/>
              </w:rPr>
              <w:t xml:space="preserve">NOT FOUND</w:t>
            </w:r>
          </w:p>
        </w:tc>
      </w:tr>
      <w:tr>
        <w:tc>
          <w:tcPr/>
          <w:p>
            <w:pPr>
              <w:pStyle w:val="Compact"/>
              <w:jc w:val="left"/>
            </w:pPr>
            <w:r>
              <w:t xml:space="preserve">Conflict of Interest Policy</w:t>
            </w:r>
          </w:p>
        </w:tc>
        <w:tc>
          <w:tcPr/>
          <w:p>
            <w:pPr>
              <w:pStyle w:val="Compact"/>
              <w:jc w:val="left"/>
            </w:pPr>
            <w:r>
              <w:rPr>
                <w:bCs/>
                <w:b/>
              </w:rPr>
              <w:t xml:space="preserve">NOT FOUND</w:t>
            </w:r>
          </w:p>
        </w:tc>
      </w:tr>
      <w:tr>
        <w:tc>
          <w:tcPr/>
          <w:p>
            <w:pPr>
              <w:pStyle w:val="Compact"/>
              <w:jc w:val="left"/>
            </w:pPr>
            <w:r>
              <w:t xml:space="preserve">Whistleblower Policy</w:t>
            </w:r>
          </w:p>
        </w:tc>
        <w:tc>
          <w:tcPr/>
          <w:p>
            <w:pPr>
              <w:pStyle w:val="Compact"/>
              <w:jc w:val="left"/>
            </w:pPr>
            <w:r>
              <w:rPr>
                <w:bCs/>
                <w:b/>
              </w:rPr>
              <w:t xml:space="preserve">NOT FOUND</w:t>
            </w:r>
          </w:p>
        </w:tc>
      </w:tr>
      <w:tr>
        <w:tc>
          <w:tcPr/>
          <w:p>
            <w:pPr>
              <w:pStyle w:val="Compact"/>
              <w:jc w:val="left"/>
            </w:pPr>
            <w:r>
              <w:t xml:space="preserve">Annual Report (any year, 2018–2024)</w:t>
            </w:r>
          </w:p>
        </w:tc>
        <w:tc>
          <w:tcPr/>
          <w:p>
            <w:pPr>
              <w:pStyle w:val="Compact"/>
              <w:jc w:val="left"/>
            </w:pPr>
            <w:r>
              <w:rPr>
                <w:bCs/>
                <w:b/>
              </w:rPr>
              <w:t xml:space="preserve">NOT FOUND</w:t>
            </w:r>
          </w:p>
        </w:tc>
      </w:tr>
      <w:tr>
        <w:tc>
          <w:tcPr/>
          <w:p>
            <w:pPr>
              <w:pStyle w:val="Compact"/>
              <w:jc w:val="left"/>
            </w:pPr>
            <w:r>
              <w:t xml:space="preserve">Audited or Unaudited Financial Statements</w:t>
            </w:r>
          </w:p>
        </w:tc>
        <w:tc>
          <w:tcPr/>
          <w:p>
            <w:pPr>
              <w:pStyle w:val="Compact"/>
              <w:jc w:val="left"/>
            </w:pPr>
            <w:r>
              <w:rPr>
                <w:bCs/>
                <w:b/>
              </w:rPr>
              <w:t xml:space="preserve">NOT FOUND</w:t>
            </w:r>
          </w:p>
        </w:tc>
      </w:tr>
      <w:tr>
        <w:tc>
          <w:tcPr/>
          <w:p>
            <w:pPr>
              <w:pStyle w:val="Compact"/>
              <w:jc w:val="left"/>
            </w:pPr>
            <w:r>
              <w:t xml:space="preserve">AGM Minutes or Meeting Minutes</w:t>
            </w:r>
          </w:p>
        </w:tc>
        <w:tc>
          <w:tcPr/>
          <w:p>
            <w:pPr>
              <w:pStyle w:val="Compact"/>
              <w:jc w:val="left"/>
            </w:pPr>
            <w:r>
              <w:rPr>
                <w:bCs/>
                <w:b/>
              </w:rPr>
              <w:t xml:space="preserve">NOT FOUND</w:t>
            </w:r>
          </w:p>
        </w:tc>
      </w:tr>
      <w:tr>
        <w:tc>
          <w:tcPr/>
          <w:p>
            <w:pPr>
              <w:pStyle w:val="Compact"/>
              <w:jc w:val="left"/>
            </w:pPr>
            <w:r>
              <w:t xml:space="preserve">Membership Rules or Criteria</w:t>
            </w:r>
          </w:p>
        </w:tc>
        <w:tc>
          <w:tcPr/>
          <w:p>
            <w:pPr>
              <w:pStyle w:val="Compact"/>
              <w:jc w:val="left"/>
            </w:pPr>
            <w:r>
              <w:rPr>
                <w:bCs/>
                <w:b/>
              </w:rPr>
              <w:t xml:space="preserve">NOT FOUND</w:t>
            </w:r>
          </w:p>
        </w:tc>
      </w:tr>
      <w:tr>
        <w:tc>
          <w:tcPr/>
          <w:p>
            <w:pPr>
              <w:pStyle w:val="Compact"/>
              <w:jc w:val="left"/>
            </w:pPr>
            <w:r>
              <w:t xml:space="preserve">Strategic Plan or Organizational Roadmap</w:t>
            </w:r>
          </w:p>
        </w:tc>
        <w:tc>
          <w:tcPr/>
          <w:p>
            <w:pPr>
              <w:pStyle w:val="Compact"/>
              <w:jc w:val="left"/>
            </w:pPr>
            <w:r>
              <w:rPr>
                <w:bCs/>
                <w:b/>
              </w:rPr>
              <w:t xml:space="preserve">NOT FOUND</w:t>
            </w:r>
          </w:p>
        </w:tc>
      </w:tr>
    </w:tbl>
    <w:p>
      <w:pPr>
        <w:pStyle w:val="BodyText"/>
      </w:pPr>
      <w:r>
        <w:rPr>
          <w:iCs/>
          <w:i/>
        </w:rPr>
        <w:t xml:space="preserve">Table 3.1 — SCN Governance Document Status. Source: Comprehensive search of SCN website, Singapore regulatory portals, and third-party databases.</w:t>
      </w:r>
      <w:r>
        <w:rPr>
          <w:iCs/>
          <w:i/>
        </w:rPr>
        <w:t xml:space="preserve"> </w:t>
      </w:r>
      <w:r>
        <w:rPr>
          <w:vertAlign w:val="superscript"/>
          <w:iCs/>
          <w:i/>
        </w:rPr>
        <w:t xml:space="preserve">11</w:t>
      </w:r>
    </w:p>
    <w:p>
      <w:pPr>
        <w:pStyle w:val="BodyText"/>
      </w:pPr>
      <w:r>
        <w:t xml:space="preserve">A CLG must have a constitution filed with ACRA, but it is not publicly accessible without purchase. Whether SCN holds board meetings, has conflict-of-interest policies, or allows member participation in governance — all unknown. Legitimate Singapore nonprofits typically publish basic governance information as a trust-building measure. SCN’s complete opacity across every dimension is not consistent with accountable practice.</w:t>
      </w:r>
      <w:r>
        <w:t xml:space="preserve"> </w:t>
      </w:r>
      <w:r>
        <w:rPr>
          <w:vertAlign w:val="superscript"/>
        </w:rPr>
        <w:t xml:space="preserve">13</w:t>
      </w:r>
      <w:r>
        <w:t xml:space="preserve">### 3.3 Financial Opacity</w:t>
      </w:r>
    </w:p>
    <w:bookmarkEnd w:id="89"/>
    <w:bookmarkStart w:id="90" w:name="X1cbb365f7f29ababc98e6b0e8666cfb263e1ff3"/>
    <w:p>
      <w:pPr>
        <w:pStyle w:val="Heading4"/>
      </w:pPr>
      <w:r>
        <w:t xml:space="preserve">3.3.1 Legally EXEMPT from filing financial statements with ACRA</w:t>
      </w:r>
    </w:p>
    <w:p>
      <w:pPr>
        <w:pStyle w:val="FirstParagraph"/>
      </w:pPr>
      <w:r>
        <w:t xml:space="preserve">The structural feature enabling SCN’s financial invisibility is its legal status. As a Public Company Limited by Guarantee, SCN is</w:t>
      </w:r>
      <w:r>
        <w:t xml:space="preserve"> </w:t>
      </w:r>
      <w:r>
        <w:rPr>
          <w:bCs/>
          <w:b/>
        </w:rPr>
        <w:t xml:space="preserve">exempt from filing financial statements with ACRA</w:t>
      </w:r>
      <w:r>
        <w:t xml:space="preserve">. CLGs must still prepare audited financial statements annually and hold an Annual General Meeting. But those statements — the document revealing revenue, expenditures, assets, and director remuneration — are presented only to members at the AGM. They are not uploaded to ACRA’s public database. &gt;</w:t>
      </w:r>
      <w:r>
        <w:t xml:space="preserve"> </w:t>
      </w:r>
      <w:r>
        <w:t xml:space="preserve">“</w:t>
      </w:r>
      <w:r>
        <w:t xml:space="preserve">CLGs are exempt from filing financial statements with ACRA. However, you still need to prepare them and have them approved by the members at the AGM.</w:t>
      </w:r>
      <w:r>
        <w:t xml:space="preserve">”</w:t>
      </w:r>
      <w:r>
        <w:t xml:space="preserve"> </w:t>
      </w:r>
      <w:r>
        <w:t xml:space="preserve">SCN’s financial statements could exist on paper but remain entirely inaccessible to the public, prospective partners, donors, and government officials who engage SCN as an advisor. The exemption is standard Singapore corporate law — not a loophole. But combined with SCN’s non-charity status, which eliminates Charity Portal disclosure requirements, it produces near-total financial opacity.</w:t>
      </w:r>
    </w:p>
    <w:bookmarkEnd w:id="90"/>
    <w:bookmarkStart w:id="91" w:name="X8bd92bc1f939f0f2c83fc8795ce049bcc572931"/>
    <w:p>
      <w:pPr>
        <w:pStyle w:val="Heading4"/>
      </w:pPr>
      <w:r>
        <w:t xml:space="preserve">3.3.2 No annual reports, no audited financials, no budget disclosures</w:t>
      </w:r>
    </w:p>
    <w:p>
      <w:pPr>
        <w:pStyle w:val="FirstParagraph"/>
      </w:pPr>
      <w:r>
        <w:t xml:space="preserve">After seven years, SCN has published no annual report, no financial statements, no budget, and no expenditure breakdown. Its website claims</w:t>
      </w:r>
      <w:r>
        <w:t xml:space="preserve"> </w:t>
      </w:r>
      <w:r>
        <w:t xml:space="preserve">“</w:t>
      </w:r>
      <w:r>
        <w:t xml:space="preserve">7+ Years of Impact</w:t>
      </w:r>
      <w:r>
        <w:t xml:space="preserve">”</w:t>
      </w:r>
      <w:r>
        <w:t xml:space="preserve"> </w:t>
      </w:r>
      <w:r>
        <w:t xml:space="preserve">and</w:t>
      </w:r>
      <w:r>
        <w:t xml:space="preserve"> </w:t>
      </w:r>
      <w:r>
        <w:t xml:space="preserve">“</w:t>
      </w:r>
      <w:r>
        <w:t xml:space="preserve">13 Partner Cities, 5 ASEAN Nations, 13 Key Projects,</w:t>
      </w:r>
      <w:r>
        <w:t xml:space="preserve">”</w:t>
      </w:r>
      <w:r>
        <w:t xml:space="preserve"> </w:t>
      </w:r>
      <w:r>
        <w:t xml:space="preserve">but provides no financial data. The contrast with legitimate Singapore nonprofits is stark. Registered charities must submit audited financial statements to the Charity Portal for public viewing. IPCs must file donation returns with IRAS. Charities with income above S$500,000 must publish online financial summaries. SCN is subject to none of these requirements and has disclosed nothing voluntarily.</w:t>
      </w:r>
    </w:p>
    <w:p>
      <w:pPr>
        <w:pStyle w:val="BodyText"/>
      </w:pPr>
      <w:r>
        <w:t xml:space="preserve">ZoomInfo estimates SCN’s revenue at</w:t>
      </w:r>
      <w:r>
        <w:t xml:space="preserve"> </w:t>
      </w:r>
      <w:r>
        <w:t xml:space="preserve">“</w:t>
      </w:r>
      <w:r>
        <w:t xml:space="preserve">&lt;$5 million</w:t>
      </w:r>
      <w:r>
        <w:t xml:space="preserve">”</w:t>
      </w:r>
      <w:r>
        <w:t xml:space="preserve"> </w:t>
      </w:r>
      <w:r>
        <w:t xml:space="preserve">with 11–50 employees. Both figures are algorithmic estimates with low reliability. The employee count is almost certainly inflated given no named staff exist. No primary financial source confirms any revenue figure.</w:t>
      </w:r>
    </w:p>
    <w:bookmarkEnd w:id="91"/>
    <w:bookmarkStart w:id="92" w:name="membership-pricing-not-published"/>
    <w:p>
      <w:pPr>
        <w:pStyle w:val="Heading4"/>
      </w:pPr>
      <w:r>
        <w:t xml:space="preserve">3.3.3 Membership pricing not published</w:t>
      </w:r>
    </w:p>
    <w:p>
      <w:pPr>
        <w:pStyle w:val="FirstParagraph"/>
      </w:pPr>
      <w:r>
        <w:t xml:space="preserve">SCN describes itself as</w:t>
      </w:r>
      <w:r>
        <w:t xml:space="preserve"> </w:t>
      </w:r>
      <w:r>
        <w:t xml:space="preserve">“</w:t>
      </w:r>
      <w:r>
        <w:t xml:space="preserve">a not-for-profit individual membership-based organisation, whose members are professionals with expertise in a wide variety of themes essential to smart city development.</w:t>
      </w:r>
      <w:r>
        <w:t xml:space="preserve">”</w:t>
      </w:r>
      <w:r>
        <w:t xml:space="preserve"> </w:t>
      </w:r>
      <w:r>
        <w:t xml:space="preserve">But it publishes no membership fees, pricing tiers, or benefit structures.</w:t>
      </w:r>
    </w:p>
    <w:p>
      <w:pPr>
        <w:pStyle w:val="BodyText"/>
      </w:pPr>
      <w:r>
        <w:t xml:space="preserve">The</w:t>
      </w:r>
      <w:r>
        <w:t xml:space="preserve"> </w:t>
      </w:r>
      <w:r>
        <w:t xml:space="preserve">“</w:t>
      </w:r>
      <w:r>
        <w:t xml:space="preserve">Become a Member</w:t>
      </w:r>
      <w:r>
        <w:t xml:space="preserve">”</w:t>
      </w:r>
      <w:r>
        <w:t xml:space="preserve"> </w:t>
      </w:r>
      <w:r>
        <w:t xml:space="preserve">link redirects to a Google Form for contact information submission. No pricing, no benefits description, no indication whether membership is free, invitation-only, or fee-based. By contrast, the Smart Cities Council — where KC Tay concurrently serves as Executive Director (ASEAN) — publishes a detailed membership matrix with tiered rates. SCN publishes nothing.</w:t>
      </w:r>
    </w:p>
    <w:p>
      <w:pPr>
        <w:pStyle w:val="BodyText"/>
      </w:pPr>
      <w:r>
        <w:t xml:space="preserve">This opacity matters because any membership fees represent revenue flowing to an organization with no published financial controls, no independent board oversight, and no obligation to account for how funds are spent.</w:t>
      </w:r>
    </w:p>
    <w:bookmarkEnd w:id="92"/>
    <w:bookmarkStart w:id="93" w:name="governance-comparison"/>
    <w:p>
      <w:pPr>
        <w:pStyle w:val="Heading4"/>
      </w:pPr>
      <w:r>
        <w:t xml:space="preserve">3.3.4 Governance comparison</w:t>
      </w:r>
    </w:p>
    <w:p>
      <w:pPr>
        <w:pStyle w:val="FirstParagraph"/>
      </w:pPr>
      <w:r>
        <w:t xml:space="preserve">The table below compares SCN’s governance and transparency practices against three reference points: the official ASEAN Smart Cities Network (ASCN), Singapore’s government-led Smart Nation initiative, and C40 Cities — an established global network of mayors with published accountability standards.</w:t>
      </w:r>
    </w:p>
    <w:p>
      <w:pPr>
        <w:pStyle w:val="BodyText"/>
      </w:pPr>
      <w:r>
        <w:rPr>
          <w:bCs/>
          <w:b/>
        </w:rPr>
        <w:t xml:space="preserve">Table 3.2 — Governance and Transparency Comparison: SCN vs. Reference Networks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Governance Element</w:t>
            </w:r>
          </w:p>
        </w:tc>
        <w:tc>
          <w:tcPr/>
          <w:p>
            <w:pPr>
              <w:pStyle w:val="Compact"/>
              <w:jc w:val="left"/>
            </w:pPr>
            <w:r>
              <w:t xml:space="preserve">Smart Cities Network (SCN)</w:t>
            </w:r>
          </w:p>
        </w:tc>
        <w:tc>
          <w:tcPr/>
          <w:p>
            <w:pPr>
              <w:pStyle w:val="Compact"/>
              <w:jc w:val="left"/>
            </w:pPr>
            <w:r>
              <w:t xml:space="preserve">ASEAN Smart Cities Network (ASCN)</w:t>
            </w:r>
          </w:p>
        </w:tc>
        <w:tc>
          <w:tcPr/>
          <w:p>
            <w:pPr>
              <w:pStyle w:val="Compact"/>
              <w:jc w:val="left"/>
            </w:pPr>
            <w:r>
              <w:t xml:space="preserve">Singapore Smart Nation</w:t>
            </w:r>
          </w:p>
        </w:tc>
        <w:tc>
          <w:tcPr/>
          <w:p>
            <w:pPr>
              <w:pStyle w:val="Compact"/>
              <w:jc w:val="left"/>
            </w:pPr>
            <w:r>
              <w:t xml:space="preserve">C40 Cities</w:t>
            </w:r>
          </w:p>
        </w:tc>
      </w:tr>
      <w:tr>
        <w:tc>
          <w:tcPr/>
          <w:p>
            <w:pPr>
              <w:pStyle w:val="Compact"/>
              <w:jc w:val="left"/>
            </w:pPr>
            <w:r>
              <w:rPr>
                <w:bCs/>
                <w:b/>
              </w:rPr>
              <w:t xml:space="preserve">Legal structure</w:t>
            </w:r>
          </w:p>
        </w:tc>
        <w:tc>
          <w:tcPr/>
          <w:p>
            <w:pPr>
              <w:pStyle w:val="Compact"/>
              <w:jc w:val="left"/>
            </w:pPr>
            <w:r>
              <w:t xml:space="preserve">Private CLG (Singapore)</w:t>
            </w:r>
          </w:p>
        </w:tc>
        <w:tc>
          <w:tcPr/>
          <w:p>
            <w:pPr>
              <w:pStyle w:val="Compact"/>
              <w:jc w:val="left"/>
            </w:pPr>
            <w:r>
              <w:t xml:space="preserve">Inter-governmental initiative</w:t>
            </w:r>
          </w:p>
        </w:tc>
        <w:tc>
          <w:tcPr/>
          <w:p>
            <w:pPr>
              <w:pStyle w:val="Compact"/>
              <w:jc w:val="left"/>
            </w:pPr>
            <w:r>
              <w:t xml:space="preserve">Government programme (PMO)</w:t>
            </w:r>
          </w:p>
        </w:tc>
        <w:tc>
          <w:tcPr/>
          <w:p>
            <w:pPr>
              <w:pStyle w:val="Compact"/>
              <w:jc w:val="left"/>
            </w:pPr>
            <w:r>
              <w:t xml:space="preserve">Registered non-profit (UK/US)</w:t>
            </w:r>
          </w:p>
        </w:tc>
      </w:tr>
      <w:tr>
        <w:tc>
          <w:tcPr/>
          <w:p>
            <w:pPr>
              <w:pStyle w:val="Compact"/>
              <w:jc w:val="left"/>
            </w:pPr>
            <w:r>
              <w:rPr>
                <w:bCs/>
                <w:b/>
              </w:rPr>
              <w:t xml:space="preserve">Charity / non-profit registration</w:t>
            </w:r>
          </w:p>
        </w:tc>
        <w:tc>
          <w:tcPr/>
          <w:p>
            <w:pPr>
              <w:pStyle w:val="Compact"/>
              <w:jc w:val="left"/>
            </w:pPr>
            <w:r>
              <w:t xml:space="preserve">Not registered</w:t>
            </w:r>
          </w:p>
        </w:tc>
        <w:tc>
          <w:tcPr/>
          <w:p>
            <w:pPr>
              <w:pStyle w:val="Compact"/>
              <w:jc w:val="left"/>
            </w:pPr>
            <w:r>
              <w:t xml:space="preserve">N/A (governmental)</w:t>
            </w:r>
          </w:p>
        </w:tc>
        <w:tc>
          <w:tcPr/>
          <w:p>
            <w:pPr>
              <w:pStyle w:val="Compact"/>
              <w:jc w:val="left"/>
            </w:pPr>
            <w:r>
              <w:t xml:space="preserve">N/A (governmental)</w:t>
            </w:r>
          </w:p>
        </w:tc>
        <w:tc>
          <w:tcPr/>
          <w:p>
            <w:pPr>
              <w:pStyle w:val="Compact"/>
              <w:jc w:val="left"/>
            </w:pPr>
            <w:r>
              <w:t xml:space="preserve">Registered 501(c)(3) charity</w:t>
            </w:r>
          </w:p>
        </w:tc>
      </w:tr>
      <w:tr>
        <w:tc>
          <w:tcPr/>
          <w:p>
            <w:pPr>
              <w:pStyle w:val="Compact"/>
              <w:jc w:val="left"/>
            </w:pPr>
            <w:r>
              <w:rPr>
                <w:bCs/>
                <w:b/>
              </w:rPr>
              <w:t xml:space="preserve">Board / governing body</w:t>
            </w:r>
          </w:p>
        </w:tc>
        <w:tc>
          <w:tcPr/>
          <w:p>
            <w:pPr>
              <w:pStyle w:val="Compact"/>
              <w:jc w:val="left"/>
            </w:pPr>
            <w:r>
              <w:t xml:space="preserve">None named;</w:t>
            </w:r>
            <w:r>
              <w:t xml:space="preserve"> </w:t>
            </w:r>
            <w:r>
              <w:t xml:space="preserve">“</w:t>
            </w:r>
            <w:r>
              <w:t xml:space="preserve">Executive Council</w:t>
            </w:r>
            <w:r>
              <w:t xml:space="preserve">”</w:t>
            </w:r>
            <w:r>
              <w:t xml:space="preserve"> </w:t>
            </w:r>
            <w:r>
              <w:t xml:space="preserve">claimed with zero members</w:t>
            </w:r>
            <w:r>
              <w:t xml:space="preserve"> </w:t>
            </w:r>
            <w:r>
              <w:rPr>
                <w:vertAlign w:val="superscript"/>
              </w:rPr>
              <w:t xml:space="preserve">11</w:t>
            </w:r>
          </w:p>
        </w:tc>
        <w:tc>
          <w:tcPr/>
          <w:p>
            <w:pPr>
              <w:pStyle w:val="Compact"/>
              <w:jc w:val="left"/>
            </w:pPr>
            <w:r>
              <w:t xml:space="preserve">National representatives from 10 ASEAN members</w:t>
            </w:r>
          </w:p>
        </w:tc>
        <w:tc>
          <w:tcPr/>
          <w:p>
            <w:pPr>
              <w:pStyle w:val="Compact"/>
              <w:jc w:val="left"/>
            </w:pPr>
            <w:r>
              <w:t xml:space="preserve">Smart Nation and Digital Government Office (SNDGO)</w:t>
            </w:r>
          </w:p>
        </w:tc>
        <w:tc>
          <w:tcPr/>
          <w:p>
            <w:pPr>
              <w:pStyle w:val="Compact"/>
              <w:jc w:val="left"/>
            </w:pPr>
            <w:r>
              <w:t xml:space="preserve">15-member Steering Committee; city mayors</w:t>
            </w:r>
          </w:p>
        </w:tc>
      </w:tr>
      <w:tr>
        <w:tc>
          <w:tcPr/>
          <w:p>
            <w:pPr>
              <w:pStyle w:val="Compact"/>
              <w:jc w:val="left"/>
            </w:pPr>
            <w:r>
              <w:rPr>
                <w:bCs/>
                <w:b/>
              </w:rPr>
              <w:t xml:space="preserve">Annual report published</w:t>
            </w:r>
          </w:p>
        </w:tc>
        <w:tc>
          <w:tcPr/>
          <w:p>
            <w:pPr>
              <w:pStyle w:val="Compact"/>
              <w:jc w:val="left"/>
            </w:pPr>
            <w:r>
              <w:t xml:space="preserve">No</w:t>
            </w:r>
          </w:p>
        </w:tc>
        <w:tc>
          <w:tcPr/>
          <w:p>
            <w:pPr>
              <w:pStyle w:val="Compact"/>
              <w:jc w:val="left"/>
            </w:pPr>
            <w:r>
              <w:t xml:space="preserve">Yes (ASEAN Secretariat)</w:t>
            </w:r>
          </w:p>
        </w:tc>
        <w:tc>
          <w:tcPr/>
          <w:p>
            <w:pPr>
              <w:pStyle w:val="Compact"/>
              <w:jc w:val="left"/>
            </w:pPr>
            <w:r>
              <w:t xml:space="preserve">Yes (government budget)</w:t>
            </w:r>
          </w:p>
        </w:tc>
        <w:tc>
          <w:tcPr/>
          <w:p>
            <w:pPr>
              <w:pStyle w:val="Compact"/>
              <w:jc w:val="left"/>
            </w:pPr>
            <w:r>
              <w:t xml:space="preserve">Yes (audited, published annually)</w:t>
            </w:r>
          </w:p>
        </w:tc>
      </w:tr>
      <w:tr>
        <w:tc>
          <w:tcPr/>
          <w:p>
            <w:pPr>
              <w:pStyle w:val="Compact"/>
              <w:jc w:val="left"/>
            </w:pPr>
            <w:r>
              <w:rPr>
                <w:bCs/>
                <w:b/>
              </w:rPr>
              <w:t xml:space="preserve">Financial statements public</w:t>
            </w:r>
          </w:p>
        </w:tc>
        <w:tc>
          <w:tcPr/>
          <w:p>
            <w:pPr>
              <w:pStyle w:val="Compact"/>
              <w:jc w:val="left"/>
            </w:pPr>
            <w:r>
              <w:t xml:space="preserve">No — exempt from ACRA filing</w:t>
            </w:r>
          </w:p>
        </w:tc>
        <w:tc>
          <w:tcPr/>
          <w:p>
            <w:pPr>
              <w:pStyle w:val="Compact"/>
              <w:jc w:val="left"/>
            </w:pPr>
            <w:r>
              <w:t xml:space="preserve">N/A (inter-governmental)</w:t>
            </w:r>
          </w:p>
        </w:tc>
        <w:tc>
          <w:tcPr/>
          <w:p>
            <w:pPr>
              <w:pStyle w:val="Compact"/>
              <w:jc w:val="left"/>
            </w:pPr>
            <w:r>
              <w:t xml:space="preserve">Government budget (public)</w:t>
            </w:r>
          </w:p>
        </w:tc>
        <w:tc>
          <w:tcPr/>
          <w:p>
            <w:pPr>
              <w:pStyle w:val="Compact"/>
              <w:jc w:val="left"/>
            </w:pPr>
            <w:r>
              <w:t xml:space="preserve">Yes (audited, published)</w:t>
            </w:r>
          </w:p>
        </w:tc>
      </w:tr>
      <w:tr>
        <w:tc>
          <w:tcPr/>
          <w:p>
            <w:pPr>
              <w:pStyle w:val="Compact"/>
              <w:jc w:val="left"/>
            </w:pPr>
            <w:r>
              <w:rPr>
                <w:bCs/>
                <w:b/>
              </w:rPr>
              <w:t xml:space="preserve">Leadership named</w:t>
            </w:r>
          </w:p>
        </w:tc>
        <w:tc>
          <w:tcPr/>
          <w:p>
            <w:pPr>
              <w:pStyle w:val="Compact"/>
              <w:jc w:val="left"/>
            </w:pPr>
            <w:r>
              <w:t xml:space="preserve">1 person (KC Tay)</w:t>
            </w:r>
          </w:p>
        </w:tc>
        <w:tc>
          <w:tcPr/>
          <w:p>
            <w:pPr>
              <w:pStyle w:val="Compact"/>
              <w:jc w:val="left"/>
            </w:pPr>
            <w:r>
              <w:t xml:space="preserve">National</w:t>
            </w:r>
            <w:r>
              <w:t xml:space="preserve"> </w:t>
            </w:r>
            <w:r>
              <w:t xml:space="preserve">“</w:t>
            </w:r>
            <w:r>
              <w:t xml:space="preserve">Chief Smart City Officers</w:t>
            </w:r>
            <w:r>
              <w:t xml:space="preserve">”</w:t>
            </w:r>
            <w:r>
              <w:t xml:space="preserve"> </w:t>
            </w:r>
            <w:r>
              <w:t xml:space="preserve">from each member state</w:t>
            </w:r>
          </w:p>
        </w:tc>
        <w:tc>
          <w:tcPr/>
          <w:p>
            <w:pPr>
              <w:pStyle w:val="Compact"/>
              <w:jc w:val="left"/>
            </w:pPr>
            <w:r>
              <w:t xml:space="preserve">SNDGO leadership public</w:t>
            </w:r>
          </w:p>
        </w:tc>
        <w:tc>
          <w:tcPr/>
          <w:p>
            <w:pPr>
              <w:pStyle w:val="Compact"/>
              <w:jc w:val="left"/>
            </w:pPr>
            <w:r>
              <w:t xml:space="preserve">Executive Director, board, staff all named</w:t>
            </w:r>
          </w:p>
        </w:tc>
      </w:tr>
      <w:tr>
        <w:tc>
          <w:tcPr/>
          <w:p>
            <w:pPr>
              <w:pStyle w:val="Compact"/>
              <w:jc w:val="left"/>
            </w:pPr>
            <w:r>
              <w:rPr>
                <w:bCs/>
                <w:b/>
              </w:rPr>
              <w:t xml:space="preserve">Governance documents</w:t>
            </w:r>
          </w:p>
        </w:tc>
        <w:tc>
          <w:tcPr/>
          <w:p>
            <w:pPr>
              <w:pStyle w:val="Compact"/>
              <w:jc w:val="left"/>
            </w:pPr>
            <w:r>
              <w:t xml:space="preserve">None published</w:t>
            </w:r>
            <w:r>
              <w:t xml:space="preserve"> </w:t>
            </w:r>
            <w:r>
              <w:rPr>
                <w:vertAlign w:val="superscript"/>
              </w:rPr>
              <w:t xml:space="preserve">11</w:t>
            </w:r>
          </w:p>
        </w:tc>
        <w:tc>
          <w:tcPr/>
          <w:p>
            <w:pPr>
              <w:pStyle w:val="Compact"/>
              <w:jc w:val="left"/>
            </w:pPr>
            <w:r>
              <w:t xml:space="preserve">ASCN framework documents public</w:t>
            </w:r>
          </w:p>
        </w:tc>
        <w:tc>
          <w:tcPr/>
          <w:p>
            <w:pPr>
              <w:pStyle w:val="Compact"/>
              <w:jc w:val="left"/>
            </w:pPr>
            <w:r>
              <w:t xml:space="preserve">Government policies public</w:t>
            </w:r>
          </w:p>
        </w:tc>
        <w:tc>
          <w:tcPr/>
          <w:p>
            <w:pPr>
              <w:pStyle w:val="Compact"/>
              <w:jc w:val="left"/>
            </w:pPr>
            <w:r>
              <w:t xml:space="preserve">Constitution, bylaws, policies published</w:t>
            </w:r>
          </w:p>
        </w:tc>
      </w:tr>
      <w:tr>
        <w:tc>
          <w:tcPr/>
          <w:p>
            <w:pPr>
              <w:pStyle w:val="Compact"/>
              <w:jc w:val="left"/>
            </w:pPr>
            <w:r>
              <w:rPr>
                <w:bCs/>
                <w:b/>
              </w:rPr>
              <w:t xml:space="preserve">Membership / participation</w:t>
            </w:r>
          </w:p>
        </w:tc>
        <w:tc>
          <w:tcPr/>
          <w:p>
            <w:pPr>
              <w:pStyle w:val="Compact"/>
              <w:jc w:val="left"/>
            </w:pPr>
            <w:r>
              <w:t xml:space="preserve">Pricing not published; criteria unclear</w:t>
            </w:r>
          </w:p>
        </w:tc>
        <w:tc>
          <w:tcPr/>
          <w:p>
            <w:pPr>
              <w:pStyle w:val="Compact"/>
              <w:jc w:val="left"/>
            </w:pPr>
            <w:r>
              <w:t xml:space="preserve">Designated by national governments</w:t>
            </w:r>
          </w:p>
        </w:tc>
        <w:tc>
          <w:tcPr/>
          <w:p>
            <w:pPr>
              <w:pStyle w:val="Compact"/>
              <w:jc w:val="left"/>
            </w:pPr>
            <w:r>
              <w:t xml:space="preserve">N/A (national programme)</w:t>
            </w:r>
          </w:p>
        </w:tc>
        <w:tc>
          <w:tcPr/>
          <w:p>
            <w:pPr>
              <w:pStyle w:val="Compact"/>
              <w:jc w:val="left"/>
            </w:pPr>
            <w:r>
              <w:t xml:space="preserve">City membership with published criteria</w:t>
            </w:r>
          </w:p>
        </w:tc>
      </w:tr>
      <w:tr>
        <w:tc>
          <w:tcPr/>
          <w:p>
            <w:pPr>
              <w:pStyle w:val="Compact"/>
              <w:jc w:val="left"/>
            </w:pPr>
            <w:r>
              <w:rPr>
                <w:bCs/>
                <w:b/>
              </w:rPr>
              <w:t xml:space="preserve">Conflict of interest policy</w:t>
            </w:r>
          </w:p>
        </w:tc>
        <w:tc>
          <w:tcPr/>
          <w:p>
            <w:pPr>
              <w:pStyle w:val="Compact"/>
              <w:jc w:val="left"/>
            </w:pPr>
            <w:r>
              <w:t xml:space="preserve">Not published</w:t>
            </w:r>
          </w:p>
        </w:tc>
        <w:tc>
          <w:tcPr/>
          <w:p>
            <w:pPr>
              <w:pStyle w:val="Compact"/>
              <w:jc w:val="left"/>
            </w:pPr>
            <w:r>
              <w:t xml:space="preserve">ASEAN protocols</w:t>
            </w:r>
          </w:p>
        </w:tc>
        <w:tc>
          <w:tcPr/>
          <w:p>
            <w:pPr>
              <w:pStyle w:val="Compact"/>
              <w:jc w:val="left"/>
            </w:pPr>
            <w:r>
              <w:t xml:space="preserve">Government recusal rules</w:t>
            </w:r>
          </w:p>
        </w:tc>
        <w:tc>
          <w:tcPr/>
          <w:p>
            <w:pPr>
              <w:pStyle w:val="Compact"/>
              <w:jc w:val="left"/>
            </w:pPr>
            <w:r>
              <w:t xml:space="preserve">Published ethics policy</w:t>
            </w:r>
          </w:p>
        </w:tc>
      </w:tr>
      <w:tr>
        <w:tc>
          <w:tcPr/>
          <w:p>
            <w:pPr>
              <w:pStyle w:val="Compact"/>
              <w:jc w:val="left"/>
            </w:pPr>
            <w:r>
              <w:rPr>
                <w:bCs/>
                <w:b/>
              </w:rPr>
              <w:t xml:space="preserve">Physical office</w:t>
            </w:r>
          </w:p>
        </w:tc>
        <w:tc>
          <w:tcPr/>
          <w:p>
            <w:pPr>
              <w:pStyle w:val="Compact"/>
              <w:jc w:val="left"/>
            </w:pPr>
            <w:r>
              <w:t xml:space="preserve">Virtual office (100+ companies share address)</w:t>
            </w:r>
          </w:p>
        </w:tc>
        <w:tc>
          <w:tcPr/>
          <w:p>
            <w:pPr>
              <w:pStyle w:val="Compact"/>
              <w:jc w:val="left"/>
            </w:pPr>
            <w:r>
              <w:t xml:space="preserve">ASEAN Secretariat, Jakarta</w:t>
            </w:r>
          </w:p>
        </w:tc>
        <w:tc>
          <w:tcPr/>
          <w:p>
            <w:pPr>
              <w:pStyle w:val="Compact"/>
              <w:jc w:val="left"/>
            </w:pPr>
            <w:r>
              <w:t xml:space="preserve">SNDGO, Prime Minister’s Office</w:t>
            </w:r>
          </w:p>
        </w:tc>
        <w:tc>
          <w:tcPr/>
          <w:p>
            <w:pPr>
              <w:pStyle w:val="Compact"/>
              <w:jc w:val="left"/>
            </w:pPr>
            <w:r>
              <w:t xml:space="preserve">London, New York, regional offices</w:t>
            </w:r>
          </w:p>
        </w:tc>
      </w:tr>
      <w:tr>
        <w:tc>
          <w:tcPr/>
          <w:p>
            <w:pPr>
              <w:pStyle w:val="Compact"/>
              <w:jc w:val="left"/>
            </w:pPr>
            <w:r>
              <w:rPr>
                <w:bCs/>
                <w:b/>
              </w:rPr>
              <w:t xml:space="preserve">Tax treatment</w:t>
            </w:r>
          </w:p>
        </w:tc>
        <w:tc>
          <w:tcPr/>
          <w:p>
            <w:pPr>
              <w:pStyle w:val="Compact"/>
              <w:jc w:val="left"/>
            </w:pPr>
            <w:r>
              <w:t xml:space="preserve">17% corporate tax (no charity exemption)</w:t>
            </w:r>
          </w:p>
        </w:tc>
        <w:tc>
          <w:tcPr/>
          <w:p>
            <w:pPr>
              <w:pStyle w:val="Compact"/>
              <w:jc w:val="left"/>
            </w:pPr>
            <w:r>
              <w:t xml:space="preserve">Inter-governmental</w:t>
            </w:r>
          </w:p>
        </w:tc>
        <w:tc>
          <w:tcPr/>
          <w:p>
            <w:pPr>
              <w:pStyle w:val="Compact"/>
              <w:jc w:val="left"/>
            </w:pPr>
            <w:r>
              <w:t xml:space="preserve">Government programme</w:t>
            </w:r>
          </w:p>
        </w:tc>
        <w:tc>
          <w:tcPr/>
          <w:p>
            <w:pPr>
              <w:pStyle w:val="Compact"/>
              <w:jc w:val="left"/>
            </w:pPr>
            <w:r>
              <w:t xml:space="preserve">Tax-exempt charity status</w:t>
            </w:r>
          </w:p>
        </w:tc>
      </w:tr>
    </w:tbl>
    <w:p>
      <w:pPr>
        <w:pStyle w:val="BodyText"/>
      </w:pPr>
      <w:r>
        <w:rPr>
          <w:iCs/>
          <w:i/>
        </w:rPr>
        <w:t xml:space="preserve">Sources: ACRA registration data , Singapore Charity Portal , ASEAN Secretariat , SNDGO , SCN website</w:t>
      </w:r>
      <w:r>
        <w:rPr>
          <w:iCs/>
          <w:i/>
        </w:rPr>
        <w:t xml:space="preserve"> </w:t>
      </w:r>
      <w:r>
        <w:rPr>
          <w:vertAlign w:val="superscript"/>
          <w:iCs/>
          <w:i/>
        </w:rPr>
        <w:t xml:space="preserve">11</w:t>
      </w:r>
      <w:r>
        <w:rPr>
          <w:iCs/>
          <w:i/>
        </w:rPr>
        <w:t xml:space="preserve">, C40 Cities public disclosures, Singapore Companies Act .</w:t>
      </w:r>
    </w:p>
    <w:p>
      <w:pPr>
        <w:pStyle w:val="BodyText"/>
      </w:pPr>
      <w:r>
        <w:t xml:space="preserve">The comparison reveals a fundamental mismatch. SCN presents itself as a regional network operating alongside ASCN, Smart Nation, and C40. But on every measure of accountability — board composition, financial transparency, governance documentation, leadership visibility, and regulatory oversight — SCN operates in a vacuum. It is not a charity, so no Charity Council obligations apply. It is not a society, so no Registry of Societies requirements bind it. It is a CLG, so its financial statements are prepared but never shared. The result is an entity that claims nonprofit legitimacy while submitting to none of its disciplines.</w:t>
      </w:r>
    </w:p>
    <w:p>
      <w:pPr>
        <w:pStyle w:val="BodyText"/>
      </w:pPr>
      <w:r>
        <w:t xml:space="preserve">This is not illegal. It is by design — a design that allows one person to operate with the appearance of collective authority and the reality of solitary control, answerable to no regulator, no members, and no public for how it spends money or what it actually delivers.</w:t>
      </w:r>
    </w:p>
    <w:p>
      <w:r>
        <w:pict>
          <v:rect style="width:0;height:1.5pt" o:hralign="center" o:hrstd="t" o:hr="t"/>
        </w:pict>
      </w:r>
    </w:p>
    <w:bookmarkEnd w:id="93"/>
    <w:bookmarkEnd w:id="94"/>
    <w:bookmarkEnd w:id="95"/>
    <w:bookmarkEnd w:id="96"/>
    <w:bookmarkStart w:id="151" w:name="what-scn-actually-delivers"/>
    <w:p>
      <w:pPr>
        <w:pStyle w:val="Heading1"/>
      </w:pPr>
      <w:r>
        <w:t xml:space="preserve">4. What SCN Actually Delivers</w:t>
      </w:r>
    </w:p>
    <w:p>
      <w:pPr>
        <w:pStyle w:val="FirstParagraph"/>
      </w:pPr>
      <w:r>
        <w:t xml:space="preserve">Smart Cities Network’s website declares</w:t>
      </w:r>
      <w:r>
        <w:t xml:space="preserve"> </w:t>
      </w:r>
      <w:r>
        <w:t xml:space="preserve">“</w:t>
      </w:r>
      <w:r>
        <w:t xml:space="preserve">13 Key Projects</w:t>
      </w:r>
      <w:r>
        <w:t xml:space="preserve">”</w:t>
      </w:r>
      <w:r>
        <w:t xml:space="preserve"> </w:t>
      </w:r>
      <w:r>
        <w:t xml:space="preserve">and</w:t>
      </w:r>
      <w:r>
        <w:t xml:space="preserve"> </w:t>
      </w:r>
      <w:r>
        <w:t xml:space="preserve">“</w:t>
      </w:r>
      <w:r>
        <w:t xml:space="preserve">7+ Years of Impact.</w:t>
      </w:r>
      <w:r>
        <w:t xml:space="preserve">”</w:t>
      </w:r>
      <w:r>
        <w:t xml:space="preserve">The chairman’s biography describes advisory roles across multiple countries, a UN-Habitat partnership, and capacity-building engagements throughout ASEAN. For an organization incorporated in August 2018, these claims suggest a prolific track record.</w:t>
      </w:r>
    </w:p>
    <w:p>
      <w:pPr>
        <w:pStyle w:val="BodyText"/>
      </w:pPr>
      <w:r>
        <w:t xml:space="preserve">The evidence tells a different story. Of the 13</w:t>
      </w:r>
      <w:r>
        <w:t xml:space="preserve"> </w:t>
      </w:r>
      <w:r>
        <w:t xml:space="preserve">“</w:t>
      </w:r>
      <w:r>
        <w:t xml:space="preserve">Key Projects</w:t>
      </w:r>
      <w:r>
        <w:t xml:space="preserve">”</w:t>
      </w:r>
      <w:r>
        <w:t xml:space="preserve"> </w:t>
      </w:r>
      <w:r>
        <w:t xml:space="preserve">on SCN’s homepage, only one has a verifiable delivered outcome — and that one was implemented by a third-party vendor, not by SCN. The UN-Habitat partnership, while genuine on paper, has produced no identifiable deliverables after two and a half years. The organization’s academy is a non-functional website shell. After seven years, SCN has not produced a single original publication or independently organized a major conference.</w:t>
      </w:r>
    </w:p>
    <w:p>
      <w:pPr>
        <w:pStyle w:val="BodyText"/>
      </w:pPr>
      <w:r>
        <w:t xml:space="preserve">This chapter examines what SCN actually delivers — and what it does not.</w:t>
      </w:r>
    </w:p>
    <w:bookmarkStart w:id="100" w:name="the-13-key-projects-claim"/>
    <w:p>
      <w:pPr>
        <w:pStyle w:val="Heading2"/>
      </w:pPr>
      <w:r>
        <w:t xml:space="preserve">4.1 The</w:t>
      </w:r>
      <w:r>
        <w:t xml:space="preserve"> </w:t>
      </w:r>
      <w:r>
        <w:t xml:space="preserve">“</w:t>
      </w:r>
      <w:r>
        <w:t xml:space="preserve">13 Key Projects</w:t>
      </w:r>
      <w:r>
        <w:t xml:space="preserve">”</w:t>
      </w:r>
      <w:r>
        <w:t xml:space="preserve"> </w:t>
      </w:r>
      <w:r>
        <w:t xml:space="preserve">Claim</w:t>
      </w:r>
    </w:p>
    <w:p>
      <w:pPr>
        <w:pStyle w:val="FirstParagraph"/>
      </w:pPr>
      <w:r>
        <w:t xml:space="preserve">SCN lists 13</w:t>
      </w:r>
      <w:r>
        <w:t xml:space="preserve"> </w:t>
      </w:r>
      <w:r>
        <w:t xml:space="preserve">“</w:t>
      </w:r>
      <w:r>
        <w:t xml:space="preserve">Partner Cities</w:t>
      </w:r>
      <w:r>
        <w:t xml:space="preserve">”</w:t>
      </w:r>
      <w:r>
        <w:t xml:space="preserve"> </w:t>
      </w:r>
      <w:r>
        <w:t xml:space="preserve">on its website — Singapore, Bangkok, Jakarta, Kuala Lumpur, Manila, Iligan, Santa Rosa, Cauayan City, San Jose Partido, Phitsanulok, Kulai, Iskandar Region, and Cagayan Valley.The presentation implies these are 13 delivered projects. They are not. SCN counts MOU signings, membership affiliations, and personal consulting engagements as</w:t>
      </w:r>
      <w:r>
        <w:t xml:space="preserve"> </w:t>
      </w:r>
      <w:r>
        <w:t xml:space="preserve">“</w:t>
      </w:r>
      <w:r>
        <w:t xml:space="preserve">projects</w:t>
      </w:r>
      <w:r>
        <w:t xml:space="preserve">”</w:t>
      </w:r>
      <w:r>
        <w:t xml:space="preserve"> </w:t>
      </w:r>
      <w:r>
        <w:t xml:space="preserve">— a classification unrecognizable to any legitimate project management framework.</w:t>
      </w:r>
    </w:p>
    <w:bookmarkStart w:id="97" w:name="Xc2bbebb8868cd7d35f4141b8bbab3bc2c2ce1d7"/>
    <w:p>
      <w:pPr>
        <w:pStyle w:val="Heading3"/>
      </w:pPr>
      <w:r>
        <w:t xml:space="preserve">4.1.1 Cauayan City: One Partially Substantiated Case — Delivered by Graffiquo</w:t>
      </w:r>
    </w:p>
    <w:p>
      <w:pPr>
        <w:pStyle w:val="FirstParagraph"/>
      </w:pPr>
      <w:r>
        <w:t xml:space="preserve">The single most tangible outcome connected to SCN’s network is the Cauayan City digital twin in the Philippines. Graffiquo, a Singapore-based geospatial solutions provider, delivered a 3D digital twin subsequently used to assess PHP 600 million (~USD 12.5 million) in typhoon damage, identify 7,724 families requiring assistance, and coordinate distribution of 36,824 relief packs.The project earned an AWS</w:t>
      </w:r>
      <w:r>
        <w:t xml:space="preserve"> </w:t>
      </w:r>
      <w:r>
        <w:t xml:space="preserve">“</w:t>
      </w:r>
      <w:r>
        <w:t xml:space="preserve">Global GameChanger</w:t>
      </w:r>
      <w:r>
        <w:t xml:space="preserve">”</w:t>
      </w:r>
      <w:r>
        <w:t xml:space="preserve"> </w:t>
      </w:r>
      <w:r>
        <w:t xml:space="preserve">award.SCN did not deliver it.</w:t>
      </w:r>
    </w:p>
    <w:p>
      <w:pPr>
        <w:pStyle w:val="BodyText"/>
      </w:pPr>
      <w:r>
        <w:t xml:space="preserve">According to Graffiquo’s own account, the company was</w:t>
      </w:r>
      <w:r>
        <w:t xml:space="preserve"> </w:t>
      </w:r>
      <w:r>
        <w:t xml:space="preserve">“</w:t>
      </w:r>
      <w:r>
        <w:t xml:space="preserve">introduced to the city through a mutual Smart Cities Network contact.</w:t>
      </w:r>
      <w:r>
        <w:t xml:space="preserve">”</w:t>
      </w:r>
      <w:r>
        <w:t xml:space="preserve">WeGO sponsored services worth approximately USD 92,000.Tay Kok Chin promoted Cauayan City on various platforms.SCN’s role was that of a connector — a matchmaker between a city and a vendor.</w:t>
      </w:r>
    </w:p>
    <w:p>
      <w:pPr>
        <w:pStyle w:val="BodyText"/>
      </w:pPr>
      <w:r>
        <w:t xml:space="preserve">Facilitation is a legitimate network function. The problem is the presentation. SCN lists Cauayan City as one of its</w:t>
      </w:r>
      <w:r>
        <w:t xml:space="preserve"> </w:t>
      </w:r>
      <w:r>
        <w:t xml:space="preserve">“</w:t>
      </w:r>
      <w:r>
        <w:t xml:space="preserve">13 Key Projects,</w:t>
      </w:r>
      <w:r>
        <w:t xml:space="preserve">”</w:t>
      </w:r>
      <w:r>
        <w:t xml:space="preserve"> </w:t>
      </w:r>
      <w:r>
        <w:t xml:space="preserve">implying organizational delivery. The digital twin was built by Graffiquo. The funding came from WeGO. The city partnership was facilitated through the Philippines DOST and Isabela State University.SCN made an introduction — not a project delivery.</w:t>
      </w:r>
    </w:p>
    <w:p>
      <w:pPr>
        <w:pStyle w:val="BodyText"/>
      </w:pPr>
      <w:r>
        <w:t xml:space="preserve">The other Philippine city partnerships fare worse. Santa Rosa City and Iligan City both signed</w:t>
      </w:r>
      <w:r>
        <w:t xml:space="preserve"> </w:t>
      </w:r>
      <w:r>
        <w:t xml:space="preserve">“</w:t>
      </w:r>
      <w:r>
        <w:t xml:space="preserve">capacity building</w:t>
      </w:r>
      <w:r>
        <w:t xml:space="preserve">”</w:t>
      </w:r>
      <w:r>
        <w:t xml:space="preserve"> </w:t>
      </w:r>
      <w:r>
        <w:t xml:space="preserve">MOUs with SCN in 2023.Eighteen months later, neither has any documented outcomes attributable to SCN. The DOST’s own Smart and Sustainable Cities Framework was developed with DICT, not SCN.### 4.1.2 Phnom Penh: A Personal Advisory Role, Not Organizational Delivery</w:t>
      </w:r>
    </w:p>
    <w:p>
      <w:pPr>
        <w:pStyle w:val="BodyText"/>
      </w:pPr>
      <w:r>
        <w:t xml:space="preserve">Tay Kok Chin lists himself as</w:t>
      </w:r>
      <w:r>
        <w:t xml:space="preserve"> </w:t>
      </w:r>
      <w:r>
        <w:t xml:space="preserve">“</w:t>
      </w:r>
      <w:r>
        <w:t xml:space="preserve">Consulting Expert for the Implementation Masterplan 2035 for the Phnom Penh Smart and Sustainable City Strategic Roadmap.</w:t>
      </w:r>
      <w:r>
        <w:t xml:space="preserve">”</w:t>
      </w:r>
      <w:r>
        <w:t xml:space="preserve">The roadmap exists as a genuine Cambodian government document.But the engagement appears to have been a personal advisory role, not an SCN organizational project.</w:t>
      </w:r>
    </w:p>
    <w:p>
      <w:pPr>
        <w:pStyle w:val="BodyText"/>
      </w:pPr>
      <w:r>
        <w:t xml:space="preserve">The UN report</w:t>
      </w:r>
      <w:r>
        <w:t xml:space="preserve"> </w:t>
      </w:r>
      <w:r>
        <w:t xml:space="preserve">“</w:t>
      </w:r>
      <w:r>
        <w:t xml:space="preserve">Cities for All</w:t>
      </w:r>
      <w:r>
        <w:t xml:space="preserve">”</w:t>
      </w:r>
      <w:r>
        <w:t xml:space="preserve"> </w:t>
      </w:r>
      <w:r>
        <w:t xml:space="preserve">documents Phnom Penh’s roadmap priorities without mentioning SCN or Tay Kok Chin.The ASCN Monitoring and Evaluation Report 2025 lists Phnom Penh’s</w:t>
      </w:r>
      <w:r>
        <w:t xml:space="preserve"> </w:t>
      </w:r>
      <w:r>
        <w:t xml:space="preserve">“</w:t>
      </w:r>
      <w:r>
        <w:t xml:space="preserve">Build4People</w:t>
      </w:r>
      <w:r>
        <w:t xml:space="preserve">”</w:t>
      </w:r>
      <w:r>
        <w:t xml:space="preserve"> </w:t>
      </w:r>
      <w:r>
        <w:t xml:space="preserve">project with no SCN credit.The ASCN M&amp;E Report 2023 identified Phnom Penh’s focus as public transport efficiency with JICA support — again, no SCN mention.Academic papers on Cambodia’s smart city development do not cite SCN.If Tay Kok Chin did advise Phnom Penh, it was a minor personal engagement. SCN’s website presents it as part of the network’s portfolio.</w:t>
      </w:r>
    </w:p>
    <w:bookmarkEnd w:id="97"/>
    <w:bookmarkStart w:id="98" w:name="X4519ff4863a22fe2e10dcb85c177875aee4efc8"/>
    <w:p>
      <w:pPr>
        <w:pStyle w:val="Heading3"/>
      </w:pPr>
      <w:r>
        <w:t xml:space="preserve">4.1.3 Vietnam: Private Consulting for an Undisclosed Property Developer</w:t>
      </w:r>
    </w:p>
    <w:p>
      <w:pPr>
        <w:pStyle w:val="FirstParagraph"/>
      </w:pPr>
      <w:r>
        <w:t xml:space="preserve">Tay Kok Chin was</w:t>
      </w:r>
      <w:r>
        <w:t xml:space="preserve"> </w:t>
      </w:r>
      <w:r>
        <w:t xml:space="preserve">“</w:t>
      </w:r>
      <w:r>
        <w:t xml:space="preserve">appointed as the Master Consultant for a property developer in Vietnam to develop Smart Communities</w:t>
      </w:r>
      <w:r>
        <w:t xml:space="preserve">”</w:t>
      </w:r>
      <w:r>
        <w:t xml:space="preserve"> </w:t>
      </w:r>
      <w:r>
        <w:t xml:space="preserve">in August 2020.The property developer’s name has never been disclosed. There is no Vietnamese media coverage, no government document referencing the engagement. The claim appears only in Tay’s self-authored biographies.</w:t>
      </w:r>
    </w:p>
    <w:p>
      <w:pPr>
        <w:pStyle w:val="BodyText"/>
      </w:pPr>
      <w:r>
        <w:t xml:space="preserve">This was private consulting for a real estate developer — not a city-level or government project. It belongs in a personal CV, not an organization’s roster of</w:t>
      </w:r>
      <w:r>
        <w:t xml:space="preserve"> </w:t>
      </w:r>
      <w:r>
        <w:t xml:space="preserve">“</w:t>
      </w:r>
      <w:r>
        <w:t xml:space="preserve">Key Projects.</w:t>
      </w:r>
      <w:r>
        <w:t xml:space="preserve">”</w:t>
      </w:r>
      <w:r>
        <w:t xml:space="preserve"> </w:t>
      </w:r>
      <w:r>
        <w:t xml:space="preserve">Vietnam’s actual smart city development is extensively documented through the Ministry of Information and Communications’ ICT Reference Framework and ASCN monitoring reports for Da Nang, Hanoi, and Ho Chi Minh City — none mention SCN.### 4.1.4 Iskandar Malaysia: The UK Global Future Cities Programme</w:t>
      </w:r>
    </w:p>
    <w:p>
      <w:pPr>
        <w:pStyle w:val="BodyText"/>
      </w:pPr>
      <w:r>
        <w:t xml:space="preserve">SCN lists</w:t>
      </w:r>
      <w:r>
        <w:t xml:space="preserve"> </w:t>
      </w:r>
      <w:r>
        <w:t xml:space="preserve">“</w:t>
      </w:r>
      <w:r>
        <w:t xml:space="preserve">The Smart Integrated Mobility and Management System (SIMMS) Program with Iskandar Malaysia</w:t>
      </w:r>
      <w:r>
        <w:t xml:space="preserve">”</w:t>
      </w:r>
      <w:r>
        <w:t xml:space="preserve"> </w:t>
      </w:r>
      <w:r>
        <w:t xml:space="preserve">as one of its smart mobility projects.The SIMMS program is real. SCN’s involvement is not.</w:t>
      </w:r>
    </w:p>
    <w:p>
      <w:pPr>
        <w:pStyle w:val="BodyText"/>
      </w:pPr>
      <w:r>
        <w:t xml:space="preserve">SIMMS was developed by the UK Prosperity Fund’s Global Future Cities Programme with the Iskandar Regional Development Authority (IRDA).A webinar on SIMMS featured the GFCP Iskandar Malaysia team — no SCN involvement was mentioned.MIDA documents list SIMMS as a key ongoing project with no SCN credit.The implementation strategy was developed by the UK Global Future Cities Programme, not SCN.SCN appended its name to a project it had no role in developing.</w:t>
      </w:r>
    </w:p>
    <w:bookmarkEnd w:id="98"/>
    <w:bookmarkStart w:id="99" w:name="X06f7c53760a4e16dbb4913693cfae8d9819c14e"/>
    <w:p>
      <w:pPr>
        <w:pStyle w:val="Heading3"/>
      </w:pPr>
      <w:r>
        <w:t xml:space="preserve">4.1.5 Cambodia E-Tuk-Tuk: A JICA-Developed Initiative</w:t>
      </w:r>
    </w:p>
    <w:p>
      <w:pPr>
        <w:pStyle w:val="FirstParagraph"/>
      </w:pPr>
      <w:r>
        <w:t xml:space="preserve">SCN lists</w:t>
      </w:r>
      <w:r>
        <w:t xml:space="preserve"> </w:t>
      </w:r>
      <w:r>
        <w:t xml:space="preserve">“</w:t>
      </w:r>
      <w:r>
        <w:t xml:space="preserve">Smart Eco-Tourism in Siem Reap, Cambodia, where transitioning to electric vehicles is one of the components</w:t>
      </w:r>
      <w:r>
        <w:t xml:space="preserve">”</w:t>
      </w:r>
      <w:r>
        <w:t xml:space="preserve"> </w:t>
      </w:r>
      <w:r>
        <w:t xml:space="preserve">among its projects.The Siem Reap Smart City Roadmap does include EV promotion.But the roadmap was developed by JICA — SCN is not mentioned in the document. The ASCN Monitoring and Evaluation reports list Cambodia’s projects with implementing partners including JICA, ADB, and the Australia-ASEAN Smart Cities Trust Fund — no SCN.This pattern repeats across all 13</w:t>
      </w:r>
      <w:r>
        <w:t xml:space="preserve"> </w:t>
      </w:r>
      <w:r>
        <w:t xml:space="preserve">“</w:t>
      </w:r>
      <w:r>
        <w:t xml:space="preserve">Partner Cities.</w:t>
      </w:r>
      <w:r>
        <w:t xml:space="preserve">”</w:t>
      </w:r>
      <w:r>
        <w:t xml:space="preserve"> </w:t>
      </w:r>
      <w:r>
        <w:t xml:space="preserve">Singapore, Bangkok, Jakarta, and Kuala Lumpur appear to be counted based on geographic proximity or generic network membership. Phitsanulok, San Jose Partido, Kulai, and Cagayan Valley are MOU partnerships without documented outcomes. Of the 13</w:t>
      </w:r>
      <w:r>
        <w:t xml:space="preserve"> </w:t>
      </w:r>
      <w:r>
        <w:t xml:space="preserve">“</w:t>
      </w:r>
      <w:r>
        <w:t xml:space="preserve">Key Projects,</w:t>
      </w:r>
      <w:r>
        <w:t xml:space="preserve">”</w:t>
      </w:r>
      <w:r>
        <w:t xml:space="preserve"> </w:t>
      </w:r>
      <w:r>
        <w:t xml:space="preserve">one — Cauayan City — has a verifiable delivered outcome that SCN facilitated but did not implement. The rest are personal consulting engagements, partnerships with no results, or claims of involvement in projects led by entirely different organizations.</w:t>
      </w:r>
    </w:p>
    <w:bookmarkEnd w:id="99"/>
    <w:bookmarkEnd w:id="100"/>
    <w:bookmarkStart w:id="103" w:name="X8d3ff6e9eee2da0aed3fba9e8b3d568ffe7f142"/>
    <w:p>
      <w:pPr>
        <w:pStyle w:val="Heading2"/>
      </w:pPr>
      <w:r>
        <w:t xml:space="preserve">4.2 The UN-Habitat CIF Partnership — Paper Only</w:t>
      </w:r>
    </w:p>
    <w:p>
      <w:pPr>
        <w:pStyle w:val="FirstParagraph"/>
      </w:pPr>
      <w:r>
        <w:t xml:space="preserve">If the 13</w:t>
      </w:r>
      <w:r>
        <w:t xml:space="preserve"> </w:t>
      </w:r>
      <w:r>
        <w:t xml:space="preserve">“</w:t>
      </w:r>
      <w:r>
        <w:t xml:space="preserve">Key Projects</w:t>
      </w:r>
      <w:r>
        <w:t xml:space="preserve">”</w:t>
      </w:r>
      <w:r>
        <w:t xml:space="preserve"> </w:t>
      </w:r>
      <w:r>
        <w:t xml:space="preserve">represent SCN’s marketing face, the UN-Habitat Cities Investment Facility (CIF) partnership represents its credibility backbone. The claim is prominently displayed: SCN serves as</w:t>
      </w:r>
      <w:r>
        <w:t xml:space="preserve"> </w:t>
      </w:r>
      <w:r>
        <w:t xml:space="preserve">“</w:t>
      </w:r>
      <w:r>
        <w:t xml:space="preserve">Implementation Partner for the Cities Investment Facility</w:t>
      </w:r>
      <w:r>
        <w:t xml:space="preserve">”</w:t>
      </w:r>
      <w:r>
        <w:t xml:space="preserve"> </w:t>
      </w:r>
      <w:r>
        <w:t xml:space="preserve">under UN-Habitat.The partnership is real. Its output is not.</w:t>
      </w:r>
    </w:p>
    <w:bookmarkStart w:id="101" w:name="a-legitimate-ciap-partner-verified"/>
    <w:p>
      <w:pPr>
        <w:pStyle w:val="Heading3"/>
      </w:pPr>
      <w:r>
        <w:t xml:space="preserve">4.2.1 A Legitimate CIAP Partner — Verified</w:t>
      </w:r>
    </w:p>
    <w:p>
      <w:pPr>
        <w:pStyle w:val="FirstParagraph"/>
      </w:pPr>
      <w:r>
        <w:t xml:space="preserve">On June 22, 2022, SCN signed an MOU with UN-Habitat to serve as a Cities Investment Advisory Partner (CIAP) for the CIF.The UN-Habitat CIF Feasibility Fund Prospectus (October 2023) confirms SCN as one of five CIAP partners alongside Resilient Cities Catalyst, Gensler, Reall, and South Pole.SCN is described as</w:t>
      </w:r>
      <w:r>
        <w:t xml:space="preserve"> </w:t>
      </w:r>
      <w:r>
        <w:t xml:space="preserve">“</w:t>
      </w:r>
      <w:r>
        <w:t xml:space="preserve">A global platform aiming to build inclusive, sustainable and smart cities.</w:t>
      </w:r>
      <w:r>
        <w:t xml:space="preserve">”</w:t>
      </w:r>
      <w:r>
        <w:t xml:space="preserve">This is not a fabricated credential. The UN-Habitat listing is genuine, and the CIAP role — partners that</w:t>
      </w:r>
      <w:r>
        <w:t xml:space="preserve"> </w:t>
      </w:r>
      <w:r>
        <w:t xml:space="preserve">“</w:t>
      </w:r>
      <w:r>
        <w:t xml:space="preserve">operate on a non-profit basis to significantly de-risk and take projects to a mid-stage level of project preparation readiness</w:t>
      </w:r>
      <w:r>
        <w:t xml:space="preserve">”</w:t>
      </w:r>
      <w:r>
        <w:t xml:space="preserve"> </w:t>
      </w:r>
      <w:r>
        <w:t xml:space="preserve">— is a defined position within the CIF framework.### 4.2.2 Zero Deliverables After Two and a Half Years</w:t>
      </w:r>
    </w:p>
    <w:p>
      <w:pPr>
        <w:pStyle w:val="BodyText"/>
      </w:pPr>
      <w:r>
        <w:t xml:space="preserve">What has SCN actually delivered through this partnership? Nothing that can be identified.</w:t>
      </w:r>
    </w:p>
    <w:p>
      <w:pPr>
        <w:pStyle w:val="BodyText"/>
      </w:pPr>
      <w:r>
        <w:t xml:space="preserve">The CIF website and project pipeline pages, reviewed across 2022-2025, do not credit SCN with any specific bankable project identification or scoping.The CIF General page describes projects in Kenya, Rwanda, Malawi, India, Ethiopia, Nigeria, and other locations — none mention SCN involvement.No CIF reports, case studies, or pipeline documents specifically name SCN as having delivered any project preparation service.</w:t>
      </w:r>
    </w:p>
    <w:p>
      <w:pPr>
        <w:pStyle w:val="BodyText"/>
      </w:pPr>
      <w:r>
        <w:t xml:space="preserve">SCN’s own website acknowledges the absence obliquely: its SIMMS project role is described as being</w:t>
      </w:r>
      <w:r>
        <w:t xml:space="preserve"> </w:t>
      </w:r>
      <w:r>
        <w:t xml:space="preserve">“</w:t>
      </w:r>
      <w:r>
        <w:t xml:space="preserve">to identify the bankability of the project as part of our role to identify bankable projects with the UN-Habitat’s Cities Investment Facilities (CIF) initiative</w:t>
      </w:r>
      <w:r>
        <w:t xml:space="preserve">”</w:t>
      </w:r>
      <w:r>
        <w:t xml:space="preserve"> </w:t>
      </w:r>
      <w:r>
        <w:t xml:space="preserve">— but provides no evidence that any such identification was ever produced.The CIF Feasibility Fund notes typical budgets of up to USD 700,000 per supported project for CIAP partners.There is no evidence SCN has received or managed any of these funds. No bankable projects. No investment facilitation. No published outcomes. After two and a half years, the partnership exists exclusively in the MOU that created it and the prospectus that lists it.</w:t>
      </w:r>
    </w:p>
    <w:bookmarkEnd w:id="101"/>
    <w:bookmarkStart w:id="102" w:name="partnership-as-credentials-stamp"/>
    <w:p>
      <w:pPr>
        <w:pStyle w:val="Heading3"/>
      </w:pPr>
      <w:r>
        <w:t xml:space="preserve">4.2.3 Partnership as Credentials Stamp</w:t>
      </w:r>
    </w:p>
    <w:p>
      <w:pPr>
        <w:pStyle w:val="FirstParagraph"/>
      </w:pPr>
      <w:r>
        <w:t xml:space="preserve">The UN-Habitat CIF partnership illustrates SCN’s broader operational model: accumulate partnership agreements and advisory titles that create the</w:t>
      </w:r>
      <w:r>
        <w:t xml:space="preserve"> </w:t>
      </w:r>
      <w:r>
        <w:rPr>
          <w:iCs/>
          <w:i/>
        </w:rPr>
        <w:t xml:space="preserve">impression</w:t>
      </w:r>
      <w:r>
        <w:t xml:space="preserve"> </w:t>
      </w:r>
      <w:r>
        <w:t xml:space="preserve">of legitimacy and activity without requiring measurable outcomes. The CIAP role is a low-barrier advisory platform. SCN is not a lead implementing partner — it is one of several advisory organizations listed in a prospectus. There are no performance clauses requiring a minimum number of bankable projects. No reporting requirements with public accountability. No expiration or enforcement mechanism visible in the public documentation.</w:t>
      </w:r>
    </w:p>
    <w:p>
      <w:pPr>
        <w:pStyle w:val="BodyText"/>
      </w:pPr>
      <w:r>
        <w:t xml:space="preserve">The partnership provides SCN with a UN affiliation that can be cited in biographies, on websites, and in presentations to government officials. It does not appear to require SCN to deliver anything in return. This is not a criticism of UN-Habitat’s program design — CIAP partnerships may well be structured as open advisory networks. The criticism is of SCN’s presentation:</w:t>
      </w:r>
      <w:r>
        <w:t xml:space="preserve"> </w:t>
      </w:r>
      <w:r>
        <w:t xml:space="preserve">“</w:t>
      </w:r>
      <w:r>
        <w:t xml:space="preserve">Implementation Partner for the Cities Investment Facility</w:t>
      </w:r>
      <w:r>
        <w:t xml:space="preserve">”</w:t>
      </w:r>
      <w:r>
        <w:t xml:space="preserve"> </w:t>
      </w:r>
      <w:r>
        <w:t xml:space="preserve">implies active delivery, while the evidence shows passive listing.</w:t>
      </w:r>
    </w:p>
    <w:bookmarkEnd w:id="102"/>
    <w:bookmarkEnd w:id="103"/>
    <w:bookmarkStart w:id="108" w:name="events-and-content"/>
    <w:p>
      <w:pPr>
        <w:pStyle w:val="Heading2"/>
      </w:pPr>
      <w:r>
        <w:t xml:space="preserve">4.3 Events and Content</w:t>
      </w:r>
    </w:p>
    <w:p>
      <w:pPr>
        <w:pStyle w:val="FirstParagraph"/>
      </w:pPr>
      <w:r>
        <w:t xml:space="preserve">The user’s original complaint centered on events with</w:t>
      </w:r>
      <w:r>
        <w:t xml:space="preserve"> </w:t>
      </w:r>
      <w:r>
        <w:t xml:space="preserve">“</w:t>
      </w:r>
      <w:r>
        <w:t xml:space="preserve">no content.</w:t>
      </w:r>
      <w:r>
        <w:t xml:space="preserve">”</w:t>
      </w:r>
      <w:r>
        <w:t xml:space="preserve"> </w:t>
      </w:r>
      <w:r>
        <w:t xml:space="preserve">The research strongly supports this characterization — with important nuances. SCN and its chairman participate in legitimate, well-organized events produced by third parties. But SCN’s own content output is minimal to nonexistent.</w:t>
      </w:r>
    </w:p>
    <w:bookmarkStart w:id="104" w:name="X5de7077cd6a8a07227d8d80c6a03eda40d44e10"/>
    <w:p>
      <w:pPr>
        <w:pStyle w:val="Heading3"/>
      </w:pPr>
      <w:r>
        <w:t xml:space="preserve">4.3.1 Never Independently Organized a Major Conference</w:t>
      </w:r>
    </w:p>
    <w:p>
      <w:pPr>
        <w:pStyle w:val="FirstParagraph"/>
      </w:pPr>
      <w:r>
        <w:t xml:space="preserve">After extensive searching, no evidence was found of SCN independently organizing a major conference, summit, or substantial workshop.[^dim06^] SCN’s event participation falls into three categories: moderation and speaking roles at other organizations’ events (ConnecTechAsia, Smart City Expo Kuala Lumpur, ERIA dialogues, UN events); co-organization of smaller workshops; and virtual webinar participation during the COVID-19 period.</w:t>
      </w:r>
    </w:p>
    <w:p>
      <w:pPr>
        <w:pStyle w:val="BodyText"/>
      </w:pPr>
      <w:r>
        <w:t xml:space="preserve">These are not trivial engagements. Smart City Expo Kuala Lumpur 2025 is a major government-backed event organized by MDEC and Digital Nasional Berhad under Malaysia’s Ministry of Digital.</w:t>
      </w:r>
      <w:r>
        <w:rPr>
          <w:vertAlign w:val="superscript"/>
        </w:rPr>
        <w:t xml:space="preserve">14</w:t>
      </w:r>
      <w:r>
        <w:t xml:space="preserve">ERIA’s</w:t>
      </w:r>
      <w:r>
        <w:t xml:space="preserve"> </w:t>
      </w:r>
      <w:r>
        <w:t xml:space="preserve">“</w:t>
      </w:r>
      <w:r>
        <w:t xml:space="preserve">Realizing Smart Cities</w:t>
      </w:r>
      <w:r>
        <w:t xml:space="preserve">”</w:t>
      </w:r>
      <w:r>
        <w:t xml:space="preserve"> </w:t>
      </w:r>
      <w:r>
        <w:t xml:space="preserve">dialogue series is a legitimate multilateral initiative.</w:t>
      </w:r>
      <w:r>
        <w:rPr>
          <w:vertAlign w:val="superscript"/>
        </w:rPr>
        <w:t xml:space="preserve">15</w:t>
      </w:r>
      <w:r>
        <w:t xml:space="preserve">UN-APCTT’s events are genuine United Nations programs.</w:t>
      </w:r>
      <w:r>
        <w:rPr>
          <w:vertAlign w:val="superscript"/>
        </w:rPr>
        <w:t xml:space="preserve">16</w:t>
      </w:r>
      <w:r>
        <w:t xml:space="preserve">But SCN is always a guest, never a host. The content is produced by event organizers, not by SCN. The audiences are gathered by MDEC, ERIA, or the UN — not by Smart Cities Network. SCN is not a convener that draws audiences through its own content or reputation. It is a participant that secures speaking slots through personal networking and partnership credentials that are themselves largely paper-based.</w:t>
      </w:r>
    </w:p>
    <w:p>
      <w:pPr>
        <w:pStyle w:val="BodyText"/>
      </w:pPr>
      <w:r>
        <w:t xml:space="preserve">The contrast with the official ASEAN Smart Cities Network is instructive. ASCN’s inaugural meeting at the World Cities Summit in 2018 drew 200-plus guests.</w:t>
      </w:r>
      <w:r>
        <w:rPr>
          <w:vertAlign w:val="superscript"/>
        </w:rPr>
        <w:t xml:space="preserve">17</w:t>
      </w:r>
      <w:r>
        <w:t xml:space="preserve">Its governance workshops bring together 75 delegates from 25 cities with published information papers and documented feedback.</w:t>
      </w:r>
      <w:r>
        <w:rPr>
          <w:vertAlign w:val="superscript"/>
        </w:rPr>
        <w:t xml:space="preserve">17</w:t>
      </w:r>
      <w:r>
        <w:t xml:space="preserve">ASCN produces the ASEAN Smart Cities Framework, city-specific action plans, a Smart City Financing Toolkit, and annual M&amp;E reports.SCN produces none of these.</w:t>
      </w:r>
    </w:p>
    <w:bookmarkEnd w:id="104"/>
    <w:bookmarkStart w:id="105" w:name="scn-academy-a-non-functional-shell"/>
    <w:p>
      <w:pPr>
        <w:pStyle w:val="Heading3"/>
      </w:pPr>
      <w:r>
        <w:t xml:space="preserve">4.3.2 SCN Academy: A Non-Functional Shell</w:t>
      </w:r>
    </w:p>
    <w:p>
      <w:pPr>
        <w:pStyle w:val="FirstParagraph"/>
      </w:pPr>
      <w:r>
        <w:t xml:space="preserve">SCN operates a website at smartcitiesnetwork.academy that presents itself as an online learning platform.A direct examination of the site reveals something very different.</w:t>
      </w:r>
    </w:p>
    <w:p>
      <w:pPr>
        <w:pStyle w:val="BodyText"/>
      </w:pPr>
      <w:r>
        <w:t xml:space="preserve">The platform is a Moodle-based Learning Management System with exactly three</w:t>
      </w:r>
      <w:r>
        <w:t xml:space="preserve"> </w:t>
      </w:r>
      <w:r>
        <w:t xml:space="preserve">“</w:t>
      </w:r>
      <w:r>
        <w:t xml:space="preserve">courses</w:t>
      </w:r>
      <w:r>
        <w:t xml:space="preserve">”</w:t>
      </w:r>
      <w:r>
        <w:t xml:space="preserve"> </w:t>
      </w:r>
      <w:r>
        <w:t xml:space="preserve">listed:</w:t>
      </w:r>
      <w:r>
        <w:t xml:space="preserve"> </w:t>
      </w:r>
      <w:r>
        <w:t xml:space="preserve">“</w:t>
      </w:r>
      <w:r>
        <w:t xml:space="preserve">Members,</w:t>
      </w:r>
      <w:r>
        <w:t xml:space="preserve">”</w:t>
      </w:r>
      <w:r>
        <w:t xml:space="preserve"> </w:t>
      </w:r>
      <w:r>
        <w:t xml:space="preserve">“</w:t>
      </w:r>
      <w:r>
        <w:t xml:space="preserve">SCN Members Zone,</w:t>
      </w:r>
      <w:r>
        <w:t xml:space="preserve">”</w:t>
      </w:r>
      <w:r>
        <w:t xml:space="preserve"> </w:t>
      </w:r>
      <w:r>
        <w:t xml:space="preserve">and</w:t>
      </w:r>
      <w:r>
        <w:t xml:space="preserve"> </w:t>
      </w:r>
      <w:r>
        <w:t xml:space="preserve">“</w:t>
      </w:r>
      <w:r>
        <w:t xml:space="preserve">Digital Twins in Smart Cities.</w:t>
      </w:r>
      <w:r>
        <w:t xml:space="preserve">”</w:t>
      </w:r>
      <w:r>
        <w:rPr>
          <w:vertAlign w:val="superscript"/>
        </w:rPr>
        <w:t xml:space="preserve">18</w:t>
      </w:r>
      <w:r>
        <w:t xml:space="preserve">All three list</w:t>
      </w:r>
      <w:r>
        <w:t xml:space="preserve"> </w:t>
      </w:r>
      <w:r>
        <w:t xml:space="preserve">“</w:t>
      </w:r>
      <w:r>
        <w:t xml:space="preserve">System Administrator</w:t>
      </w:r>
      <w:r>
        <w:t xml:space="preserve">”</w:t>
      </w:r>
      <w:r>
        <w:t xml:space="preserve"> </w:t>
      </w:r>
      <w:r>
        <w:t xml:space="preserve">as the teacher — not a named instructor, not a subject matter expert, but the default Moodle administrative account. The</w:t>
      </w:r>
      <w:r>
        <w:t xml:space="preserve"> </w:t>
      </w:r>
      <w:r>
        <w:t xml:space="preserve">“</w:t>
      </w:r>
      <w:r>
        <w:t xml:space="preserve">Members</w:t>
      </w:r>
      <w:r>
        <w:t xml:space="preserve">”</w:t>
      </w:r>
      <w:r>
        <w:t xml:space="preserve"> </w:t>
      </w:r>
      <w:r>
        <w:t xml:space="preserve">course contains only generic descriptive text about what an SCN Member Portal</w:t>
      </w:r>
      <w:r>
        <w:t xml:space="preserve"> </w:t>
      </w:r>
      <w:r>
        <w:t xml:space="preserve">“</w:t>
      </w:r>
      <w:r>
        <w:t xml:space="preserve">typically includes</w:t>
      </w:r>
      <w:r>
        <w:t xml:space="preserve">”</w:t>
      </w:r>
      <w:r>
        <w:t xml:space="preserve"> </w:t>
      </w:r>
      <w:r>
        <w:t xml:space="preserve">— placeholder language, not actual educational content. There is no pricing, no syllabus, no enrollment information, and no guest access. The site appears to be a template installation with descriptive filler text where course content should be.[^dim11^]</w:t>
      </w:r>
    </w:p>
    <w:p>
      <w:pPr>
        <w:pStyle w:val="BodyText"/>
      </w:pPr>
      <w:r>
        <w:t xml:space="preserve">This is not an under-resourced educational initiative. It is a non-functional shell — a website that describes what a learning platform should offer without actually offering it. SCN claims to provide</w:t>
      </w:r>
      <w:r>
        <w:t xml:space="preserve"> </w:t>
      </w:r>
      <w:r>
        <w:t xml:space="preserve">“</w:t>
      </w:r>
      <w:r>
        <w:t xml:space="preserve">capacity building</w:t>
      </w:r>
      <w:r>
        <w:t xml:space="preserve">”</w:t>
      </w:r>
      <w:r>
        <w:t xml:space="preserve"> </w:t>
      </w:r>
      <w:r>
        <w:t xml:space="preserve">to its partner cities.The SCN Academy is the infrastructure that would deliver that capacity building. It does not function.</w:t>
      </w:r>
    </w:p>
    <w:bookmarkEnd w:id="105"/>
    <w:bookmarkStart w:id="106" w:name="Xd3de41679c62fc9c48317c3effe751507e023b0"/>
    <w:p>
      <w:pPr>
        <w:pStyle w:val="Heading3"/>
      </w:pPr>
      <w:r>
        <w:t xml:space="preserve">4.3.3 No Original Publications After Seven-Plus Years</w:t>
      </w:r>
    </w:p>
    <w:p>
      <w:pPr>
        <w:pStyle w:val="FirstParagraph"/>
      </w:pPr>
      <w:r>
        <w:t xml:space="preserve">Since its incorporation in August 2018, SCN has produced no original white papers, research reports, case studies, or technical publications.[^dim06^] Its only content outputs are presentation slides delivered by Tay Kok Chin — descriptive summaries of publicly available information, not original research.</w:t>
      </w:r>
    </w:p>
    <w:p>
      <w:pPr>
        <w:pStyle w:val="BodyText"/>
      </w:pPr>
      <w:r>
        <w:t xml:space="preserve">A sample presentation,</w:t>
      </w:r>
      <w:r>
        <w:t xml:space="preserve"> </w:t>
      </w:r>
      <w:r>
        <w:t xml:space="preserve">“</w:t>
      </w:r>
      <w:r>
        <w:t xml:space="preserve">Lessons from Smart Cities Implementations in Asia</w:t>
      </w:r>
      <w:r>
        <w:t xml:space="preserve">”</w:t>
      </w:r>
      <w:r>
        <w:t xml:space="preserve"> </w:t>
      </w:r>
      <w:r>
        <w:t xml:space="preserve">(40 slides), covers India’s Smart Cities Mission, Singapore’s approach, and generic</w:t>
      </w:r>
      <w:r>
        <w:t xml:space="preserve"> </w:t>
      </w:r>
      <w:r>
        <w:t xml:space="preserve">“</w:t>
      </w:r>
      <w:r>
        <w:t xml:space="preserve">critical success factors.</w:t>
      </w:r>
      <w:r>
        <w:t xml:space="preserve">”</w:t>
      </w:r>
      <w:r>
        <w:rPr>
          <w:vertAlign w:val="superscript"/>
        </w:rPr>
        <w:t xml:space="preserve">15</w:t>
      </w:r>
      <w:r>
        <w:t xml:space="preserve">The content is surface-level. There is no data analysis, no original research, no technical rigor. A 31-slide presentation at an Indian academic symposium in 2020 followed the same pattern.</w:t>
      </w:r>
      <w:r>
        <w:rPr>
          <w:vertAlign w:val="superscript"/>
        </w:rPr>
        <w:t xml:space="preserve">15</w:t>
      </w:r>
      <w:r>
        <w:t xml:space="preserve">SCN has no LinkedIn company page, Facebook page, Twitter/X account, Instagram presence, or YouTube channel.[^dim06^] For a modern</w:t>
      </w:r>
      <w:r>
        <w:t xml:space="preserve"> </w:t>
      </w:r>
      <w:r>
        <w:t xml:space="preserve">“</w:t>
      </w:r>
      <w:r>
        <w:t xml:space="preserve">network</w:t>
      </w:r>
      <w:r>
        <w:t xml:space="preserve">”</w:t>
      </w:r>
      <w:r>
        <w:t xml:space="preserve"> </w:t>
      </w:r>
      <w:r>
        <w:t xml:space="preserve">organization, this absence is unusual. The organization’s primary</w:t>
      </w:r>
      <w:r>
        <w:t xml:space="preserve"> </w:t>
      </w:r>
      <w:r>
        <w:t xml:space="preserve">“</w:t>
      </w:r>
      <w:r>
        <w:t xml:space="preserve">platform,</w:t>
      </w:r>
      <w:r>
        <w:t xml:space="preserve">”</w:t>
      </w:r>
      <w:r>
        <w:t xml:space="preserve"> </w:t>
      </w:r>
      <w:r>
        <w:t xml:space="preserve">according to Tay Kok Chin’s own 2019 presentation, is a private WhatsApp group —</w:t>
      </w:r>
      <w:r>
        <w:t xml:space="preserve"> </w:t>
      </w:r>
      <w:r>
        <w:t xml:space="preserve">“</w:t>
      </w:r>
      <w:r>
        <w:t xml:space="preserve">invitation only.</w:t>
      </w:r>
      <w:r>
        <w:t xml:space="preserve">”</w:t>
      </w:r>
      <w:r>
        <w:rPr>
          <w:vertAlign w:val="superscript"/>
        </w:rPr>
        <w:t xml:space="preserve">15</w:t>
      </w:r>
      <w:r>
        <w:t xml:space="preserve">A closed messaging group is not a knowledge-sharing platform. It is a networking channel. Networking is not content.</w:t>
      </w:r>
    </w:p>
    <w:p>
      <w:pPr>
        <w:pStyle w:val="BodyText"/>
      </w:pPr>
      <w:r>
        <w:t xml:space="preserve">The only published academic work connected to SCN’s chairman is a 2018 IEEE conference paper on the</w:t>
      </w:r>
      <w:r>
        <w:t xml:space="preserve"> </w:t>
      </w:r>
      <w:r>
        <w:t xml:space="preserve">“</w:t>
      </w:r>
      <w:r>
        <w:t xml:space="preserve">Garuda Smart City Framework</w:t>
      </w:r>
      <w:r>
        <w:t xml:space="preserve">”</w:t>
      </w:r>
      <w:r>
        <w:t xml:space="preserve"> </w:t>
      </w:r>
      <w:r>
        <w:t xml:space="preserve">— developed with Indonesian academics at Institut Teknologi Bandung, not by SCN.</w:t>
      </w:r>
      <w:r>
        <w:rPr>
          <w:vertAlign w:val="superscript"/>
        </w:rPr>
        <w:t xml:space="preserve">19</w:t>
      </w:r>
      <w:r>
        <w:t xml:space="preserve">It predates the CIAP partnership by four years.</w:t>
      </w:r>
    </w:p>
    <w:bookmarkEnd w:id="106"/>
    <w:bookmarkStart w:id="107" w:name="X1196e9d200a7d20ce3113647db40a9f0b322840"/>
    <w:p>
      <w:pPr>
        <w:pStyle w:val="Heading3"/>
      </w:pPr>
      <w:r>
        <w:t xml:space="preserve">4.3.4</w:t>
      </w:r>
      <w:r>
        <w:t xml:space="preserve"> </w:t>
      </w:r>
      <w:r>
        <w:t xml:space="preserve">“</w:t>
      </w:r>
      <w:r>
        <w:t xml:space="preserve">Human Smart Cities Methodologies</w:t>
      </w:r>
      <w:r>
        <w:t xml:space="preserve">”</w:t>
      </w:r>
      <w:r>
        <w:t xml:space="preserve">: Borrowed from an Academic Paper</w:t>
      </w:r>
    </w:p>
    <w:p>
      <w:pPr>
        <w:pStyle w:val="FirstParagraph"/>
      </w:pPr>
      <w:r>
        <w:t xml:space="preserve">In a 2021 presentation to the Smart City Institute Japan, SCN presented a slide titled</w:t>
      </w:r>
      <w:r>
        <w:t xml:space="preserve"> </w:t>
      </w:r>
      <w:r>
        <w:t xml:space="preserve">“</w:t>
      </w:r>
      <w:r>
        <w:t xml:space="preserve">HUMAN SMART CITIES METHODOLOGIES</w:t>
      </w:r>
      <w:r>
        <w:t xml:space="preserve">”</w:t>
      </w:r>
      <w:r>
        <w:t xml:space="preserve"> </w:t>
      </w:r>
      <w:r>
        <w:t xml:space="preserve">— capitalized and presented as a framework.</w:t>
      </w:r>
      <w:r>
        <w:rPr>
          <w:vertAlign w:val="superscript"/>
        </w:rPr>
        <w:t xml:space="preserve">20</w:t>
      </w:r>
      <w:r>
        <w:t xml:space="preserve">The slide’s fine print, however, reveals the source:</w:t>
      </w:r>
      <w:r>
        <w:t xml:space="preserve"> </w:t>
      </w:r>
      <w:r>
        <w:t xml:space="preserve">“</w:t>
      </w:r>
      <w:r>
        <w:t xml:space="preserve">Human smart cities methodologies Kumar et al. (2016), in turn, presents the result of the redevelopment process developed in Srirangapatna, India, through design thinking.</w:t>
      </w:r>
      <w:r>
        <w:t xml:space="preserve">”</w:t>
      </w:r>
      <w:r>
        <w:rPr>
          <w:vertAlign w:val="superscript"/>
        </w:rPr>
        <w:t xml:space="preserve">20</w:t>
      </w:r>
      <w:r>
        <w:t xml:space="preserve">The methodology is not SCN’s. It is a 2016 academic paper by Dr. T.V. Kumar and colleagues about human-centric smart city approaches in a single Indian town. SCN has not developed any frameworks, standards, or methodologies adopted by any city. The actual standards governing smart cities in ASEAN are the ASEAN Smart Cities Framework (ASCF), national frameworks such as Malaysia’s Smart City Framework and the Philippines’ DOST Framework, and ISO standards — none of which involve SCN.The</w:t>
      </w:r>
      <w:r>
        <w:t xml:space="preserve"> </w:t>
      </w:r>
      <w:r>
        <w:t xml:space="preserve">“</w:t>
      </w:r>
      <w:r>
        <w:t xml:space="preserve">ABC Framework</w:t>
      </w:r>
      <w:r>
        <w:t xml:space="preserve">”</w:t>
      </w:r>
      <w:r>
        <w:t xml:space="preserve"> </w:t>
      </w:r>
      <w:r>
        <w:t xml:space="preserve">that SCN promotes — Awareness, Building Capabilities, Commitment to Collaborate — is similarly not a substantive methodology.</w:t>
      </w:r>
      <w:r>
        <w:rPr>
          <w:vertAlign w:val="superscript"/>
        </w:rPr>
        <w:t xml:space="preserve">15</w:t>
      </w:r>
      <w:r>
        <w:t xml:space="preserve">It has no detailed implementation guide, no peer-reviewed validation, and no evidence of systematic application in any city project. It describes generic networking objectives at a level of abstraction that renders it operationally meaningless. The naming convention —</w:t>
      </w:r>
      <w:r>
        <w:t xml:space="preserve"> </w:t>
      </w:r>
      <w:r>
        <w:t xml:space="preserve">“</w:t>
      </w:r>
      <w:r>
        <w:t xml:space="preserve">ABC</w:t>
      </w:r>
      <w:r>
        <w:t xml:space="preserve">”</w:t>
      </w:r>
      <w:r>
        <w:t xml:space="preserve"> </w:t>
      </w:r>
      <w:r>
        <w:t xml:space="preserve">— suggests a marketing-oriented approach rather than rigorous technical development.</w:t>
      </w:r>
    </w:p>
    <w:p>
      <w:r>
        <w:pict>
          <v:rect style="width:0;height:1.5pt" o:hralign="center" o:hrstd="t" o:hr="t"/>
        </w:pict>
      </w:r>
    </w:p>
    <w:p>
      <w:pPr>
        <w:pStyle w:val="FirstParagraph"/>
      </w:pPr>
      <w:r>
        <w:t xml:space="preserve">The cumulative picture is of an organization that has mastered the accoutrements of legitimacy without mastering the substance of delivery. SCN signs MOUs, not contracts. It lists partnerships, not projects. It presents at conferences, but does not organize them. It claims an academy, but does not operate one. It cites a UN partnership, but has not delivered through it. It references</w:t>
      </w:r>
      <w:r>
        <w:t xml:space="preserve"> </w:t>
      </w:r>
      <w:r>
        <w:t xml:space="preserve">“</w:t>
      </w:r>
      <w:r>
        <w:t xml:space="preserve">Human Smart Cities Methodologies,</w:t>
      </w:r>
      <w:r>
        <w:t xml:space="preserve">”</w:t>
      </w:r>
      <w:r>
        <w:t xml:space="preserve"> </w:t>
      </w:r>
      <w:r>
        <w:t xml:space="preserve">but did not create them. After seven years, the organization’s primary verifiable output is a single introduction — connecting Cauayan City to Graffiquo — that produced a successful digital twin SCN did not build, fund, or implement.</w:t>
      </w:r>
    </w:p>
    <w:p>
      <w:pPr>
        <w:pStyle w:val="BodyText"/>
      </w:pPr>
      <w:r>
        <w:t xml:space="preserve">This is not to say SCN delivers nothing. It delivers presence: its chairman at industry events, its logo on partnership documents, its name in MOUs and advisory listings. For city officials under pressure to demonstrate smart city engagement, this presence has value — a visible affiliation to cite as evidence of progress. But the user’s complaint about</w:t>
      </w:r>
      <w:r>
        <w:t xml:space="preserve"> </w:t>
      </w:r>
      <w:r>
        <w:t xml:space="preserve">“</w:t>
      </w:r>
      <w:r>
        <w:t xml:space="preserve">no content</w:t>
      </w:r>
      <w:r>
        <w:t xml:space="preserve">”</w:t>
      </w:r>
      <w:r>
        <w:t xml:space="preserve"> </w:t>
      </w:r>
      <w:r>
        <w:t xml:space="preserve">is not a misperception. It is an accurate description of an organization whose business model is the accumulation of credentials that require no content to maintain.</w:t>
      </w:r>
    </w:p>
    <w:p>
      <w:r>
        <w:pict>
          <v:rect style="width:0;height:1.5pt" o:hralign="center" o:hrstd="t" o:hr="t"/>
        </w:pict>
      </w:r>
    </w:p>
    <w:bookmarkEnd w:id="107"/>
    <w:bookmarkEnd w:id="108"/>
    <w:bookmarkStart w:id="121" w:name="scns-asia-pacific-engagements"/>
    <w:p>
      <w:pPr>
        <w:pStyle w:val="Heading2"/>
      </w:pPr>
      <w:r>
        <w:t xml:space="preserve">5. SCN’s Asia-Pacific Engagements</w:t>
      </w:r>
    </w:p>
    <w:p>
      <w:pPr>
        <w:pStyle w:val="FirstParagraph"/>
      </w:pPr>
      <w:r>
        <w:t xml:space="preserve">SCN’s claimed Asia-Pacific footprint anchors its credibility. The website lists thirteen</w:t>
      </w:r>
      <w:r>
        <w:t xml:space="preserve"> </w:t>
      </w:r>
      <w:r>
        <w:t xml:space="preserve">“</w:t>
      </w:r>
      <w:r>
        <w:t xml:space="preserve">Partner Cities</w:t>
      </w:r>
      <w:r>
        <w:t xml:space="preserve">”</w:t>
      </w:r>
      <w:r>
        <w:t xml:space="preserve"> </w:t>
      </w:r>
      <w:r>
        <w:t xml:space="preserve">spanning Singapore, Bangkok, Jakarta, Kuala Lumpur, Manila, Iligan, Santa Rosa, Cauayan City, and Phnom Penh. Its chairman, Kok Chin Tay, holds titles suggesting deep government integration:</w:t>
      </w:r>
      <w:r>
        <w:t xml:space="preserve"> </w:t>
      </w:r>
      <w:r>
        <w:t xml:space="preserve">“</w:t>
      </w:r>
      <w:r>
        <w:t xml:space="preserve">Smart City Advisor and Capacity Builder for the Philippines DOST,</w:t>
      </w:r>
      <w:r>
        <w:t xml:space="preserve">”</w:t>
      </w:r>
      <w:r>
        <w:t xml:space="preserve"> </w:t>
      </w:r>
      <w:r>
        <w:t xml:space="preserve">“</w:t>
      </w:r>
      <w:r>
        <w:t xml:space="preserve">Consulting Expert for the Phnom Penh Smart and Sustainable City Strategic Roadmap 2035,</w:t>
      </w:r>
      <w:r>
        <w:t xml:space="preserve">”</w:t>
      </w:r>
      <w:r>
        <w:t xml:space="preserve"> </w:t>
      </w:r>
      <w:r>
        <w:t xml:space="preserve">and</w:t>
      </w:r>
      <w:r>
        <w:t xml:space="preserve"> </w:t>
      </w:r>
      <w:r>
        <w:t xml:space="preserve">“</w:t>
      </w:r>
      <w:r>
        <w:t xml:space="preserve">UNESCAP Smart City Consultant</w:t>
      </w:r>
      <w:r>
        <w:t xml:space="preserve">”</w:t>
      </w:r>
      <w:r>
        <w:t xml:space="preserve"> </w:t>
      </w:r>
      <w:r>
        <w:t xml:space="preserve">for Cambodia</w:t>
      </w:r>
      <w:r>
        <w:rPr>
          <w:vertAlign w:val="superscript"/>
        </w:rPr>
        <w:t xml:space="preserve">21</w:t>
      </w:r>
      <w:r>
        <w:t xml:space="preserve">.</w:t>
      </w:r>
    </w:p>
    <w:p>
      <w:pPr>
        <w:pStyle w:val="BodyText"/>
      </w:pPr>
      <w:r>
        <w:t xml:space="preserve">A systematic review against primary government documents and independent sources reveals a stark divergence. The Philippines engagements are genuine but far more limited than marketing suggests. The Cambodian claims lack any government verification. And critically, SCN has no formal relationship with Singapore’s Smart Nation initiative despite being headquartered there. The pattern is not of a well-connected implementer, but of an organization whose verifiable government touchpoints are concentrated in developing countries where due diligence capacity is weaker.</w:t>
      </w:r>
    </w:p>
    <w:bookmarkStart w:id="112" w:name="X4683268916814f51100064548cf18932a71eace"/>
    <w:p>
      <w:pPr>
        <w:pStyle w:val="Heading3"/>
      </w:pPr>
      <w:r>
        <w:t xml:space="preserve">5.1 Philippines — The Most Documented Engagement</w:t>
      </w:r>
    </w:p>
    <w:p>
      <w:pPr>
        <w:pStyle w:val="FirstParagraph"/>
      </w:pPr>
      <w:r>
        <w:t xml:space="preserve">The Philippines represents SCN’s most thoroughly documented government engagement. Multiple independent sources confirm MOUs, workshops, and advisory relationships with Philippine city governments and the Department of Science and Technology. However, the substance of these engagements — what was actually delivered — falls well short of what SCN’s credentials imply.</w:t>
      </w:r>
    </w:p>
    <w:bookmarkStart w:id="109" w:name="X121f5b11320fe04a6e9c481db4a4635cad67032"/>
    <w:p>
      <w:pPr>
        <w:pStyle w:val="Heading4"/>
      </w:pPr>
      <w:r>
        <w:t xml:space="preserve">5.1.1 DOST STI Ambassador (December 2021) — Verified but Limited Outcomes</w:t>
      </w:r>
    </w:p>
    <w:p>
      <w:pPr>
        <w:pStyle w:val="FirstParagraph"/>
      </w:pPr>
      <w:r>
        <w:t xml:space="preserve">Kok Chin Tay’s speaker biographies consistently list his appointment as an</w:t>
      </w:r>
      <w:r>
        <w:t xml:space="preserve"> </w:t>
      </w:r>
      <w:r>
        <w:t xml:space="preserve">“</w:t>
      </w:r>
      <w:r>
        <w:t xml:space="preserve">STI Ambassador</w:t>
      </w:r>
      <w:r>
        <w:t xml:space="preserve">”</w:t>
      </w:r>
      <w:r>
        <w:t xml:space="preserve"> </w:t>
      </w:r>
      <w:r>
        <w:t xml:space="preserve">by the Philippines Department of Science and Technology in December 2021, described as a</w:t>
      </w:r>
      <w:r>
        <w:t xml:space="preserve"> </w:t>
      </w:r>
      <w:r>
        <w:t xml:space="preserve">“</w:t>
      </w:r>
      <w:r>
        <w:t xml:space="preserve">prime mover</w:t>
      </w:r>
      <w:r>
        <w:t xml:space="preserve">”</w:t>
      </w:r>
      <w:r>
        <w:t xml:space="preserve"> </w:t>
      </w:r>
      <w:r>
        <w:t xml:space="preserve">for the country’s smart city initiatives</w:t>
      </w:r>
      <w:r>
        <w:rPr>
          <w:vertAlign w:val="superscript"/>
        </w:rPr>
        <w:t xml:space="preserve">21</w:t>
      </w:r>
      <w:r>
        <w:t xml:space="preserve"> </w:t>
      </w:r>
      <w:r>
        <w:rPr>
          <w:vertAlign w:val="superscript"/>
        </w:rPr>
        <w:t xml:space="preserve">10</w:t>
      </w:r>
      <w:r>
        <w:t xml:space="preserve">. The title appears on official Philippine government sources — the Philippine News Agency and DOST event listings both refer to him as</w:t>
      </w:r>
      <w:r>
        <w:t xml:space="preserve"> </w:t>
      </w:r>
      <w:r>
        <w:t xml:space="preserve">“</w:t>
      </w:r>
      <w:r>
        <w:t xml:space="preserve">Dr. Kok Chin Tay,</w:t>
      </w:r>
      <w:r>
        <w:t xml:space="preserve">”</w:t>
      </w:r>
      <w:r>
        <w:t xml:space="preserve"> </w:t>
      </w:r>
      <w:r>
        <w:t xml:space="preserve">lending the claim government imprimatur</w:t>
      </w:r>
      <w:r>
        <w:rPr>
          <w:vertAlign w:val="superscript"/>
        </w:rPr>
        <w:t xml:space="preserve">22</w:t>
      </w:r>
      <w:r>
        <w:t xml:space="preserve">.</w:t>
      </w:r>
    </w:p>
    <w:p>
      <w:pPr>
        <w:pStyle w:val="BodyText"/>
      </w:pPr>
      <w:r>
        <w:t xml:space="preserve">The</w:t>
      </w:r>
      <w:r>
        <w:t xml:space="preserve"> </w:t>
      </w:r>
      <w:r>
        <w:t xml:space="preserve">“</w:t>
      </w:r>
      <w:r>
        <w:t xml:space="preserve">STI Ambassador</w:t>
      </w:r>
      <w:r>
        <w:t xml:space="preserve">”</w:t>
      </w:r>
      <w:r>
        <w:t xml:space="preserve"> </w:t>
      </w:r>
      <w:r>
        <w:t xml:space="preserve">programme is a real DOST initiative to enlist industry leaders to promote science and technology across Philippine cities. Tay’s appointment appears in DOST event coverage for Regional Science, Technology, and Innovation Week in CALABARZON</w:t>
      </w:r>
      <w:r>
        <w:rPr>
          <w:vertAlign w:val="superscript"/>
        </w:rPr>
        <w:t xml:space="preserve">22</w:t>
      </w:r>
      <w:r>
        <w:t xml:space="preserve">. However, no primary DOST press release explicitly confirming the specific title and date was located.</w:t>
      </w:r>
    </w:p>
    <w:p>
      <w:pPr>
        <w:pStyle w:val="BodyText"/>
      </w:pPr>
      <w:r>
        <w:t xml:space="preserve">What is clear is that the title has produced no documented project outcomes. Three years after the claimed appointment, no SCN-delivered project appears in DOST records. The department’s own Smart and Sustainable Cities Framework was developed with the Department of Information and Communications Technology, not SCN. DOST’s iSTART programme initiatives involve department officials directly, with no SCN involvement. The title functioned primarily as credentials enhancement — a government-affiliated designation that opened doors without requiring measurable deliverables.</w:t>
      </w:r>
    </w:p>
    <w:bookmarkEnd w:id="109"/>
    <w:bookmarkStart w:id="110" w:name="Xb6a852533851b1af94d7ffabf32b8ca935d6eab"/>
    <w:p>
      <w:pPr>
        <w:pStyle w:val="Heading4"/>
      </w:pPr>
      <w:r>
        <w:t xml:space="preserve">5.1.2 Cauayan City MOU (January 2019) — Signed but Implementation by Third Parties</w:t>
      </w:r>
    </w:p>
    <w:p>
      <w:pPr>
        <w:pStyle w:val="FirstParagraph"/>
      </w:pPr>
      <w:r>
        <w:t xml:space="preserve">The Cauayan City engagement is SCN’s most substantiated government partnership. In January 2019, SCN signed a memorandum of understanding with Cauayan City (population ~160,000, Isabela Province), the Department of Science and Technology, Isabela State University, and the Smart Cities Council for the</w:t>
      </w:r>
      <w:r>
        <w:t xml:space="preserve"> </w:t>
      </w:r>
      <w:r>
        <w:t xml:space="preserve">“</w:t>
      </w:r>
      <w:r>
        <w:t xml:space="preserve">Smarter and Sustainable Cities in the Philippines</w:t>
      </w:r>
      <w:r>
        <w:t xml:space="preserve">”</w:t>
      </w:r>
      <w:r>
        <w:t xml:space="preserve"> </w:t>
      </w:r>
      <w:r>
        <w:t xml:space="preserve">project</w:t>
      </w:r>
      <w:r>
        <w:rPr>
          <w:vertAlign w:val="superscript"/>
        </w:rPr>
        <w:t xml:space="preserve">23</w:t>
      </w:r>
      <w:r>
        <w:t xml:space="preserve"> </w:t>
      </w:r>
      <w:r>
        <w:rPr>
          <w:vertAlign w:val="superscript"/>
        </w:rPr>
        <w:t xml:space="preserve">24</w:t>
      </w:r>
      <w:r>
        <w:t xml:space="preserve">. Multiple independent sources confirm this MOU: icleiseas.org, Cauayan City’s own publications, and the League of Cities of the Philippines all document the signing and subsequent workshops</w:t>
      </w:r>
      <w:r>
        <w:rPr>
          <w:vertAlign w:val="superscript"/>
        </w:rPr>
        <w:t xml:space="preserve">23</w:t>
      </w:r>
      <w:r>
        <w:t xml:space="preserve"> </w:t>
      </w:r>
      <w:r>
        <w:rPr>
          <w:vertAlign w:val="superscript"/>
        </w:rPr>
        <w:t xml:space="preserve">24</w:t>
      </w:r>
      <w:r>
        <w:t xml:space="preserve"> </w:t>
      </w:r>
      <w:r>
        <w:rPr>
          <w:vertAlign w:val="superscript"/>
        </w:rPr>
        <w:t xml:space="preserve">25</w:t>
      </w:r>
      <w:r>
        <w:t xml:space="preserve">.</w:t>
      </w:r>
    </w:p>
    <w:p>
      <w:pPr>
        <w:pStyle w:val="BodyText"/>
      </w:pPr>
      <w:r>
        <w:t xml:space="preserve">The partnership produced genuine activity. A</w:t>
      </w:r>
      <w:r>
        <w:t xml:space="preserve"> </w:t>
      </w:r>
      <w:r>
        <w:t xml:space="preserve">“</w:t>
      </w:r>
      <w:r>
        <w:t xml:space="preserve">First Smarter Cities Readiness Challenge Workshop</w:t>
      </w:r>
      <w:r>
        <w:t xml:space="preserve">”</w:t>
      </w:r>
      <w:r>
        <w:t xml:space="preserve"> </w:t>
      </w:r>
      <w:r>
        <w:t xml:space="preserve">was held involving Cauayan City, DOST Regional Office II, Isabela State University, the League of Cities of the Philippines, and Kok Chin Tay</w:t>
      </w:r>
      <w:r>
        <w:rPr>
          <w:vertAlign w:val="superscript"/>
        </w:rPr>
        <w:t xml:space="preserve">25</w:t>
      </w:r>
      <w:r>
        <w:t xml:space="preserve">. The engagement culminated in a digital twin project — a 3D virtual model of Cauayan City for disaster resilience — which was used to assess PHP 600 million (~USD 12.5 million) in typhoon damage, identify 7,724 affected families, and coordinate distribution of 36,824 relief packs.</w:t>
      </w:r>
    </w:p>
    <w:p>
      <w:pPr>
        <w:pStyle w:val="BodyText"/>
      </w:pPr>
      <w:r>
        <w:t xml:space="preserve">But the digital twin was not delivered by SCN. Technical implementation was performed by Graffiquo, a Singapore-based geospatial provider,</w:t>
      </w:r>
      <w:r>
        <w:t xml:space="preserve"> </w:t>
      </w:r>
      <w:r>
        <w:t xml:space="preserve">“</w:t>
      </w:r>
      <w:r>
        <w:t xml:space="preserve">introduced to the city through a mutual Smart Cities Network contact</w:t>
      </w:r>
      <w:r>
        <w:t xml:space="preserve">”</w:t>
      </w:r>
      <w:r>
        <w:t xml:space="preserve">. Funding came from WeGO (World Smart Sustainable Cities Organization), which sponsored approximately USD 92,000 in services. The project received an AWS</w:t>
      </w:r>
      <w:r>
        <w:t xml:space="preserve"> </w:t>
      </w:r>
      <w:r>
        <w:t xml:space="preserve">“</w:t>
      </w:r>
      <w:r>
        <w:t xml:space="preserve">Global GameChanger</w:t>
      </w:r>
      <w:r>
        <w:t xml:space="preserve">”</w:t>
      </w:r>
      <w:r>
        <w:t xml:space="preserve"> </w:t>
      </w:r>
      <w:r>
        <w:t xml:space="preserve">award — an Amazon marketing programme, not government recognition</w:t>
      </w:r>
      <w:r>
        <w:rPr>
          <w:vertAlign w:val="superscript"/>
        </w:rPr>
        <w:t xml:space="preserve">26</w:t>
      </w:r>
      <w:r>
        <w:t xml:space="preserve">.</w:t>
      </w:r>
    </w:p>
    <w:p>
      <w:pPr>
        <w:pStyle w:val="BodyText"/>
      </w:pPr>
      <w:r>
        <w:t xml:space="preserve">SCN’s role was facilitator and connector — valuable, but fundamentally different from implementation. Tay promoted Cauayan City on global platforms and SCN’s network bridged the city to Graffiquo. Yet SCN markets this as one of its</w:t>
      </w:r>
      <w:r>
        <w:t xml:space="preserve"> </w:t>
      </w:r>
      <w:r>
        <w:t xml:space="preserve">“</w:t>
      </w:r>
      <w:r>
        <w:t xml:space="preserve">13 Key Projects</w:t>
      </w:r>
      <w:r>
        <w:t xml:space="preserve">”</w:t>
      </w:r>
      <w:r>
        <w:t xml:space="preserve">, obscuring that a third-party vendor performed the actual work, funded by an external organisation.</w:t>
      </w:r>
    </w:p>
    <w:bookmarkEnd w:id="110"/>
    <w:bookmarkStart w:id="111" w:name="X9f4e531fa825ffc21fb745305b89035e85c083a"/>
    <w:p>
      <w:pPr>
        <w:pStyle w:val="Heading4"/>
      </w:pPr>
      <w:r>
        <w:t xml:space="preserve">5.1.3 Santa Rosa City and Iligan City MOUs (2023) — No Outcomes After 18+ Months</w:t>
      </w:r>
    </w:p>
    <w:p>
      <w:pPr>
        <w:pStyle w:val="FirstParagraph"/>
      </w:pPr>
      <w:r>
        <w:t xml:space="preserve">Following the Cauayan model, SCN signed additional MOUs with Santa Rosa City (October 6, 2023) and Iligan City (August 15, 2023), both framed as</w:t>
      </w:r>
      <w:r>
        <w:t xml:space="preserve"> </w:t>
      </w:r>
      <w:r>
        <w:t xml:space="preserve">“</w:t>
      </w:r>
      <w:r>
        <w:t xml:space="preserve">Capacity Building for Smart and Sustainable Cities</w:t>
      </w:r>
      <w:r>
        <w:t xml:space="preserve">”</w:t>
      </w:r>
      <w:r>
        <w:t xml:space="preserve"> </w:t>
      </w:r>
      <w:r>
        <w:t xml:space="preserve">partnerships. These agreements expanded SCN’s Philippine city portfolio and provided further credentials for conference bios and marketing materials.</w:t>
      </w:r>
    </w:p>
    <w:p>
      <w:pPr>
        <w:pStyle w:val="BodyText"/>
      </w:pPr>
      <w:r>
        <w:t xml:space="preserve">Eighteen months later, no specific project outcomes, deliverables, or implementation details from either partnership have materialised in any publicly accessible source. No digital twins, no readiness workshops documented by independent observers, no government reports citing SCN involvement — only the MOUs themselves, which SCN lists as achievements. The pattern established at Cauayan City, where at minimum a third-party vendor delivered tangible results, has not been replicated. These agreements appear to exist as paper partnerships: signed, announced, and then dormant.</w:t>
      </w:r>
    </w:p>
    <w:bookmarkEnd w:id="111"/>
    <w:bookmarkEnd w:id="112"/>
    <w:bookmarkStart w:id="116" w:name="cambodia-unverified-claims"/>
    <w:p>
      <w:pPr>
        <w:pStyle w:val="Heading3"/>
      </w:pPr>
      <w:r>
        <w:t xml:space="preserve">5.2 Cambodia — Unverified Claims</w:t>
      </w:r>
    </w:p>
    <w:p>
      <w:pPr>
        <w:pStyle w:val="FirstParagraph"/>
      </w:pPr>
      <w:r>
        <w:t xml:space="preserve">If the Philippines engagement is SCN’s most documented, Cambodia is its most inflated. Kok Chin Tay claims three distinct Cambodian credentials: Visiting Professor at the National University of Management (NUM), Consulting Expert for Phnom Penh’s Smart City Strategic Roadmap, and UN ESCAP consultant for Cambodia’s National Smart City Policy Guidelines</w:t>
      </w:r>
      <w:r>
        <w:rPr>
          <w:vertAlign w:val="superscript"/>
        </w:rPr>
        <w:t xml:space="preserve">2</w:t>
      </w:r>
      <w:r>
        <w:t xml:space="preserve"> </w:t>
      </w:r>
      <w:r>
        <w:rPr>
          <w:vertAlign w:val="superscript"/>
        </w:rPr>
        <w:t xml:space="preserve">21</w:t>
      </w:r>
      <w:r>
        <w:t xml:space="preserve">. None of these claims withstand scrutiny against primary Cambodian government or UN documents.</w:t>
      </w:r>
    </w:p>
    <w:bookmarkStart w:id="113" w:name="Xace50d9e95686b421532ff743d1a27a42477602"/>
    <w:p>
      <w:pPr>
        <w:pStyle w:val="Heading4"/>
      </w:pPr>
      <w:r>
        <w:t xml:space="preserve">5.2.1 NUM Cambodia</w:t>
      </w:r>
      <w:r>
        <w:t xml:space="preserve"> </w:t>
      </w:r>
      <w:r>
        <w:t xml:space="preserve">“</w:t>
      </w:r>
      <w:r>
        <w:t xml:space="preserve">Visiting Professor</w:t>
      </w:r>
      <w:r>
        <w:t xml:space="preserve">”</w:t>
      </w:r>
      <w:r>
        <w:t xml:space="preserve"> </w:t>
      </w:r>
      <w:r>
        <w:t xml:space="preserve">— Listed but Limited</w:t>
      </w:r>
    </w:p>
    <w:p>
      <w:pPr>
        <w:pStyle w:val="FirstParagraph"/>
      </w:pPr>
      <w:r>
        <w:t xml:space="preserve">The National University of Management’s Master of Science in Digital Economy page does list</w:t>
      </w:r>
      <w:r>
        <w:t xml:space="preserve"> </w:t>
      </w:r>
      <w:r>
        <w:t xml:space="preserve">“</w:t>
      </w:r>
      <w:r>
        <w:t xml:space="preserve">Professor Kok Chin (KC) Tay</w:t>
      </w:r>
      <w:r>
        <w:t xml:space="preserve">”</w:t>
      </w:r>
      <w:r>
        <w:t xml:space="preserve"> </w:t>
      </w:r>
      <w:r>
        <w:t xml:space="preserve">as providing lectures on</w:t>
      </w:r>
      <w:r>
        <w:t xml:space="preserve"> </w:t>
      </w:r>
      <w:r>
        <w:t xml:space="preserve">“</w:t>
      </w:r>
      <w:r>
        <w:t xml:space="preserve">Components of Smart City Infrastructure</w:t>
      </w:r>
      <w:r>
        <w:t xml:space="preserve">”</w:t>
      </w:r>
      <w:r>
        <w:rPr>
          <w:vertAlign w:val="superscript"/>
        </w:rPr>
        <w:t xml:space="preserve">1</w:t>
      </w:r>
      <w:r>
        <w:t xml:space="preserve">. His own bio states he has been</w:t>
      </w:r>
      <w:r>
        <w:t xml:space="preserve"> </w:t>
      </w:r>
      <w:r>
        <w:t xml:space="preserve">“</w:t>
      </w:r>
      <w:r>
        <w:t xml:space="preserve">actively involved in developing courses regarding smart city management planning at Faculty of Digital Economy</w:t>
      </w:r>
      <w:r>
        <w:t xml:space="preserve">”</w:t>
      </w:r>
      <w:r>
        <w:rPr>
          <w:vertAlign w:val="superscript"/>
        </w:rPr>
        <w:t xml:space="preserve">1</w:t>
      </w:r>
      <w:r>
        <w:t xml:space="preserve">.</w:t>
      </w:r>
    </w:p>
    <w:p>
      <w:pPr>
        <w:pStyle w:val="BodyText"/>
      </w:pPr>
      <w:r>
        <w:t xml:space="preserve">This represents the most verifiable of the Cambodian claims. However, the position appears to be a course contributor or guest lecturer arrangement rather than a formal visiting professorship with academic appointment, peer review obligations, or institutional governance role. Cambodian universities frequently host foreign practitioners for short-term lecture series, and the</w:t>
      </w:r>
      <w:r>
        <w:t xml:space="preserve"> </w:t>
      </w:r>
      <w:r>
        <w:t xml:space="preserve">“</w:t>
      </w:r>
      <w:r>
        <w:t xml:space="preserve">Professor</w:t>
      </w:r>
      <w:r>
        <w:t xml:space="preserve">”</w:t>
      </w:r>
      <w:r>
        <w:t xml:space="preserve"> </w:t>
      </w:r>
      <w:r>
        <w:t xml:space="preserve">designation in this context reflects courtesy titling rather than academic rank. The claim is real but modest — a teaching contribution inflated into an academic appointment in SCN’s marketing.</w:t>
      </w:r>
    </w:p>
    <w:bookmarkEnd w:id="113"/>
    <w:bookmarkStart w:id="114" w:name="X33185b654ae6df828c1ed77a74c24b147735510"/>
    <w:p>
      <w:pPr>
        <w:pStyle w:val="Heading4"/>
      </w:pPr>
      <w:r>
        <w:t xml:space="preserve">5.2.2 Phnom Penh — No Cambodian Government Documents</w:t>
      </w:r>
    </w:p>
    <w:p>
      <w:pPr>
        <w:pStyle w:val="FirstParagraph"/>
      </w:pPr>
      <w:r>
        <w:t xml:space="preserve">The most consequential Cambodian claim is also the most unsupported. Tay lists himself as</w:t>
      </w:r>
      <w:r>
        <w:t xml:space="preserve"> </w:t>
      </w:r>
      <w:r>
        <w:t xml:space="preserve">“</w:t>
      </w:r>
      <w:r>
        <w:t xml:space="preserve">Consulting Expert for the Implementation Masterplan 2035 for the Phnom Penh Smart and Sustainable City Strategic Roadmap</w:t>
      </w:r>
      <w:r>
        <w:t xml:space="preserve">”</w:t>
      </w:r>
      <w:r>
        <w:rPr>
          <w:vertAlign w:val="superscript"/>
        </w:rPr>
        <w:t xml:space="preserve">2</w:t>
      </w:r>
      <w:r>
        <w:t xml:space="preserve">. The roadmap itself is a genuine government document, adopted in 2021 with the roadmap period extending to 2035.</w:t>
      </w:r>
    </w:p>
    <w:p>
      <w:pPr>
        <w:pStyle w:val="BodyText"/>
      </w:pPr>
      <w:r>
        <w:t xml:space="preserve">However, no Cambodian government document credits either Tay or SCN with its development. A January 2022 article from Construction-Property.com reporting the roadmap’s unveiling notes cooperation with</w:t>
      </w:r>
      <w:r>
        <w:t xml:space="preserve"> </w:t>
      </w:r>
      <w:r>
        <w:t xml:space="preserve">“</w:t>
      </w:r>
      <w:r>
        <w:t xml:space="preserve">AIMF, EU, Japan MLIT, JICA, ADB, among others</w:t>
      </w:r>
      <w:r>
        <w:t xml:space="preserve">”</w:t>
      </w:r>
      <w:r>
        <w:t xml:space="preserve"> </w:t>
      </w:r>
      <w:r>
        <w:t xml:space="preserve">— with no mention of SCN or Kok Chin Tay</w:t>
      </w:r>
      <w:r>
        <w:rPr>
          <w:vertAlign w:val="superscript"/>
        </w:rPr>
        <w:t xml:space="preserve">27</w:t>
      </w:r>
      <w:r>
        <w:t xml:space="preserve">. The October 2021 ASEAN-Japan Smart Cities High Level Meeting presentation by Phnom Penh Capital Hall lists the roadmap as a Cambodian government initiative supported by international development partners; SCN is absent</w:t>
      </w:r>
      <w:r>
        <w:rPr>
          <w:vertAlign w:val="superscript"/>
        </w:rPr>
        <w:t xml:space="preserve">28</w:t>
      </w:r>
      <w:r>
        <w:t xml:space="preserve">. An April 2024 AIMF terms of reference for the Phnom Penh Smart City Hub calls for consultants with</w:t>
      </w:r>
      <w:r>
        <w:t xml:space="preserve"> </w:t>
      </w:r>
      <w:r>
        <w:t xml:space="preserve">“</w:t>
      </w:r>
      <w:r>
        <w:t xml:space="preserve">15 years’ experience in Cambodia and South-East Asia</w:t>
      </w:r>
      <w:r>
        <w:t xml:space="preserve">”</w:t>
      </w:r>
      <w:r>
        <w:t xml:space="preserve"> </w:t>
      </w:r>
      <w:r>
        <w:t xml:space="preserve">— Tay is not named</w:t>
      </w:r>
      <w:r>
        <w:rPr>
          <w:vertAlign w:val="superscript"/>
        </w:rPr>
        <w:t xml:space="preserve">29</w:t>
      </w:r>
      <w:r>
        <w:t xml:space="preserve">.</w:t>
      </w:r>
    </w:p>
    <w:p>
      <w:pPr>
        <w:pStyle w:val="BodyText"/>
      </w:pPr>
      <w:r>
        <w:t xml:space="preserve">What does exist is a November 2021 presentation by Tay himself titled</w:t>
      </w:r>
      <w:r>
        <w:t xml:space="preserve"> </w:t>
      </w:r>
      <w:r>
        <w:t xml:space="preserve">“</w:t>
      </w:r>
      <w:r>
        <w:t xml:space="preserve">Harnessing 4IR technologies for sustainable and smart cities,</w:t>
      </w:r>
      <w:r>
        <w:t xml:space="preserve">”</w:t>
      </w:r>
      <w:r>
        <w:t xml:space="preserve"> </w:t>
      </w:r>
      <w:r>
        <w:t xml:space="preserve">in which he describes Phnom Penh work as a proposal and collaboration concept, not a delivered project</w:t>
      </w:r>
      <w:r>
        <w:rPr>
          <w:vertAlign w:val="superscript"/>
        </w:rPr>
        <w:t xml:space="preserve">26</w:t>
      </w:r>
      <w:r>
        <w:t xml:space="preserve">. Slides outline goals to</w:t>
      </w:r>
      <w:r>
        <w:t xml:space="preserve"> </w:t>
      </w:r>
      <w:r>
        <w:t xml:space="preserve">“</w:t>
      </w:r>
      <w:r>
        <w:t xml:space="preserve">Position Phnom Penh as a model Smart &amp; Sustainable Capital City</w:t>
      </w:r>
      <w:r>
        <w:t xml:space="preserve">”</w:t>
      </w:r>
      <w:r>
        <w:t xml:space="preserve"> </w:t>
      </w:r>
      <w:r>
        <w:t xml:space="preserve">and</w:t>
      </w:r>
      <w:r>
        <w:t xml:space="preserve"> </w:t>
      </w:r>
      <w:r>
        <w:t xml:space="preserve">“</w:t>
      </w:r>
      <w:r>
        <w:t xml:space="preserve">Collaborate with the World Bank, Asian Development Bank, UN Agencies</w:t>
      </w:r>
      <w:r>
        <w:t xml:space="preserve">”</w:t>
      </w:r>
      <w:r>
        <w:t xml:space="preserve"> </w:t>
      </w:r>
      <w:r>
        <w:t xml:space="preserve">— aspirational objectives, not completed work</w:t>
      </w:r>
      <w:r>
        <w:rPr>
          <w:vertAlign w:val="superscript"/>
        </w:rPr>
        <w:t xml:space="preserve">26</w:t>
      </w:r>
      <w:r>
        <w:t xml:space="preserve">. The SCN website lists Phnom Penh as one of</w:t>
      </w:r>
      <w:r>
        <w:t xml:space="preserve"> </w:t>
      </w:r>
      <w:r>
        <w:t xml:space="preserve">“</w:t>
      </w:r>
      <w:r>
        <w:t xml:space="preserve">13 Partner Cities</w:t>
      </w:r>
      <w:r>
        <w:t xml:space="preserve">”</w:t>
      </w:r>
      <w:r>
        <w:rPr>
          <w:vertAlign w:val="superscript"/>
        </w:rPr>
        <w:t xml:space="preserve">30</w:t>
      </w:r>
      <w:r>
        <w:t xml:space="preserve">, but no formal partnership documentation has been located.</w:t>
      </w:r>
    </w:p>
    <w:bookmarkEnd w:id="114"/>
    <w:bookmarkStart w:id="115" w:name="un-escap-only-in-self-published-bios"/>
    <w:p>
      <w:pPr>
        <w:pStyle w:val="Heading4"/>
      </w:pPr>
      <w:r>
        <w:t xml:space="preserve">5.2.3 UN ESCAP — Only in Self-Published Bios</w:t>
      </w:r>
    </w:p>
    <w:p>
      <w:pPr>
        <w:pStyle w:val="FirstParagraph"/>
      </w:pPr>
      <w:r>
        <w:t xml:space="preserve">The third Cambodian claim — that Tay served as</w:t>
      </w:r>
      <w:r>
        <w:t xml:space="preserve"> </w:t>
      </w:r>
      <w:r>
        <w:t xml:space="preserve">“</w:t>
      </w:r>
      <w:r>
        <w:t xml:space="preserve">UNESCAP Smart City Consultant to help develop the National Smart City Policy Guidelines for Cambodia</w:t>
      </w:r>
      <w:r>
        <w:t xml:space="preserve">”</w:t>
      </w:r>
      <w:r>
        <w:rPr>
          <w:vertAlign w:val="superscript"/>
        </w:rPr>
        <w:t xml:space="preserve">21</w:t>
      </w:r>
      <w:r>
        <w:t xml:space="preserve">— appears exclusively in self-published speaker bios and SCN marketing materials. Multiple speaker profiles (Asia Institute of Mentoring, PIFA, and others) repeat the claim</w:t>
      </w:r>
      <w:r>
        <w:rPr>
          <w:vertAlign w:val="superscript"/>
        </w:rPr>
        <w:t xml:space="preserve">21</w:t>
      </w:r>
      <w:r>
        <w:t xml:space="preserve"> </w:t>
      </w:r>
      <w:r>
        <w:rPr>
          <w:vertAlign w:val="superscript"/>
        </w:rPr>
        <w:t xml:space="preserve">10</w:t>
      </w:r>
      <w:r>
        <w:t xml:space="preserve">.</w:t>
      </w:r>
    </w:p>
    <w:p>
      <w:pPr>
        <w:pStyle w:val="BodyText"/>
      </w:pPr>
      <w:r>
        <w:t xml:space="preserve">No verifiable UN ESCAP document crediting Tay was located. A December 2025 preprint paper on Cambodian sustainable urban development discusses ASEAN Smart Cities Network implementation but does not mention Tay or SCN</w:t>
      </w:r>
      <w:r>
        <w:rPr>
          <w:vertAlign w:val="superscript"/>
        </w:rPr>
        <w:t xml:space="preserve">31</w:t>
      </w:r>
      <w:r>
        <w:t xml:space="preserve">. A UN ESCAP stakeholder consultation workshop presentation on</w:t>
      </w:r>
      <w:r>
        <w:t xml:space="preserve"> </w:t>
      </w:r>
      <w:r>
        <w:t xml:space="preserve">“</w:t>
      </w:r>
      <w:r>
        <w:t xml:space="preserve">Cambodia’s National Smart City Strategy</w:t>
      </w:r>
      <w:r>
        <w:t xml:space="preserve">”</w:t>
      </w:r>
      <w:r>
        <w:t xml:space="preserve"> </w:t>
      </w:r>
      <w:r>
        <w:t xml:space="preserve">was referenced in search results but could not be fully accessed for verification</w:t>
      </w:r>
      <w:r>
        <w:rPr>
          <w:vertAlign w:val="superscript"/>
        </w:rPr>
        <w:t xml:space="preserve">32</w:t>
      </w:r>
      <w:r>
        <w:t xml:space="preserve">. The claim exists entirely outside official UN documentation — a credential that has propagated through the conference circuit without institutional verification.</w:t>
      </w:r>
    </w:p>
    <w:bookmarkEnd w:id="115"/>
    <w:bookmarkEnd w:id="116"/>
    <w:bookmarkStart w:id="120" w:name="the-developing-country-targeting-pattern"/>
    <w:p>
      <w:pPr>
        <w:pStyle w:val="Heading3"/>
      </w:pPr>
      <w:r>
        <w:t xml:space="preserve">5.3 The Developing Country Targeting Pattern</w:t>
      </w:r>
    </w:p>
    <w:p>
      <w:pPr>
        <w:pStyle w:val="FirstParagraph"/>
      </w:pPr>
      <w:r>
        <w:t xml:space="preserve">The geographic distribution of SCN’s verifiable government engagements reveals a pattern inconsistent with a Singapore-based organisation claiming regional smart city expertise.</w:t>
      </w:r>
    </w:p>
    <w:bookmarkStart w:id="117" w:name="Xdf7405488cbebdac2cc6f749ad91f919afa4564"/>
    <w:p>
      <w:pPr>
        <w:pStyle w:val="Heading4"/>
      </w:pPr>
      <w:r>
        <w:t xml:space="preserve">5.3.1 Engagements Concentrated in Philippines and Cambodia — Not Singapore Where Headquartered</w:t>
      </w:r>
    </w:p>
    <w:p>
      <w:pPr>
        <w:pStyle w:val="FirstParagraph"/>
      </w:pPr>
      <w:r>
        <w:t xml:space="preserve">SCN is registered in Singapore (UEN 201827719R, incorporated August 2018)</w:t>
      </w:r>
      <w:r>
        <w:rPr>
          <w:vertAlign w:val="superscript"/>
        </w:rPr>
        <w:t xml:space="preserve">33</w:t>
      </w:r>
      <w:r>
        <w:t xml:space="preserve"> </w:t>
      </w:r>
      <w:r>
        <w:rPr>
          <w:vertAlign w:val="superscript"/>
        </w:rPr>
        <w:t xml:space="preserve">34</w:t>
      </w:r>
      <w:r>
        <w:t xml:space="preserve">. Its stated address is 531A Upper Cross Street, #04-98 Hong Lim Complex — a commercial building shared by over 100 companies, suggesting a virtual office arrangement rather than a substantial physical presence</w:t>
      </w:r>
      <w:r>
        <w:rPr>
          <w:vertAlign w:val="superscript"/>
        </w:rPr>
        <w:t xml:space="preserve">35</w:t>
      </w:r>
      <w:r>
        <w:t xml:space="preserve">. Yet Singapore’s own smart city initiative, Smart Nation, led by the Smart Nation and Digital Government Office (SNDGO) and GovTech, has no documented formal relationship with SCN</w:t>
      </w:r>
      <w:r>
        <w:rPr>
          <w:vertAlign w:val="superscript"/>
        </w:rPr>
        <w:t xml:space="preserve">36</w:t>
      </w:r>
      <w:r>
        <w:t xml:space="preserve"> </w:t>
      </w:r>
      <w:r>
        <w:rPr>
          <w:vertAlign w:val="superscript"/>
        </w:rPr>
        <w:t xml:space="preserve">37</w:t>
      </w:r>
      <w:r>
        <w:t xml:space="preserve"> </w:t>
      </w:r>
      <w:r>
        <w:rPr>
          <w:vertAlign w:val="superscript"/>
        </w:rPr>
        <w:t xml:space="preserve">38</w:t>
      </w:r>
      <w:r>
        <w:t xml:space="preserve">.</w:t>
      </w:r>
    </w:p>
    <w:p>
      <w:pPr>
        <w:pStyle w:val="BodyText"/>
      </w:pPr>
      <w:r>
        <w:t xml:space="preserve">This absence is striking. Singapore is one of the world’s most advanced smart city implementers, with comprehensive government digitalisation, national digital identity systems, and extensive smart infrastructure. An organisation genuinely embedded in Singapore’s smart city ecosystem would reasonably be expected to have some connection to Smart Nation. SCN does not.</w:t>
      </w:r>
    </w:p>
    <w:p>
      <w:pPr>
        <w:pStyle w:val="BodyText"/>
      </w:pPr>
      <w:r>
        <w:t xml:space="preserve">Instead, SCN’s verifiable government touchpoints are concentrated in the Philippines and Cambodia — developing countries with weaker institutional capacity to verify foreign credentials. The Philippines engagement, while real, relied partly on a title (</w:t>
      </w:r>
      <w:r>
        <w:t xml:space="preserve">“</w:t>
      </w:r>
      <w:r>
        <w:t xml:space="preserve">Dr.</w:t>
      </w:r>
      <w:r>
        <w:t xml:space="preserve">”</w:t>
      </w:r>
      <w:r>
        <w:t xml:space="preserve">) that Tay does not hold</w:t>
      </w:r>
      <w:r>
        <w:rPr>
          <w:vertAlign w:val="superscript"/>
        </w:rPr>
        <w:t xml:space="preserve">22</w:t>
      </w:r>
      <w:r>
        <w:t xml:space="preserve">. The Cambodia claims are entirely unsubstantiated by government documents. Both countries operate in institutional environments where foreign-sounding affiliations — UN partnerships, Singapore-registered entities, professorial titles — carry significant weight and may not be rigorously verified.</w:t>
      </w:r>
    </w:p>
    <w:bookmarkEnd w:id="117"/>
    <w:bookmarkStart w:id="118" w:name="X6f8e4d37abaa23afd5b6d450373dcde1c92bea8"/>
    <w:p>
      <w:pPr>
        <w:pStyle w:val="Heading4"/>
      </w:pPr>
      <w:r>
        <w:t xml:space="preserve">5.3.2 Singapore’s Smart Nation Office Has No Formal Relationship with SCN</w:t>
      </w:r>
    </w:p>
    <w:p>
      <w:pPr>
        <w:pStyle w:val="FirstParagraph"/>
      </w:pPr>
      <w:r>
        <w:t xml:space="preserve">Kok Chin Tay’s genuine Singapore government connection dates to 2012, when he</w:t>
      </w:r>
      <w:r>
        <w:t xml:space="preserve"> </w:t>
      </w:r>
      <w:r>
        <w:t xml:space="preserve">“</w:t>
      </w:r>
      <w:r>
        <w:t xml:space="preserve">project managed the Smarter Cities Challenge in collaboration with the Singapore government</w:t>
      </w:r>
      <w:r>
        <w:t xml:space="preserve">”</w:t>
      </w:r>
      <w:r>
        <w:t xml:space="preserve"> </w:t>
      </w:r>
      <w:r>
        <w:t xml:space="preserve">— but this was under IBM, before SCN existed</w:t>
      </w:r>
      <w:r>
        <w:rPr>
          <w:vertAlign w:val="superscript"/>
        </w:rPr>
        <w:t xml:space="preserve">2</w:t>
      </w:r>
      <w:r>
        <w:t xml:space="preserve"> </w:t>
      </w:r>
      <w:r>
        <w:rPr>
          <w:vertAlign w:val="superscript"/>
        </w:rPr>
        <w:t xml:space="preserve">10</w:t>
      </w:r>
      <w:r>
        <w:t xml:space="preserve">. The IBM Smarter Cities Challenge for Jurong Lake District was a legitimate, well-documented engagement. It provides Tay with a genuine credential, but one that predates and is separate from SCN.</w:t>
      </w:r>
    </w:p>
    <w:p>
      <w:pPr>
        <w:pStyle w:val="BodyText"/>
      </w:pPr>
      <w:r>
        <w:t xml:space="preserve">Since SCN’s incorporation in 2018, no evidence of any formal engagement with SNDGO, GovTech, the Ministry of National Development, or any Singapore government agency has been located. Singapore’s approach to smart city governance emphasises rigorous vendor accreditation, transparent procurement through the GeBIZ system, and direct government-led implementation. SCN has not appeared in any of these channels. The organisation is, in effect, a Singapore-registered entity without a Singapore government relationship.</w:t>
      </w:r>
    </w:p>
    <w:bookmarkEnd w:id="118"/>
    <w:bookmarkStart w:id="119" w:name="X56dd48be312da69d270454a150c7715f3be1efb"/>
    <w:p>
      <w:pPr>
        <w:pStyle w:val="Heading4"/>
      </w:pPr>
      <w:r>
        <w:t xml:space="preserve">5.3.3 Pattern: Developed-Country Registration for Credibility, Developing-Country Business</w:t>
      </w:r>
    </w:p>
    <w:p>
      <w:pPr>
        <w:pStyle w:val="FirstParagraph"/>
      </w:pPr>
      <w:r>
        <w:t xml:space="preserve">The pattern that emerges is a familiar one in the international consulting industry. SCN leverages its Singapore registration — a jurisdiction associated with regulatory rigour, financial transparency, and good governance — to establish credibility with officials in developing countries who may not distinguish between registration location and operational substance. The Singapore address, the UN-Habitat MOU, the ERIA workgroup participation, and the various conference titles create a credentials package that appears impressive in contexts where verification resources are limited.</w:t>
      </w:r>
    </w:p>
    <w:p>
      <w:pPr>
        <w:pStyle w:val="BodyText"/>
      </w:pPr>
      <w:r>
        <w:t xml:space="preserve">Simultaneously, SCN avoids engagement in Singapore itself, where its lack of government relationships, absence of delivered projects, one-person operational structure, and non-charity status would be more readily apparent to local officials and potential partners. The organisation is structurally configured for developing-country engagement: it can present Singapore-registered credentials, claim UN affiliations, and offer advisory titles that sound authoritative without the scrutiny that would accompany similar claims in a developed-country context.</w:t>
      </w:r>
    </w:p>
    <w:p>
      <w:pPr>
        <w:pStyle w:val="BodyText"/>
      </w:pPr>
      <w:r>
        <w:t xml:space="preserve">This targeting pattern does not constitute evidence of illegality. The Philippines MOUs are real. The NUM teaching role is verified. The Cauayan City connection facilitated a tangible outcome, even if SCN did not deliver it directly. But the concentration of engagement in countries with weaker due diligence capacity, combined with zero engagement in SCN’s home jurisdiction, raises questions about whether the business model depends partly on information asymmetry — the ability to present credentials that appear more substantial than independent verification would confirm.</w:t>
      </w:r>
    </w:p>
    <w:p>
      <w:pPr>
        <w:pStyle w:val="BodyText"/>
      </w:pPr>
      <w:r>
        <w:t xml:space="preserve">The user’s original concern about deals with authoritarian figures, while directed at SCC, finds an echo here. Cambodia’s government operates with constrained civil society scrutiny, and foreign consultants may operate with limited transparency. The claims Tay makes about Cambodian advisory roles cannot be verified because the institutional infrastructure to verify them is either absent or inaccessible. This opacity is the enabling condition for credentials that exist primarily in self-published bios rather than government records.</w:t>
      </w:r>
    </w:p>
    <w:p>
      <w:r>
        <w:pict>
          <v:rect style="width:0;height:1.5pt" o:hralign="center" o:hrstd="t" o:hr="t"/>
        </w:pict>
      </w:r>
    </w:p>
    <w:bookmarkEnd w:id="119"/>
    <w:bookmarkEnd w:id="120"/>
    <w:bookmarkEnd w:id="121"/>
    <w:bookmarkStart w:id="135" w:name="the-scn-scc-connection"/>
    <w:p>
      <w:pPr>
        <w:pStyle w:val="Heading2"/>
      </w:pPr>
      <w:r>
        <w:t xml:space="preserve">6. The SCN-SCC Connection</w:t>
      </w:r>
    </w:p>
    <w:p>
      <w:pPr>
        <w:pStyle w:val="FirstParagraph"/>
      </w:pPr>
      <w:r>
        <w:t xml:space="preserve">Smart Cities Network does not exist in isolation. From its inception, it has been entangled with another organization: the Smart Cities Council (SCC), a US and Australia-based entity that claims to be</w:t>
      </w:r>
      <w:r>
        <w:t xml:space="preserve"> </w:t>
      </w:r>
      <w:r>
        <w:t xml:space="preserve">“</w:t>
      </w:r>
      <w:r>
        <w:t xml:space="preserve">the world’s largest network of smart cities ecosystem stakeholders.</w:t>
      </w:r>
      <w:r>
        <w:t xml:space="preserve">”</w:t>
      </w:r>
      <w:r>
        <w:t xml:space="preserve"> </w:t>
      </w:r>
      <w:r>
        <w:t xml:space="preserve">The same person — Kok Chin Tay — has led both organizations simultaneously, used shared contact details across their operations, and leveraged the credibility of each to bolster the other. The result is a closed loop of mutual reinforcement that benefits one man while leaving both organizations structurally unaccountable.</w:t>
      </w:r>
    </w:p>
    <w:p>
      <w:pPr>
        <w:pStyle w:val="BodyText"/>
      </w:pPr>
      <w:r>
        <w:t xml:space="preserve">This chapter examines the mechanisms that bind SCN and SCC together: shared leadership, parallel operational patterns, and a form of credential laundering in which achievements at one entity are implicitly claimed by the other.</w:t>
      </w:r>
    </w:p>
    <w:p>
      <w:r>
        <w:pict>
          <v:rect style="width:0;height:1.5pt" o:hralign="center" o:hrstd="t" o:hr="t"/>
        </w:pict>
      </w:r>
    </w:p>
    <w:bookmarkStart w:id="125" w:name="shared-leadership"/>
    <w:p>
      <w:pPr>
        <w:pStyle w:val="Heading3"/>
      </w:pPr>
      <w:r>
        <w:t xml:space="preserve">6.1 Shared Leadership</w:t>
      </w:r>
    </w:p>
    <w:bookmarkStart w:id="122" w:name="one-chair-two-organizations"/>
    <w:p>
      <w:pPr>
        <w:pStyle w:val="Heading4"/>
      </w:pPr>
      <w:r>
        <w:t xml:space="preserve">6.1.1 One Chair, Two Organizations</w:t>
      </w:r>
    </w:p>
    <w:p>
      <w:pPr>
        <w:pStyle w:val="FirstParagraph"/>
      </w:pPr>
      <w:r>
        <w:t xml:space="preserve">Kok Chin Tay has held the title of</w:t>
      </w:r>
      <w:r>
        <w:t xml:space="preserve"> </w:t>
      </w:r>
      <w:r>
        <w:rPr>
          <w:bCs/>
          <w:b/>
        </w:rPr>
        <w:t xml:space="preserve">Executive Director (ASEAN)</w:t>
      </w:r>
      <w:r>
        <w:t xml:space="preserve"> </w:t>
      </w:r>
      <w:r>
        <w:t xml:space="preserve">at Smart Cities Council while simultaneously serving as</w:t>
      </w:r>
      <w:r>
        <w:t xml:space="preserve"> </w:t>
      </w:r>
      <w:r>
        <w:rPr>
          <w:bCs/>
          <w:b/>
        </w:rPr>
        <w:t xml:space="preserve">Founding Chairman</w:t>
      </w:r>
      <w:r>
        <w:t xml:space="preserve"> </w:t>
      </w:r>
      <w:r>
        <w:t xml:space="preserve">of Smart Cities Network since SCN’s incorporation in August 2018. This is not a sequential career move — it is concurrent, overlapping leadership of two organizations that operate in the same sector, in the same region, and under nearly identical names.</w:t>
      </w:r>
    </w:p>
    <w:p>
      <w:pPr>
        <w:pStyle w:val="BodyText"/>
      </w:pPr>
      <w:r>
        <w:t xml:space="preserve">The evidence is unambiguous. A Hong Kong government press release for the 2024 Digital Economy Summit lists</w:t>
      </w:r>
      <w:r>
        <w:t xml:space="preserve"> </w:t>
      </w:r>
      <w:r>
        <w:t xml:space="preserve">“</w:t>
      </w:r>
      <w:r>
        <w:t xml:space="preserve">Mr Tay Kok-Chin</w:t>
      </w:r>
      <w:r>
        <w:t xml:space="preserve">”</w:t>
      </w:r>
      <w:r>
        <w:t xml:space="preserve"> </w:t>
      </w:r>
      <w:r>
        <w:t xml:space="preserve">as</w:t>
      </w:r>
      <w:r>
        <w:t xml:space="preserve"> </w:t>
      </w:r>
      <w:r>
        <w:t xml:space="preserve">“</w:t>
      </w:r>
      <w:r>
        <w:t xml:space="preserve">ASEAN Executive Director of Smart Cities Council.</w:t>
      </w:r>
      <w:r>
        <w:t xml:space="preserve">”</w:t>
      </w:r>
      <w:r>
        <w:t xml:space="preserve"> </w:t>
      </w:r>
      <w:r>
        <w:t xml:space="preserve">A G20 policy brief from 2022 identifies him as</w:t>
      </w:r>
      <w:r>
        <w:t xml:space="preserve"> </w:t>
      </w:r>
      <w:r>
        <w:t xml:space="preserve">“</w:t>
      </w:r>
      <w:r>
        <w:t xml:space="preserve">ASEAN Director of Smart Cities Council, the largest ecosystem of stakeholders in the world with over 600 cities in their network.</w:t>
      </w:r>
      <w:r>
        <w:t xml:space="preserve">”</w:t>
      </w:r>
      <w:r>
        <w:t xml:space="preserve"> </w:t>
      </w:r>
      <w:r>
        <w:t xml:space="preserve">Yet on the same dates, SCN’s own website, press releases, and partnership documents identify him as</w:t>
      </w:r>
      <w:r>
        <w:t xml:space="preserve"> </w:t>
      </w:r>
      <w:r>
        <w:t xml:space="preserve">“</w:t>
      </w:r>
      <w:r>
        <w:t xml:space="preserve">Founding Chairman of Smart Cities Network.</w:t>
      </w:r>
      <w:r>
        <w:t xml:space="preserve">”</w:t>
      </w:r>
    </w:p>
    <w:p>
      <w:pPr>
        <w:pStyle w:val="BodyText"/>
      </w:pPr>
      <w:r>
        <w:t xml:space="preserve">The dual role creates an immediate structural conflict. Tay directs SCC’s ASEAN strategy — which involves promoting SCC’s membership, events, and advisory services — while simultaneously chairing an organization that positions itself as an independent</w:t>
      </w:r>
      <w:r>
        <w:t xml:space="preserve"> </w:t>
      </w:r>
      <w:r>
        <w:t xml:space="preserve">“</w:t>
      </w:r>
      <w:r>
        <w:t xml:space="preserve">not-for-profit</w:t>
      </w:r>
      <w:r>
        <w:t xml:space="preserve">”</w:t>
      </w:r>
      <w:r>
        <w:t xml:space="preserve"> </w:t>
      </w:r>
      <w:r>
        <w:t xml:space="preserve">network serving the same ASEAN cities. When Tay approaches a city official in the Philippines or Cambodia, which hat is he wearing? The question appears never to have been answered, or even asked, by either organization.</w:t>
      </w:r>
    </w:p>
    <w:bookmarkEnd w:id="122"/>
    <w:bookmarkStart w:id="123" w:name="the-scc-email-address"/>
    <w:p>
      <w:pPr>
        <w:pStyle w:val="Heading4"/>
      </w:pPr>
      <w:r>
        <w:t xml:space="preserve">6.1.2 The SCC Email Address</w:t>
      </w:r>
    </w:p>
    <w:p>
      <w:pPr>
        <w:pStyle w:val="FirstParagraph"/>
      </w:pPr>
      <w:r>
        <w:t xml:space="preserve">Perhaps the most telling detail is Tay’s choice of contact information. Multiple SCN business documents and presentation slides list his email as</w:t>
      </w:r>
      <w:r>
        <w:t xml:space="preserve"> </w:t>
      </w:r>
      <w:r>
        <w:rPr>
          <w:bCs/>
          <w:b/>
        </w:rPr>
        <w:t xml:space="preserve">KC.TAY@SmartCitiesCouncil.com</w:t>
      </w:r>
      <w:r>
        <w:t xml:space="preserve"> </w:t>
      </w:r>
      <w:r>
        <w:t xml:space="preserve">— not a Smart Cities Network domain. In one APCTT presentation, his contact details read:</w:t>
      </w:r>
      <w:r>
        <w:t xml:space="preserve"> </w:t>
      </w:r>
      <w:r>
        <w:t xml:space="preserve">“</w:t>
      </w:r>
      <w:r>
        <w:t xml:space="preserve">TAY Kok-Chin (KC), Chairman, Smart Cities Network, Director (ASEAN), Smart Cities Council, KC.TAY@SmartCitiesCouncil.com.</w:t>
      </w:r>
      <w:r>
        <w:t xml:space="preserve">”</w:t>
      </w:r>
    </w:p>
    <w:p>
      <w:pPr>
        <w:pStyle w:val="BodyText"/>
      </w:pPr>
      <w:r>
        <w:t xml:space="preserve">This is not a minor administrative convenience. The email domain signals primary institutional affiliation. When the Chairman of SCN uses an SCC email address for SCN business, the organizational boundary dissolves. External partners communicating with</w:t>
      </w:r>
      <w:r>
        <w:t xml:space="preserve"> </w:t>
      </w:r>
      <w:r>
        <w:t xml:space="preserve">“</w:t>
      </w:r>
      <w:r>
        <w:t xml:space="preserve">the Chairman of SCN</w:t>
      </w:r>
      <w:r>
        <w:t xml:space="preserve">”</w:t>
      </w:r>
      <w:r>
        <w:t xml:space="preserve"> </w:t>
      </w:r>
      <w:r>
        <w:t xml:space="preserve">are in fact corresponding with the SCC server infrastructure, under an SCC email account. The practical reality is that SCN and SCC share not just a leader but a communications backbone.</w:t>
      </w:r>
    </w:p>
    <w:bookmarkEnd w:id="123"/>
    <w:bookmarkStart w:id="124" w:name="title-amplification"/>
    <w:p>
      <w:pPr>
        <w:pStyle w:val="Heading4"/>
      </w:pPr>
      <w:r>
        <w:t xml:space="preserve">6.1.3 Title Amplification</w:t>
      </w:r>
    </w:p>
    <w:p>
      <w:pPr>
        <w:pStyle w:val="FirstParagraph"/>
      </w:pPr>
      <w:r>
        <w:t xml:space="preserve">Both organizations have an interest in inflating Tay’s titles. SCN’s website and bios describe him as</w:t>
      </w:r>
      <w:r>
        <w:t xml:space="preserve"> </w:t>
      </w:r>
      <w:r>
        <w:t xml:space="preserve">“</w:t>
      </w:r>
      <w:r>
        <w:t xml:space="preserve">Executive Director (ASEAN) for Smart Cities Council.</w:t>
      </w:r>
      <w:r>
        <w:t xml:space="preserve">”</w:t>
      </w:r>
      <w:r>
        <w:t xml:space="preserve"> </w:t>
      </w:r>
      <w:r>
        <w:t xml:space="preserve">SCC-related materials describe him in equally grand terms. The result is title amplification: each organization independently uses the other’s title to make Tay appear more credentialed. Philippine government sources, apparently relying on SCN-provided biographies, have gone further — referring to him as</w:t>
      </w:r>
      <w:r>
        <w:t xml:space="preserve"> </w:t>
      </w:r>
      <w:r>
        <w:t xml:space="preserve">“</w:t>
      </w:r>
      <w:r>
        <w:t xml:space="preserve">Executive Director of the ASEAN-Smart Cities Council,</w:t>
      </w:r>
      <w:r>
        <w:t xml:space="preserve">”</w:t>
      </w:r>
      <w:r>
        <w:t xml:space="preserve"> </w:t>
      </w:r>
      <w:r>
        <w:t xml:space="preserve">a title that conflates the two organizations into a single phantom entity that does not exist.</w:t>
      </w:r>
    </w:p>
    <w:p>
      <w:r>
        <w:pict>
          <v:rect style="width:0;height:1.5pt" o:hralign="center" o:hrstd="t" o:hr="t"/>
        </w:pict>
      </w:r>
    </w:p>
    <w:bookmarkEnd w:id="124"/>
    <w:bookmarkEnd w:id="125"/>
    <w:bookmarkStart w:id="130" w:name="similar-patterns"/>
    <w:p>
      <w:pPr>
        <w:pStyle w:val="Heading3"/>
      </w:pPr>
      <w:r>
        <w:t xml:space="preserve">6.2 Similar Patterns</w:t>
      </w:r>
    </w:p>
    <w:p>
      <w:pPr>
        <w:pStyle w:val="FirstParagraph"/>
      </w:pPr>
      <w:r>
        <w:t xml:space="preserve">Beyond shared leadership, SCN and SCC exhibit strikingly parallel structural characteristics. These similarities are not coincidental — they reflect a common playbook for organizations that seek the credibility of nonprofit status without accepting its transparency obligations.</w:t>
      </w:r>
    </w:p>
    <w:bookmarkStart w:id="126" w:name="Xe79344661e2ca2cb4e963982adf3bdf9d6ca25d"/>
    <w:p>
      <w:pPr>
        <w:pStyle w:val="Heading4"/>
      </w:pPr>
      <w:r>
        <w:t xml:space="preserve">6.2.1</w:t>
      </w:r>
      <w:r>
        <w:t xml:space="preserve"> </w:t>
      </w:r>
      <w:r>
        <w:t xml:space="preserve">“</w:t>
      </w:r>
      <w:r>
        <w:t xml:space="preserve">Not-for-Profit</w:t>
      </w:r>
      <w:r>
        <w:t xml:space="preserve">”</w:t>
      </w:r>
      <w:r>
        <w:t xml:space="preserve"> </w:t>
      </w:r>
      <w:r>
        <w:t xml:space="preserve">Without Charity Registration</w:t>
      </w:r>
    </w:p>
    <w:p>
      <w:pPr>
        <w:pStyle w:val="FirstParagraph"/>
      </w:pPr>
      <w:r>
        <w:t xml:space="preserve">Both SCN and SCC use nonprofit-adjacent language while avoiding actual nonprofit registration. SCN describes itself as a</w:t>
      </w:r>
      <w:r>
        <w:t xml:space="preserve"> </w:t>
      </w:r>
      <w:r>
        <w:t xml:space="preserve">“</w:t>
      </w:r>
      <w:r>
        <w:t xml:space="preserve">not-for-profit individual membership-based organisation</w:t>
      </w:r>
      <w:r>
        <w:t xml:space="preserve">”</w:t>
      </w:r>
      <w:r>
        <w:t xml:space="preserve"> </w:t>
      </w:r>
      <w:r>
        <w:t xml:space="preserve">but is not registered as a charity in Singapore. It holds no Institution of Public Character (IPC) status and therefore has no obligation to publish financial statements or annual reports. SCC similarly uses terms like</w:t>
      </w:r>
      <w:r>
        <w:t xml:space="preserve"> </w:t>
      </w:r>
      <w:r>
        <w:t xml:space="preserve">“</w:t>
      </w:r>
      <w:r>
        <w:t xml:space="preserve">Social Impact Organisation</w:t>
      </w:r>
      <w:r>
        <w:t xml:space="preserve">”</w:t>
      </w:r>
      <w:r>
        <w:t xml:space="preserve"> </w:t>
      </w:r>
      <w:r>
        <w:t xml:space="preserve">— a category with no legal meaning in any jurisdiction — while maintaining its status as a private for-profit corporation in the United States and Australia. Neither organization publishes audited financials. Neither is subject to charity governance codes. The</w:t>
      </w:r>
      <w:r>
        <w:t xml:space="preserve"> </w:t>
      </w:r>
      <w:r>
        <w:t xml:space="preserve">“</w:t>
      </w:r>
      <w:r>
        <w:t xml:space="preserve">not-for-profit</w:t>
      </w:r>
      <w:r>
        <w:t xml:space="preserve">”</w:t>
      </w:r>
      <w:r>
        <w:t xml:space="preserve"> </w:t>
      </w:r>
      <w:r>
        <w:t xml:space="preserve">label, in both cases, is a self-descriptor rather than a legally recognized status.</w:t>
      </w:r>
    </w:p>
    <w:bookmarkEnd w:id="126"/>
    <w:bookmarkStart w:id="127" w:name="near-zero-financial-transparency"/>
    <w:p>
      <w:pPr>
        <w:pStyle w:val="Heading4"/>
      </w:pPr>
      <w:r>
        <w:t xml:space="preserve">6.2.2 Near-Zero Financial Transparency</w:t>
      </w:r>
    </w:p>
    <w:p>
      <w:pPr>
        <w:pStyle w:val="FirstParagraph"/>
      </w:pPr>
      <w:r>
        <w:t xml:space="preserve">SCN’s financial opacity is structural. As a Company Limited by Guarantee, it is exempt from filing financial statements with Singapore’s Accounting and Corporate Regulatory Authority. Its</w:t>
      </w:r>
      <w:r>
        <w:t xml:space="preserve"> </w:t>
      </w:r>
      <w:r>
        <w:t xml:space="preserve">“</w:t>
      </w:r>
      <w:r>
        <w:t xml:space="preserve">not-for-profit</w:t>
      </w:r>
      <w:r>
        <w:t xml:space="preserve">”</w:t>
      </w:r>
      <w:r>
        <w:t xml:space="preserve"> </w:t>
      </w:r>
      <w:r>
        <w:t xml:space="preserve">claim notwithstanding, it has no requirement to disclose revenue, expenses, director remuneration, or asset holdings. SCC operates in a comparable accountability vacuum: it is not a registered nonprofit in the US (so no Form 990), not publicly traded (so no SEC disclosure), and not subject to Australian charity regulation despite its Canberra headquarters. Both organizations can accept funds, pay their leaders, and conduct business with no public financial footprint.</w:t>
      </w:r>
    </w:p>
    <w:bookmarkEnd w:id="127"/>
    <w:bookmarkStart w:id="128" w:name="one-person-operations"/>
    <w:p>
      <w:pPr>
        <w:pStyle w:val="Heading4"/>
      </w:pPr>
      <w:r>
        <w:t xml:space="preserve">6.2.3 One-Person Operations</w:t>
      </w:r>
    </w:p>
    <w:p>
      <w:pPr>
        <w:pStyle w:val="FirstParagraph"/>
      </w:pPr>
      <w:r>
        <w:t xml:space="preserve">Both entities are effectively solo operations. SCN has no named board members beyond Tay, no identifiable staff, and an</w:t>
      </w:r>
      <w:r>
        <w:t xml:space="preserve"> </w:t>
      </w:r>
      <w:r>
        <w:t xml:space="preserve">“</w:t>
      </w:r>
      <w:r>
        <w:t xml:space="preserve">Executive Council</w:t>
      </w:r>
      <w:r>
        <w:t xml:space="preserve">”</w:t>
      </w:r>
      <w:r>
        <w:t xml:space="preserve"> </w:t>
      </w:r>
      <w:r>
        <w:t xml:space="preserve">that lists zero names on its website. The Contact Us page features a single phone number and one email address — Tay’s. SCC, despite claiming a</w:t>
      </w:r>
      <w:r>
        <w:t xml:space="preserve"> </w:t>
      </w:r>
      <w:r>
        <w:t xml:space="preserve">“</w:t>
      </w:r>
      <w:r>
        <w:t xml:space="preserve">Global Leadership Team</w:t>
      </w:r>
      <w:r>
        <w:t xml:space="preserve">”</w:t>
      </w:r>
      <w:r>
        <w:t xml:space="preserve"> </w:t>
      </w:r>
      <w:r>
        <w:t xml:space="preserve">and</w:t>
      </w:r>
      <w:r>
        <w:t xml:space="preserve"> </w:t>
      </w:r>
      <w:r>
        <w:t xml:space="preserve">“</w:t>
      </w:r>
      <w:r>
        <w:t xml:space="preserve">Regional Directors,</w:t>
      </w:r>
      <w:r>
        <w:t xml:space="preserve">”</w:t>
      </w:r>
      <w:r>
        <w:t xml:space="preserve"> </w:t>
      </w:r>
      <w:r>
        <w:t xml:space="preserve">has a similarly hollow governance structure. Its</w:t>
      </w:r>
      <w:r>
        <w:t xml:space="preserve"> </w:t>
      </w:r>
      <w:r>
        <w:t xml:space="preserve">“</w:t>
      </w:r>
      <w:r>
        <w:t xml:space="preserve">Our Leaders</w:t>
      </w:r>
      <w:r>
        <w:t xml:space="preserve">”</w:t>
      </w:r>
      <w:r>
        <w:t xml:space="preserve"> </w:t>
      </w:r>
      <w:r>
        <w:t xml:space="preserve">page has been non-functional for extended periods, and independent verification of any leadership beyond Corey Gray and Kok Chin Tay is sparse. Each organization presents the facade of an institutional entity while functioning, in reality, as a personal platform for its principal.</w:t>
      </w:r>
    </w:p>
    <w:bookmarkEnd w:id="128"/>
    <w:bookmarkStart w:id="129" w:name="paper-partnerships-and-event-visibility"/>
    <w:p>
      <w:pPr>
        <w:pStyle w:val="Heading4"/>
      </w:pPr>
      <w:r>
        <w:t xml:space="preserve">6.2.4 Paper Partnerships and Event Visibility</w:t>
      </w:r>
    </w:p>
    <w:p>
      <w:pPr>
        <w:pStyle w:val="FirstParagraph"/>
      </w:pPr>
      <w:r>
        <w:t xml:space="preserve">Both organizations rely on a partnership-acquisition strategy that emphasizes announcement over delivery. SCN’s MOU with UN-Habitat’s Cities Investment Facility, its agreement with BSI Group, its</w:t>
      </w:r>
      <w:r>
        <w:t xml:space="preserve"> </w:t>
      </w:r>
      <w:r>
        <w:t xml:space="preserve">“</w:t>
      </w:r>
      <w:r>
        <w:t xml:space="preserve">partnership</w:t>
      </w:r>
      <w:r>
        <w:t xml:space="preserve">”</w:t>
      </w:r>
      <w:r>
        <w:t xml:space="preserve"> </w:t>
      </w:r>
      <w:r>
        <w:t xml:space="preserve">with ASOCIO — all are documented on paper but have produced no independently verifiable outcomes after years of existence. SCC follows the same pattern: partnerships with EY, AWS, and government entities are announced prominently, but reciprocal acknowledgment is often absent and the depth of engagement is unverifiable. For both organizations, the partnership is the product — not anything that follows from it.</w:t>
      </w:r>
    </w:p>
    <w:p>
      <w:pPr>
        <w:pStyle w:val="BodyText"/>
      </w:pPr>
      <w:r>
        <w:t xml:space="preserve">Events serve a parallel function. SCN co-hosts roundtables, moderates panels, and signs MOUs at conferences. SCC hosts summits, participates in trade expos, and convenes</w:t>
      </w:r>
      <w:r>
        <w:t xml:space="preserve"> </w:t>
      </w:r>
      <w:r>
        <w:t xml:space="preserve">“</w:t>
      </w:r>
      <w:r>
        <w:t xml:space="preserve">deal rooms.</w:t>
      </w:r>
      <w:r>
        <w:t xml:space="preserve">”</w:t>
      </w:r>
      <w:r>
        <w:t xml:space="preserve"> </w:t>
      </w:r>
      <w:r>
        <w:t xml:space="preserve">In both cases, the event itself generates visibility that substitutes for project delivery. The audience sees activity; what it does not see is any traceable outcome for the cities supposedly being served.</w:t>
      </w:r>
    </w:p>
    <w:p>
      <w:r>
        <w:pict>
          <v:rect style="width:0;height:1.5pt" o:hralign="center" o:hrstd="t" o:hr="t"/>
        </w:pict>
      </w:r>
    </w:p>
    <w:bookmarkEnd w:id="129"/>
    <w:bookmarkEnd w:id="130"/>
    <w:bookmarkStart w:id="134" w:name="credential-laundering"/>
    <w:p>
      <w:pPr>
        <w:pStyle w:val="Heading3"/>
      </w:pPr>
      <w:r>
        <w:t xml:space="preserve">6.3 Credential Laundering</w:t>
      </w:r>
    </w:p>
    <w:p>
      <w:pPr>
        <w:pStyle w:val="FirstParagraph"/>
      </w:pPr>
      <w:r>
        <w:t xml:space="preserve">The most consequential effect of the SCN-SCC entanglement is credential laundering — a process by which the achievements (or claimed achievements) of one entity are transferred to the other through shared leadership and deliberate ambiguity.</w:t>
      </w:r>
    </w:p>
    <w:bookmarkStart w:id="131" w:name="X568fdd65abe78eebffc7803af49b2cb46e75f3f"/>
    <w:p>
      <w:pPr>
        <w:pStyle w:val="Heading4"/>
      </w:pPr>
      <w:r>
        <w:t xml:space="preserve">6.3.1 SCC’s</w:t>
      </w:r>
      <w:r>
        <w:t xml:space="preserve"> </w:t>
      </w:r>
      <w:r>
        <w:t xml:space="preserve">“</w:t>
      </w:r>
      <w:r>
        <w:t xml:space="preserve">600+ Cities</w:t>
      </w:r>
      <w:r>
        <w:t xml:space="preserve">”</w:t>
      </w:r>
      <w:r>
        <w:t xml:space="preserve"> </w:t>
      </w:r>
      <w:r>
        <w:t xml:space="preserve">Supports SCN’s ASEAN Positioning</w:t>
      </w:r>
    </w:p>
    <w:p>
      <w:pPr>
        <w:pStyle w:val="FirstParagraph"/>
      </w:pPr>
      <w:r>
        <w:t xml:space="preserve">Smart Cities Council claims a network of</w:t>
      </w:r>
      <w:r>
        <w:t xml:space="preserve"> </w:t>
      </w:r>
      <w:r>
        <w:t xml:space="preserve">“</w:t>
      </w:r>
      <w:r>
        <w:t xml:space="preserve">600+ cities</w:t>
      </w:r>
      <w:r>
        <w:t xml:space="preserve">”</w:t>
      </w:r>
      <w:r>
        <w:t xml:space="preserve"> </w:t>
      </w:r>
      <w:r>
        <w:t xml:space="preserve">and</w:t>
      </w:r>
      <w:r>
        <w:t xml:space="preserve"> </w:t>
      </w:r>
      <w:r>
        <w:t xml:space="preserve">“</w:t>
      </w:r>
      <w:r>
        <w:t xml:space="preserve">the largest ecosystem of stakeholders in the world.</w:t>
      </w:r>
      <w:r>
        <w:t xml:space="preserve">”</w:t>
      </w:r>
      <w:r>
        <w:t xml:space="preserve"> </w:t>
      </w:r>
      <w:r>
        <w:t xml:space="preserve">When Kok Chin Tay appears before ASEAN government officials as</w:t>
      </w:r>
      <w:r>
        <w:t xml:space="preserve"> </w:t>
      </w:r>
      <w:r>
        <w:t xml:space="preserve">“</w:t>
      </w:r>
      <w:r>
        <w:t xml:space="preserve">Chairman of Smart Cities Network,</w:t>
      </w:r>
      <w:r>
        <w:t xml:space="preserve">”</w:t>
      </w:r>
      <w:r>
        <w:t xml:space="preserve"> </w:t>
      </w:r>
      <w:r>
        <w:t xml:space="preserve">he carries the implicit weight of that global network. City officials in the Philippines or Cambodia may not distinguish between SCC and SCN; Tay certainly does not go out of his way to clarify the distinction. The result is that SCN, a Singapore-registered company with no verified staff and no delivered projects, borrows credibility from SCC’s claimed global reach. Tay’s SCN biography explicitly notes his SCC role, ensuring the association is visible to anyone who reads it.</w:t>
      </w:r>
    </w:p>
    <w:bookmarkEnd w:id="131"/>
    <w:bookmarkStart w:id="132" w:name="X748a7f27d382196575e891d4096a88d73957a8d"/>
    <w:p>
      <w:pPr>
        <w:pStyle w:val="Heading4"/>
      </w:pPr>
      <w:r>
        <w:t xml:space="preserve">6.3.2 SCN’s UN-Habitat Partnership Boosts SCC’s ASEAN Credibility</w:t>
      </w:r>
    </w:p>
    <w:p>
      <w:pPr>
        <w:pStyle w:val="FirstParagraph"/>
      </w:pPr>
      <w:r>
        <w:t xml:space="preserve">The flow operates in reverse as well. SCN’s status as a Cities Investment Advisory Partner (CIAP) with UN-Habitat’s Cities Investment Facility — verified in UN-Habitat documents — gives Tay a UN-affiliated credential that he carries into his SCC role. When SCC seeks to demonstrate its ASEAN relevance, Tay can point to SCN’s UN-Habitat partnership as evidence of his (and by extension, SCC’s) institutional relationships. The UN-Habitat partnership belongs to SCN, but its credibility benefits SCC through their shared leader.</w:t>
      </w:r>
    </w:p>
    <w:p>
      <w:pPr>
        <w:pStyle w:val="BodyText"/>
      </w:pPr>
      <w:r>
        <w:t xml:space="preserve">Philippine government documents illustrate this cross-pollination explicitly. The Philippines Department of Science and Technology identifies Tay as</w:t>
      </w:r>
      <w:r>
        <w:t xml:space="preserve"> </w:t>
      </w:r>
      <w:r>
        <w:t xml:space="preserve">“</w:t>
      </w:r>
      <w:r>
        <w:t xml:space="preserve">Dr. Kok Chin Tay, Chair of the Smart Cities Network and Executive Director (ASEAN) of the Smart Cities Council</w:t>
      </w:r>
      <w:r>
        <w:t xml:space="preserve">”</w:t>
      </w:r>
      <w:r>
        <w:t xml:space="preserve"> </w:t>
      </w:r>
      <w:r>
        <w:t xml:space="preserve">— listing both titles in a single breath, as if they were parts of a unified enterprise. The Philippines News Agency has gone further, calling him</w:t>
      </w:r>
      <w:r>
        <w:t xml:space="preserve"> </w:t>
      </w:r>
      <w:r>
        <w:t xml:space="preserve">“</w:t>
      </w:r>
      <w:r>
        <w:t xml:space="preserve">executive director of the ASEAN Smart Cities Council</w:t>
      </w:r>
      <w:r>
        <w:t xml:space="preserve">”</w:t>
      </w:r>
      <w:r>
        <w:t xml:space="preserve"> </w:t>
      </w:r>
      <w:r>
        <w:t xml:space="preserve">— a fictional entity that appears to be a conflation of SCN, SCC, and possibly the official ASEAN Smart Cities Network established by the 32nd ASEAN Summit.</w:t>
      </w:r>
    </w:p>
    <w:bookmarkEnd w:id="132"/>
    <w:bookmarkStart w:id="133" w:name="the-self-reinforcing-credibility-loop"/>
    <w:p>
      <w:pPr>
        <w:pStyle w:val="Heading4"/>
      </w:pPr>
      <w:r>
        <w:t xml:space="preserve">6.3.3 The Self-Reinforcing Credibility Loop</w:t>
      </w:r>
    </w:p>
    <w:p>
      <w:pPr>
        <w:pStyle w:val="FirstParagraph"/>
      </w:pPr>
      <w:r>
        <w:t xml:space="preserve">The system is self-reinforcing. Tay’s SCC title makes him appear globally connected when he negotiates SCN partnerships. His SCN title gives him ASEAN-specific credibility when he represents SCC. His Philippine DOST</w:t>
      </w:r>
      <w:r>
        <w:t xml:space="preserve"> </w:t>
      </w:r>
      <w:r>
        <w:t xml:space="preserve">“</w:t>
      </w:r>
      <w:r>
        <w:t xml:space="preserve">STI Ambassador</w:t>
      </w:r>
      <w:r>
        <w:t xml:space="preserve">”</w:t>
      </w:r>
      <w:r>
        <w:t xml:space="preserve"> </w:t>
      </w:r>
      <w:r>
        <w:t xml:space="preserve">award, obtained through SCN engagement, enhances both profiles. His Cambodia visiting professorship, however tenuous, adds academic gravitas to both organizations. Each credential, earned through one channel, is deployed across both.</w:t>
      </w:r>
    </w:p>
    <w:p>
      <w:pPr>
        <w:pStyle w:val="BodyText"/>
      </w:pPr>
      <w:r>
        <w:t xml:space="preserve">This is not accidental overlap. It is a structural feature of the dual-entity arrangement. Neither SCN nor SCC has an independent governance body that could review, disclose, or manage these conflicts. There is no published recusal policy, no conflict-of-interest statement, no explanation of how Tay divides his time or loyalty between the two organizations. The opacity is mutual and beneficial: each organization is more credible because of the other, and neither can be held accountable for claims made by the other.</w:t>
      </w:r>
    </w:p>
    <w:p>
      <w:pPr>
        <w:pStyle w:val="BodyText"/>
      </w:pPr>
      <w:r>
        <w:t xml:space="preserve">The credential laundering mechanism explains why both organizations can survive despite minimal verifiable output. They do not need to deliver projects. They need only maintain the appearance of activity and the circulation of titles, partnerships, and event photographs — a closed system in which credibility is borrowed, lent, and recycled between two entities that share one leader, one email domain, and one strategy.</w:t>
      </w:r>
    </w:p>
    <w:p>
      <w:r>
        <w:pict>
          <v:rect style="width:0;height:1.5pt" o:hralign="center" o:hrstd="t" o:hr="t"/>
        </w:pict>
      </w:r>
    </w:p>
    <w:bookmarkEnd w:id="133"/>
    <w:bookmarkEnd w:id="134"/>
    <w:bookmarkEnd w:id="135"/>
    <w:bookmarkStart w:id="149" w:name="conclusions-and-assessment"/>
    <w:p>
      <w:pPr>
        <w:pStyle w:val="Heading2"/>
      </w:pPr>
      <w:r>
        <w:t xml:space="preserve">7. Conclusions and Assessment</w:t>
      </w:r>
    </w:p>
    <w:p>
      <w:pPr>
        <w:pStyle w:val="FirstParagraph"/>
      </w:pPr>
      <w:r>
        <w:t xml:space="preserve">This investigation began with two straightforward questions: Is Smart Cities Network a real organization? And is the confusion with the ASEAN Smart Cities Network deliberate? After examining corporate records across three jurisdictions, government documents from four countries, academic literature, media archives, and SCN’s own materials, the answers are not binary. They are layered, nuanced, and — in their way — more troubling than a simple fraud would be.</w:t>
      </w:r>
    </w:p>
    <w:p>
      <w:r>
        <w:pict>
          <v:rect style="width:0;height:1.5pt" o:hralign="center" o:hrstd="t" o:hr="t"/>
        </w:pict>
      </w:r>
    </w:p>
    <w:bookmarkStart w:id="138" w:name="is-scn-a-real-organization"/>
    <w:p>
      <w:pPr>
        <w:pStyle w:val="Heading3"/>
      </w:pPr>
      <w:r>
        <w:t xml:space="preserve">7.1 Is SCN a</w:t>
      </w:r>
      <w:r>
        <w:t xml:space="preserve"> </w:t>
      </w:r>
      <w:r>
        <w:t xml:space="preserve">“</w:t>
      </w:r>
      <w:r>
        <w:t xml:space="preserve">Real</w:t>
      </w:r>
      <w:r>
        <w:t xml:space="preserve">”</w:t>
      </w:r>
      <w:r>
        <w:t xml:space="preserve"> </w:t>
      </w:r>
      <w:r>
        <w:t xml:space="preserve">Organization?</w:t>
      </w:r>
    </w:p>
    <w:bookmarkStart w:id="136" w:name="legally-registered-operationally-hollow"/>
    <w:p>
      <w:pPr>
        <w:pStyle w:val="Heading4"/>
      </w:pPr>
      <w:r>
        <w:t xml:space="preserve">7.1.1 Legally Registered, Operationally Hollow</w:t>
      </w:r>
    </w:p>
    <w:p>
      <w:pPr>
        <w:pStyle w:val="FirstParagraph"/>
      </w:pPr>
      <w:r>
        <w:t xml:space="preserve">Yes, SCN is a real legal entity. Smart Cities Network Ltd is incorporated in Singapore under UEN 201827719R, holds a valid Company Limited by Guarantee structure, and appears in Accounting and Corporate Regulatory Authority records</w:t>
      </w:r>
      <w:r>
        <w:rPr>
          <w:vertAlign w:val="superscript"/>
        </w:rPr>
        <w:t xml:space="preserve">33</w:t>
      </w:r>
      <w:r>
        <w:t xml:space="preserve"> </w:t>
      </w:r>
      <w:r>
        <w:rPr>
          <w:vertAlign w:val="superscript"/>
        </w:rPr>
        <w:t xml:space="preserve">34</w:t>
      </w:r>
      <w:r>
        <w:t xml:space="preserve">. It is not a shell company in the criminal sense — it has a constitution, can enter contracts, and has signed genuine memoranda of understanding with Philippine city governments and the Department of Science and Technology</w:t>
      </w:r>
      <w:r>
        <w:rPr>
          <w:vertAlign w:val="superscript"/>
        </w:rPr>
        <w:t xml:space="preserve">23</w:t>
      </w:r>
      <w:r>
        <w:t xml:space="preserve"> </w:t>
      </w:r>
      <w:r>
        <w:rPr>
          <w:vertAlign w:val="superscript"/>
        </w:rPr>
        <w:t xml:space="preserve">24</w:t>
      </w:r>
      <w:r>
        <w:t xml:space="preserve">.</w:t>
      </w:r>
    </w:p>
    <w:p>
      <w:pPr>
        <w:pStyle w:val="BodyText"/>
      </w:pPr>
      <w:r>
        <w:t xml:space="preserve">But legal registration is the lowest bar for organizational legitimacy. SCN’s operational reality bears no resemblance to the intergovernmental network its name implies. After seven years, the organization has:</w:t>
      </w:r>
    </w:p>
    <w:p>
      <w:pPr>
        <w:numPr>
          <w:ilvl w:val="0"/>
          <w:numId w:val="1006"/>
        </w:numPr>
        <w:pStyle w:val="Compact"/>
      </w:pPr>
      <w:r>
        <w:rPr>
          <w:bCs/>
          <w:b/>
        </w:rPr>
        <w:t xml:space="preserve">One identifiable person</w:t>
      </w:r>
      <w:r>
        <w:t xml:space="preserve">: Kok Chin Tay serves as Chairman, sole spokesperson, and apparently sole operator. No board members are named. No staff are listed. An</w:t>
      </w:r>
      <w:r>
        <w:t xml:space="preserve"> </w:t>
      </w:r>
      <w:r>
        <w:t xml:space="preserve">“</w:t>
      </w:r>
      <w:r>
        <w:t xml:space="preserve">Executive Council</w:t>
      </w:r>
      <w:r>
        <w:t xml:space="preserve">”</w:t>
      </w:r>
      <w:r>
        <w:t xml:space="preserve"> </w:t>
      </w:r>
      <w:r>
        <w:t xml:space="preserve">is claimed but lists zero members.</w:t>
      </w:r>
    </w:p>
    <w:p>
      <w:pPr>
        <w:numPr>
          <w:ilvl w:val="0"/>
          <w:numId w:val="1006"/>
        </w:numPr>
        <w:pStyle w:val="Compact"/>
      </w:pPr>
      <w:r>
        <w:rPr>
          <w:bCs/>
          <w:b/>
        </w:rPr>
        <w:t xml:space="preserve">Zero financial transparency</w:t>
      </w:r>
      <w:r>
        <w:t xml:space="preserve">: As a Company Limited by Guarantee, SCN is legally exempt from filing financial statements with ACRA. It is not a registered charity, holds no IPC status, and publishes no annual reports</w:t>
      </w:r>
      <w:r>
        <w:rPr>
          <w:vertAlign w:val="superscript"/>
        </w:rPr>
        <w:t xml:space="preserve">33</w:t>
      </w:r>
      <w:r>
        <w:t xml:space="preserve">.</w:t>
      </w:r>
    </w:p>
    <w:p>
      <w:pPr>
        <w:numPr>
          <w:ilvl w:val="0"/>
          <w:numId w:val="1006"/>
        </w:numPr>
        <w:pStyle w:val="Compact"/>
      </w:pPr>
      <w:r>
        <w:rPr>
          <w:bCs/>
          <w:b/>
        </w:rPr>
        <w:t xml:space="preserve">Zero independently delivered projects</w:t>
      </w:r>
      <w:r>
        <w:t xml:space="preserve">: Of thirteen</w:t>
      </w:r>
      <w:r>
        <w:t xml:space="preserve"> </w:t>
      </w:r>
      <w:r>
        <w:t xml:space="preserve">“</w:t>
      </w:r>
      <w:r>
        <w:t xml:space="preserve">Key Projects</w:t>
      </w:r>
      <w:r>
        <w:t xml:space="preserve">”</w:t>
      </w:r>
      <w:r>
        <w:t xml:space="preserve"> </w:t>
      </w:r>
      <w:r>
        <w:t xml:space="preserve">claimed, one is partially substantiated (Cauayan City, where SCN connected a third-party vendor); the rest are unverified, misattributed, or describe activity by other organizations.</w:t>
      </w:r>
    </w:p>
    <w:p>
      <w:pPr>
        <w:numPr>
          <w:ilvl w:val="0"/>
          <w:numId w:val="1006"/>
        </w:numPr>
        <w:pStyle w:val="Compact"/>
      </w:pPr>
      <w:r>
        <w:rPr>
          <w:bCs/>
          <w:b/>
        </w:rPr>
        <w:t xml:space="preserve">Zero governance documentation</w:t>
      </w:r>
      <w:r>
        <w:t xml:space="preserve">: No constitution, no bylaws, no meeting minutes, no conflict-of-interest policy. SCN operates as a personal platform, not a governed institution.</w:t>
      </w:r>
    </w:p>
    <w:p>
      <w:pPr>
        <w:pStyle w:val="FirstParagraph"/>
      </w:pPr>
      <w:r>
        <w:t xml:space="preserve">The legal structure is legitimate; the operational substance is not. SCN is what corporate registries were not designed to detect: a one-person consulting vehicle that uses nonprofit-appropriate legal architecture to mimic institutional credibility.</w:t>
      </w:r>
    </w:p>
    <w:bookmarkEnd w:id="136"/>
    <w:bookmarkStart w:id="137" w:name="the-legal-structure-as-camouflage"/>
    <w:p>
      <w:pPr>
        <w:pStyle w:val="Heading4"/>
      </w:pPr>
      <w:r>
        <w:t xml:space="preserve">7.1.2 The Legal Structure as Camouflage</w:t>
      </w:r>
    </w:p>
    <w:p>
      <w:pPr>
        <w:pStyle w:val="FirstParagraph"/>
      </w:pPr>
      <w:r>
        <w:t xml:space="preserve">The Company Limited by Guarantee structure matters. In Singapore, this form is commonly used by genuine not-for-profit organizations — trade associations, professional bodies, social enterprises — because it signals non-commercial intent. SCN exploits this signaling. Its website describes it as a</w:t>
      </w:r>
      <w:r>
        <w:t xml:space="preserve"> </w:t>
      </w:r>
      <w:r>
        <w:t xml:space="preserve">“</w:t>
      </w:r>
      <w:r>
        <w:t xml:space="preserve">not-for-profit individual membership-based organisation,</w:t>
      </w:r>
      <w:r>
        <w:t xml:space="preserve">”</w:t>
      </w:r>
      <w:r>
        <w:t xml:space="preserve"> </w:t>
      </w:r>
      <w:r>
        <w:t xml:space="preserve">a phrase designed to evoke charitable legitimacy without claiming legally regulated charitable status.</w:t>
      </w:r>
    </w:p>
    <w:p>
      <w:pPr>
        <w:pStyle w:val="BodyText"/>
      </w:pPr>
      <w:r>
        <w:t xml:space="preserve">A registered Singapore charity must file annual reports with the Charity Commission, maintain public financial disclosures, adhere to governance codes, and face deregistration for misconduct. SCN has opted out of this entire accountability architecture while retaining the language that suggests compliance with it. The structure is not illegal. It is strategically selected.</w:t>
      </w:r>
    </w:p>
    <w:p>
      <w:r>
        <w:pict>
          <v:rect style="width:0;height:1.5pt" o:hralign="center" o:hrstd="t" o:hr="t"/>
        </w:pict>
      </w:r>
    </w:p>
    <w:bookmarkEnd w:id="137"/>
    <w:bookmarkEnd w:id="138"/>
    <w:bookmarkStart w:id="141" w:name="is-the-ascn-confusion-deliberate"/>
    <w:p>
      <w:pPr>
        <w:pStyle w:val="Heading3"/>
      </w:pPr>
      <w:r>
        <w:t xml:space="preserve">7.2 Is the ASCN Confusion Deliberate?</w:t>
      </w:r>
    </w:p>
    <w:bookmarkStart w:id="139" w:name="the-evidence-for-deliberate-name-jacking"/>
    <w:p>
      <w:pPr>
        <w:pStyle w:val="Heading4"/>
      </w:pPr>
      <w:r>
        <w:t xml:space="preserve">7.2.1 The Evidence for Deliberate Name-Jacking</w:t>
      </w:r>
    </w:p>
    <w:p>
      <w:pPr>
        <w:pStyle w:val="FirstParagraph"/>
      </w:pPr>
      <w:r>
        <w:t xml:space="preserve">The timing alone is extraordinarily suggestive. The ASEAN Smart Cities Network was established on 28 April 2018 at the 32nd ASEAN Summit, receiving summit-level endorsement from ten sovereign governments and extensive regional coverage</w:t>
      </w:r>
      <w:r>
        <w:rPr>
          <w:vertAlign w:val="superscript"/>
        </w:rPr>
        <w:t xml:space="preserve">15</w:t>
      </w:r>
      <w:r>
        <w:t xml:space="preserve">. Smart Cities Network was incorporated 108 days later, on 14 August 2018</w:t>
      </w:r>
      <w:r>
        <w:rPr>
          <w:vertAlign w:val="superscript"/>
        </w:rPr>
        <w:t xml:space="preserve">33</w:t>
      </w:r>
      <w:r>
        <w:t xml:space="preserve">. The name removes exactly one word —</w:t>
      </w:r>
      <w:r>
        <w:t xml:space="preserve"> </w:t>
      </w:r>
      <w:r>
        <w:t xml:space="preserve">“</w:t>
      </w:r>
      <w:r>
        <w:t xml:space="preserve">ASEAN</w:t>
      </w:r>
      <w:r>
        <w:t xml:space="preserve">”</w:t>
      </w:r>
      <w:r>
        <w:t xml:space="preserve"> </w:t>
      </w:r>
      <w:r>
        <w:t xml:space="preserve">— from the official network’s title.</w:t>
      </w:r>
    </w:p>
    <w:p>
      <w:pPr>
        <w:pStyle w:val="BodyText"/>
      </w:pPr>
      <w:r>
        <w:t xml:space="preserve">This is not coincidental branding convergence. It is textbook name-jacking: incorporating a similarly named private entity to capture the residual legitimacy, search traffic, and institutional confusion generated by a high-profile intergovernmental launch. Additional facts reinforce this conclusion:</w:t>
      </w:r>
    </w:p>
    <w:p>
      <w:pPr>
        <w:numPr>
          <w:ilvl w:val="0"/>
          <w:numId w:val="1007"/>
        </w:numPr>
        <w:pStyle w:val="Compact"/>
      </w:pPr>
      <w:r>
        <w:rPr>
          <w:bCs/>
          <w:b/>
        </w:rPr>
        <w:t xml:space="preserve">No disclaimer</w:t>
      </w:r>
      <w:r>
        <w:t xml:space="preserve">: SCN’s website contains no visible statement clarifying that it is NOT the official ASEAN Smart Cities Network.</w:t>
      </w:r>
    </w:p>
    <w:p>
      <w:pPr>
        <w:numPr>
          <w:ilvl w:val="0"/>
          <w:numId w:val="1007"/>
        </w:numPr>
        <w:pStyle w:val="Compact"/>
      </w:pPr>
      <w:r>
        <w:rPr>
          <w:bCs/>
          <w:b/>
        </w:rPr>
        <w:t xml:space="preserve">Academic conflation</w:t>
      </w:r>
      <w:r>
        <w:t xml:space="preserve">: A 2022 peer-reviewed article in</w:t>
      </w:r>
      <w:r>
        <w:t xml:space="preserve"> </w:t>
      </w:r>
      <w:r>
        <w:rPr>
          <w:iCs/>
          <w:i/>
        </w:rPr>
        <w:t xml:space="preserve">Politics and Governance</w:t>
      </w:r>
      <w:r>
        <w:t xml:space="preserve"> </w:t>
      </w:r>
      <w:r>
        <w:t xml:space="preserve">used</w:t>
      </w:r>
      <w:r>
        <w:t xml:space="preserve"> </w:t>
      </w:r>
      <w:r>
        <w:t xml:space="preserve">“</w:t>
      </w:r>
      <w:r>
        <w:t xml:space="preserve">Smart Cities Network</w:t>
      </w:r>
      <w:r>
        <w:t xml:space="preserve">”</w:t>
      </w:r>
      <w:r>
        <w:t xml:space="preserve"> </w:t>
      </w:r>
      <w:r>
        <w:t xml:space="preserve">as a keyword when discussing the official ASCN, demonstrating that the confusion has penetrated scholarly literature</w:t>
      </w:r>
      <w:r>
        <w:rPr>
          <w:vertAlign w:val="superscript"/>
        </w:rPr>
        <w:t xml:space="preserve">39</w:t>
      </w:r>
      <w:r>
        <w:t xml:space="preserve">.</w:t>
      </w:r>
    </w:p>
    <w:p>
      <w:pPr>
        <w:numPr>
          <w:ilvl w:val="0"/>
          <w:numId w:val="1007"/>
        </w:numPr>
        <w:pStyle w:val="Compact"/>
      </w:pPr>
      <w:r>
        <w:rPr>
          <w:bCs/>
          <w:b/>
        </w:rPr>
        <w:t xml:space="preserve">Triple naming confusion</w:t>
      </w:r>
      <w:r>
        <w:t xml:space="preserve">: Philippine government sources have conflated SCN with both SCC and ASCN, producing the fictional title</w:t>
      </w:r>
      <w:r>
        <w:t xml:space="preserve"> </w:t>
      </w:r>
      <w:r>
        <w:t xml:space="preserve">“</w:t>
      </w:r>
      <w:r>
        <w:t xml:space="preserve">ASEAN Smart Cities Council</w:t>
      </w:r>
      <w:r>
        <w:t xml:space="preserve">”</w:t>
      </w:r>
      <w:r>
        <w:t xml:space="preserve"> </w:t>
      </w:r>
      <w:r>
        <w:t xml:space="preserve">— a hybrid entity that does not exist.</w:t>
      </w:r>
    </w:p>
    <w:p>
      <w:pPr>
        <w:pStyle w:val="FirstParagraph"/>
      </w:pPr>
      <w:r>
        <w:t xml:space="preserve">The cumulative weight — the 4-month gap, the single-word name difference, the absence of any clarifying disclaimer — makes the</w:t>
      </w:r>
      <w:r>
        <w:t xml:space="preserve"> </w:t>
      </w:r>
      <w:r>
        <w:t xml:space="preserve">“</w:t>
      </w:r>
      <w:r>
        <w:t xml:space="preserve">coincidence</w:t>
      </w:r>
      <w:r>
        <w:t xml:space="preserve">”</w:t>
      </w:r>
      <w:r>
        <w:t xml:space="preserve"> </w:t>
      </w:r>
      <w:r>
        <w:t xml:space="preserve">explanation untenable.</w:t>
      </w:r>
    </w:p>
    <w:bookmarkEnd w:id="139"/>
    <w:bookmarkStart w:id="140" w:name="exploitation-not-crime"/>
    <w:p>
      <w:pPr>
        <w:pStyle w:val="Heading4"/>
      </w:pPr>
      <w:r>
        <w:t xml:space="preserve">7.2.2 Exploitation, Not Crime</w:t>
      </w:r>
    </w:p>
    <w:p>
      <w:pPr>
        <w:pStyle w:val="FirstParagraph"/>
      </w:pPr>
      <w:r>
        <w:t xml:space="preserve">Deliberate name-jacking is not, in itself, a criminal offense. No trademark infringement case has been filed against SCN. The ASEAN Secretariat has not issued a cease-and-desist. A name’s similarity to an official body, without more, does not constitute fraud under Singaporean or international law.</w:t>
      </w:r>
    </w:p>
    <w:p>
      <w:pPr>
        <w:pStyle w:val="BodyText"/>
      </w:pPr>
      <w:r>
        <w:t xml:space="preserve">But the absence of criminal liability does not indicate legitimacy. SCN’s strategy exploits a specific information asymmetry: government officials in developing ASEAN countries may not distinguish between a summit-endorsed intergovernmental network and a Singapore-registered private company with a nearly identical name. The strategy extracts private benefit from public institutional legitimacy without crossing into legally proscribed conduct. It is clever, calculated, and corrosive — but not criminal.</w:t>
      </w:r>
    </w:p>
    <w:p>
      <w:r>
        <w:pict>
          <v:rect style="width:0;height:1.5pt" o:hralign="center" o:hrstd="t" o:hr="t"/>
        </w:pict>
      </w:r>
    </w:p>
    <w:bookmarkEnd w:id="140"/>
    <w:bookmarkEnd w:id="141"/>
    <w:bookmarkStart w:id="144" w:name="is-it-a-scam"/>
    <w:p>
      <w:pPr>
        <w:pStyle w:val="Heading3"/>
      </w:pPr>
      <w:r>
        <w:t xml:space="preserve">7.3 Is It a Scam?</w:t>
      </w:r>
    </w:p>
    <w:bookmarkStart w:id="142" w:name="no-evidence-of-criminal-activity"/>
    <w:p>
      <w:pPr>
        <w:pStyle w:val="Heading4"/>
      </w:pPr>
      <w:r>
        <w:t xml:space="preserve">7.3.1 No Evidence of Criminal Activity</w:t>
      </w:r>
    </w:p>
    <w:p>
      <w:pPr>
        <w:pStyle w:val="FirstParagraph"/>
      </w:pPr>
      <w:r>
        <w:t xml:space="preserve">The word</w:t>
      </w:r>
      <w:r>
        <w:t xml:space="preserve"> </w:t>
      </w:r>
      <w:r>
        <w:t xml:space="preserve">“</w:t>
      </w:r>
      <w:r>
        <w:t xml:space="preserve">scam</w:t>
      </w:r>
      <w:r>
        <w:t xml:space="preserve">”</w:t>
      </w:r>
      <w:r>
        <w:t xml:space="preserve"> </w:t>
      </w:r>
      <w:r>
        <w:t xml:space="preserve">implies fraud, theft, or deception for financial gain through illegal means. This investigation found no evidence that SCN has engaged in criminal activity, money laundering, or financial fraud. The MOUs it has signed with Philippine cities are real documents. The UN-Habitat Cities Investment Facility partnership is verified in official UN documents. The Cauayan City digital twin project, though delivered by a third party, produced tangible outcomes.</w:t>
      </w:r>
    </w:p>
    <w:p>
      <w:pPr>
        <w:pStyle w:val="BodyText"/>
      </w:pPr>
      <w:r>
        <w:t xml:space="preserve">There are no victim complaints of financial loss. No regulatory actions. No court proceedings. SCN does not take money and disappear. It takes credentials, uses them to obtain advisory relationships, and maintains a visible presence at conferences and MOU signings.</w:t>
      </w:r>
    </w:p>
    <w:bookmarkEnd w:id="142"/>
    <w:bookmarkStart w:id="143" w:name="X47788b3ac59b6df584b94c701483ce4059e66d9"/>
    <w:p>
      <w:pPr>
        <w:pStyle w:val="Heading4"/>
      </w:pPr>
      <w:r>
        <w:t xml:space="preserve">7.3.2 A Credential-Dependent Consulting Vehicle</w:t>
      </w:r>
    </w:p>
    <w:p>
      <w:pPr>
        <w:pStyle w:val="FirstParagraph"/>
      </w:pPr>
      <w:r>
        <w:t xml:space="preserve">The more accurate characterization is subtler and, in some respects, more damaging. SCN is a</w:t>
      </w:r>
      <w:r>
        <w:t xml:space="preserve"> </w:t>
      </w:r>
      <w:r>
        <w:rPr>
          <w:bCs/>
          <w:b/>
        </w:rPr>
        <w:t xml:space="preserve">credential-dependent consulting vehicle</w:t>
      </w:r>
      <w:r>
        <w:t xml:space="preserve"> </w:t>
      </w:r>
      <w:r>
        <w:t xml:space="preserve">— an organization whose business model revolves around accumulating impressive-sounding titles, partnerships, and advisory roles rather than delivering measurable projects. Its economic function is to translate inflated credentials into government access, particularly in developing countries where due diligence capacity is weaker.</w:t>
      </w:r>
    </w:p>
    <w:p>
      <w:pPr>
        <w:pStyle w:val="BodyText"/>
      </w:pPr>
      <w:r>
        <w:t xml:space="preserve">The mechanism is recursive: SCN registers in Singapore (a credible jurisdiction), obtains a UN-Habitat partnership (a credentials stamp), accumulates MOUs with developing-country cities (visible partnerships), and leverages Tay’s proliferating titles to secure advisory roles. Each credential reinforces the others. Each MOU signing generates photographs and press coverage that support the next credential application. The credentials are the product — not anything that follows from them.</w:t>
      </w:r>
    </w:p>
    <w:p>
      <w:pPr>
        <w:pStyle w:val="BodyText"/>
      </w:pPr>
      <w:r>
        <w:t xml:space="preserve">This model does not require criminality. It requires only the accountability vacuum that SCN and SCC jointly exploit: not a charity (so no Charity Commission oversight), not a government body (so no FOIA), not publicly traded (so no financial disclosure), and too small for sustained investigative journalism.</w:t>
      </w:r>
    </w:p>
    <w:p>
      <w:r>
        <w:pict>
          <v:rect style="width:0;height:1.5pt" o:hralign="center" o:hrstd="t" o:hr="t"/>
        </w:pict>
      </w:r>
    </w:p>
    <w:bookmarkEnd w:id="143"/>
    <w:bookmarkEnd w:id="144"/>
    <w:bookmarkStart w:id="148" w:name="the-core-problem"/>
    <w:p>
      <w:pPr>
        <w:pStyle w:val="Heading3"/>
      </w:pPr>
      <w:r>
        <w:t xml:space="preserve">7.4 The Core Problem</w:t>
      </w:r>
    </w:p>
    <w:bookmarkStart w:id="145" w:name="X8241c9f8bf5b7c6d66cd1114dfaac1da8fad932"/>
    <w:p>
      <w:pPr>
        <w:pStyle w:val="Heading4"/>
      </w:pPr>
      <w:r>
        <w:t xml:space="preserve">7.4.1 The Title Fraud as the Most Objectively Verifiable Misconduct</w:t>
      </w:r>
    </w:p>
    <w:p>
      <w:pPr>
        <w:pStyle w:val="FirstParagraph"/>
      </w:pPr>
      <w:r>
        <w:t xml:space="preserve">If this investigation were required to identify one finding that withstands the highest evidentiary standard, it would be the</w:t>
      </w:r>
      <w:r>
        <w:t xml:space="preserve"> </w:t>
      </w:r>
      <w:r>
        <w:t xml:space="preserve">“</w:t>
      </w:r>
      <w:r>
        <w:t xml:space="preserve">Dr./Professor</w:t>
      </w:r>
      <w:r>
        <w:t xml:space="preserve">”</w:t>
      </w:r>
      <w:r>
        <w:t xml:space="preserve"> </w:t>
      </w:r>
      <w:r>
        <w:t xml:space="preserve">title fraud. Kok Chin Tay does not hold a PhD. His own biographies list only an MSc. Yet Philippine government agencies — the Department of Science and Technology and the Philippines News Agency — have published material referring to him as</w:t>
      </w:r>
      <w:r>
        <w:t xml:space="preserve"> </w:t>
      </w:r>
      <w:r>
        <w:t xml:space="preserve">“</w:t>
      </w:r>
      <w:r>
        <w:t xml:space="preserve">Dr. Kok Chin Tay</w:t>
      </w:r>
      <w:r>
        <w:t xml:space="preserve">”</w:t>
      </w:r>
      <w:r>
        <w:t xml:space="preserve">. Cambodia’s National University of Management lists him as</w:t>
      </w:r>
      <w:r>
        <w:t xml:space="preserve"> </w:t>
      </w:r>
      <w:r>
        <w:t xml:space="preserve">“</w:t>
      </w:r>
      <w:r>
        <w:t xml:space="preserve">Professor</w:t>
      </w:r>
      <w:r>
        <w:t xml:space="preserve">”</w:t>
      </w:r>
      <w:r>
        <w:t xml:space="preserve">. A JICA report calls him</w:t>
      </w:r>
      <w:r>
        <w:t xml:space="preserve"> </w:t>
      </w:r>
      <w:r>
        <w:t xml:space="preserve">“</w:t>
      </w:r>
      <w:r>
        <w:t xml:space="preserve">Adjunct Professor at NUS,</w:t>
      </w:r>
      <w:r>
        <w:t xml:space="preserve">”</w:t>
      </w:r>
      <w:r>
        <w:t xml:space="preserve"> </w:t>
      </w:r>
      <w:r>
        <w:t xml:space="preserve">upgrading his own</w:t>
      </w:r>
      <w:r>
        <w:t xml:space="preserve"> </w:t>
      </w:r>
      <w:r>
        <w:t xml:space="preserve">“</w:t>
      </w:r>
      <w:r>
        <w:t xml:space="preserve">Adjunct Lecturer</w:t>
      </w:r>
      <w:r>
        <w:t xml:space="preserve">”</w:t>
      </w:r>
      <w:r>
        <w:t xml:space="preserve"> </w:t>
      </w:r>
      <w:r>
        <w:t xml:space="preserve">description by at least two academic ranks.</w:t>
      </w:r>
    </w:p>
    <w:p>
      <w:pPr>
        <w:pStyle w:val="BodyText"/>
      </w:pPr>
      <w:r>
        <w:t xml:space="preserve">These titles have persisted for years without correction. Either Tay presented himself as</w:t>
      </w:r>
      <w:r>
        <w:t xml:space="preserve"> </w:t>
      </w:r>
      <w:r>
        <w:t xml:space="preserve">“</w:t>
      </w:r>
      <w:r>
        <w:t xml:space="preserve">Dr.</w:t>
      </w:r>
      <w:r>
        <w:t xml:space="preserve">”</w:t>
      </w:r>
      <w:r>
        <w:t xml:space="preserve"> </w:t>
      </w:r>
      <w:r>
        <w:t xml:space="preserve">to Philippine officials, or officials assumed the title and he never corrected it. Either way, he has benefited from false academic credentials that carry particular weight in Southeast Asian professional culture. This is not a technicality. It is a documented pattern of credential inflation that has misled government agencies and facilitated access that a Master’s degree alone would not have obtained.</w:t>
      </w:r>
    </w:p>
    <w:bookmarkEnd w:id="145"/>
    <w:bookmarkStart w:id="146" w:name="X1afd44e6ebe5f641913b26acf45c80a2c1e8c59"/>
    <w:p>
      <w:pPr>
        <w:pStyle w:val="Heading4"/>
      </w:pPr>
      <w:r>
        <w:t xml:space="preserve">7.4.2 The Primary Victims: Government Officials in Developing ASEAN Countries</w:t>
      </w:r>
    </w:p>
    <w:p>
      <w:pPr>
        <w:pStyle w:val="FirstParagraph"/>
      </w:pPr>
      <w:r>
        <w:t xml:space="preserve">SCN’s business model depends on a specific victim profile: government officials in developing ASEAN countries who need to demonstrate smart city progress but lack resources to verify foreign consultants’ credentials. A Philippine DOST official arranging a speaker sees</w:t>
      </w:r>
      <w:r>
        <w:t xml:space="preserve"> </w:t>
      </w:r>
      <w:r>
        <w:t xml:space="preserve">“</w:t>
      </w:r>
      <w:r>
        <w:t xml:space="preserve">Dr.,</w:t>
      </w:r>
      <w:r>
        <w:t xml:space="preserve">”</w:t>
      </w:r>
      <w:r>
        <w:t xml:space="preserve"> </w:t>
      </w:r>
      <w:r>
        <w:t xml:space="preserve">“</w:t>
      </w:r>
      <w:r>
        <w:t xml:space="preserve">UN-Habitat partner,</w:t>
      </w:r>
      <w:r>
        <w:t xml:space="preserve">”</w:t>
      </w:r>
      <w:r>
        <w:t xml:space="preserve"> </w:t>
      </w:r>
      <w:r>
        <w:t xml:space="preserve">and</w:t>
      </w:r>
      <w:r>
        <w:t xml:space="preserve"> </w:t>
      </w:r>
      <w:r>
        <w:t xml:space="preserve">“</w:t>
      </w:r>
      <w:r>
        <w:t xml:space="preserve">Singapore-registered</w:t>
      </w:r>
      <w:r>
        <w:t xml:space="preserve">”</w:t>
      </w:r>
      <w:r>
        <w:t xml:space="preserve"> </w:t>
      </w:r>
      <w:r>
        <w:t xml:space="preserve">— a package that appears authoritative where thorough verification is impractical. A Cambodian university sees a</w:t>
      </w:r>
      <w:r>
        <w:t xml:space="preserve"> </w:t>
      </w:r>
      <w:r>
        <w:t xml:space="preserve">“</w:t>
      </w:r>
      <w:r>
        <w:t xml:space="preserve">Professor</w:t>
      </w:r>
      <w:r>
        <w:t xml:space="preserve">”</w:t>
      </w:r>
      <w:r>
        <w:t xml:space="preserve"> </w:t>
      </w:r>
      <w:r>
        <w:t xml:space="preserve">from a</w:t>
      </w:r>
      <w:r>
        <w:t xml:space="preserve"> </w:t>
      </w:r>
      <w:r>
        <w:t xml:space="preserve">“</w:t>
      </w:r>
      <w:r>
        <w:t xml:space="preserve">Network</w:t>
      </w:r>
      <w:r>
        <w:t xml:space="preserve">”</w:t>
      </w:r>
      <w:r>
        <w:t xml:space="preserve"> </w:t>
      </w:r>
      <w:r>
        <w:t xml:space="preserve">with</w:t>
      </w:r>
      <w:r>
        <w:t xml:space="preserve"> </w:t>
      </w:r>
      <w:r>
        <w:t xml:space="preserve">“</w:t>
      </w:r>
      <w:r>
        <w:t xml:space="preserve">ASEAN</w:t>
      </w:r>
      <w:r>
        <w:t xml:space="preserve">”</w:t>
      </w:r>
      <w:r>
        <w:t xml:space="preserve"> </w:t>
      </w:r>
      <w:r>
        <w:t xml:space="preserve">in its name. These officials are not naive. They are resource-constrained, working in institutional environments where foreign-sounding titles and UN affiliations carry disproportionate weight.</w:t>
      </w:r>
    </w:p>
    <w:p>
      <w:pPr>
        <w:pStyle w:val="BodyText"/>
      </w:pPr>
      <w:r>
        <w:t xml:space="preserve">These officials — and by extension, the citizens they serve — are the primary victims. They engage SCN believing it represents institutional capacity that does not exist. They sign MOUs expecting partnership that produces announcements but not outcomes. They allocate time, credibility, and occasionally public funds to an advisory relationship with an organization that has no verifiable staff, no financial transparency, and no track record of delivery.</w:t>
      </w:r>
    </w:p>
    <w:bookmarkEnd w:id="146"/>
    <w:bookmarkStart w:id="147" w:name="X84c0a0c150ac369613f08749af2ed0aa94028d2"/>
    <w:p>
      <w:pPr>
        <w:pStyle w:val="Heading4"/>
      </w:pPr>
      <w:r>
        <w:t xml:space="preserve">7.4.3 Both SCN and SCC Exploit the Same Accountability Vacuum</w:t>
      </w:r>
    </w:p>
    <w:p>
      <w:pPr>
        <w:pStyle w:val="FirstParagraph"/>
      </w:pPr>
      <w:r>
        <w:t xml:space="preserve">This investigation has focused on Smart Cities Network, but its findings cannot be fully understood without reference to Smart Cities Council. The two organizations share leadership, email infrastructure, operational patterns, and a common strategy: nonprofit mimicry without nonprofit accountability, paper partnerships without performance obligations, and credential accumulation without delivery verification. They survive not despite these characteristics but because of them — because the smart city consulting market rewards visible affiliation more than demonstrated impact, and because no regulatory body has jurisdiction over organizations that occupy the space between private company and public charity.</w:t>
      </w:r>
    </w:p>
    <w:p>
      <w:pPr>
        <w:pStyle w:val="BodyText"/>
      </w:pPr>
      <w:r>
        <w:t xml:space="preserve">The accountability vacuum is the enabling condition. Until Singapore requires Companies Limited by Guarantee to file financial statements, until ASEAN challenges name-jacking of its initiatives, until developing-country governments systematically verify foreign consultants’ credentials, organizations like SCN will continue to operate — not as criminals, but as exploiters of a system that has not yet learned to defend itself against them.</w:t>
      </w:r>
    </w:p>
    <w:p>
      <w:r>
        <w:pict>
          <v:rect style="width:0;height:1.5pt" o:hralign="center" o:hrstd="t" o:hr="t"/>
        </w:pict>
      </w:r>
    </w:p>
    <w:p>
      <w:r>
        <w:pict>
          <v:rect style="width:0;height:1.5pt" o:hralign="center" o:hrstd="t" o:hr="t"/>
        </w:pict>
      </w:r>
    </w:p>
    <w:bookmarkEnd w:id="147"/>
    <w:bookmarkEnd w:id="148"/>
    <w:bookmarkEnd w:id="149"/>
    <w:bookmarkStart w:id="150" w:name="about-this-report"/>
    <w:p>
      <w:pPr>
        <w:pStyle w:val="Heading2"/>
      </w:pPr>
      <w:r>
        <w:t xml:space="preserve">About This Report</w:t>
      </w:r>
    </w:p>
    <w:p>
      <w:pPr>
        <w:pStyle w:val="FirstParagraph"/>
      </w:pPr>
      <w:r>
        <w:t xml:space="preserve">This investigation was conducted through independent research across 12 dimensions, involving 250+ searches of government filings (ACRA Singapore, Philippine DOST, Cambodian government sources), corporate records, official ASEAN documents, UN-Habitat records, academic databases, reputable journalism, and primary source documents. No reliance was placed on SCN’s self-published marketing materials. All findings are documented with verbatim excerpts and source URLs.</w:t>
      </w:r>
    </w:p>
    <w:p>
      <w:pPr>
        <w:pStyle w:val="BodyText"/>
      </w:pPr>
      <w:r>
        <w:rPr>
          <w:bCs/>
          <w:b/>
        </w:rPr>
        <w:t xml:space="preserve">Research methodology</w:t>
      </w:r>
      <w:r>
        <w:t xml:space="preserve">: Multi-agent parallel investigation across legal status, ASCN name confusion, executive background, project delivery, partnerships, event quality, membership/revenue model, controversies, governance, Asia-Pacific activities, educational services, and comparative analysis against legitimate smart city organizations.</w:t>
      </w:r>
    </w:p>
    <w:p>
      <w:pPr>
        <w:pStyle w:val="BodyText"/>
      </w:pPr>
      <w:r>
        <w:rPr>
          <w:bCs/>
          <w:b/>
        </w:rPr>
        <w:t xml:space="preserve">Confidence levels</w:t>
      </w:r>
      <w:r>
        <w:t xml:space="preserve">:</w:t>
      </w:r>
      <w:r>
        <w:t xml:space="preserve"> </w:t>
      </w:r>
      <w:r>
        <w:t xml:space="preserve">-</w:t>
      </w:r>
      <w:r>
        <w:t xml:space="preserve"> </w:t>
      </w:r>
      <w:r>
        <w:rPr>
          <w:bCs/>
          <w:b/>
        </w:rPr>
        <w:t xml:space="preserve">HIGH</w:t>
      </w:r>
      <w:r>
        <w:t xml:space="preserve">: Confirmed by multiple independent primary sources</w:t>
      </w:r>
      <w:r>
        <w:t xml:space="preserve"> </w:t>
      </w:r>
      <w:r>
        <w:t xml:space="preserve">-</w:t>
      </w:r>
      <w:r>
        <w:t xml:space="preserve"> </w:t>
      </w:r>
      <w:r>
        <w:rPr>
          <w:bCs/>
          <w:b/>
        </w:rPr>
        <w:t xml:space="preserve">MEDIUM</w:t>
      </w:r>
      <w:r>
        <w:t xml:space="preserve">: Confirmed by one authoritative source</w:t>
      </w:r>
      <w:r>
        <w:t xml:space="preserve"> </w:t>
      </w:r>
      <w:r>
        <w:t xml:space="preserve">-</w:t>
      </w:r>
      <w:r>
        <w:t xml:space="preserve"> </w:t>
      </w:r>
      <w:r>
        <w:rPr>
          <w:bCs/>
          <w:b/>
        </w:rPr>
        <w:t xml:space="preserve">LOW</w:t>
      </w:r>
      <w:r>
        <w:t xml:space="preserve">: Limited evidence or single unverified claim</w:t>
      </w:r>
    </w:p>
    <w:p>
      <w:pPr>
        <w:pStyle w:val="BodyText"/>
      </w:pPr>
      <w:r>
        <w:rPr>
          <w:bCs/>
          <w:b/>
        </w:rPr>
        <w:t xml:space="preserve">Disclaimer</w:t>
      </w:r>
      <w:r>
        <w:t xml:space="preserve">: This report is based on publicly available information as of June 2026. The absence of evidence for criminal activity is not evidence of absence — it reflects the structural invisibility of the organization to accountability mechanisms.</w:t>
      </w:r>
    </w:p>
    <w:bookmarkEnd w:id="150"/>
    <w:bookmarkEnd w:id="1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8">
    <w:p>
      <w:pPr>
        <w:pStyle w:val="FootnoteText"/>
      </w:pPr>
      <w:r>
        <w:rPr>
          <w:rStyle w:val="FootnoteReference"/>
        </w:rPr>
        <w:footnoteRef/>
      </w:r>
      <w:r>
        <w:t xml:space="preserve"> </w:t>
      </w:r>
      <w:r>
        <w:t xml:space="preserve">ASEAN Secretariat,</w:t>
      </w:r>
      <w:r>
        <w:t xml:space="preserve"> </w:t>
      </w:r>
      <w:r>
        <w:t xml:space="preserve">“</w:t>
      </w:r>
      <w:r>
        <w:t xml:space="preserve">ASEAN Smart Cities Network,</w:t>
      </w:r>
      <w:r>
        <w:t xml:space="preserve">”</w:t>
      </w:r>
      <w:r>
        <w:t xml:space="preserve"> </w:t>
      </w:r>
      <w:r>
        <w:t xml:space="preserve">asean.org/our-communities/asean-smart-cities-network/. Established at the 32nd ASEAN Summit, Singapore, 28 April 2018.</w:t>
      </w:r>
    </w:p>
  </w:footnote>
  <w:footnote w:id="29">
    <w:p>
      <w:pPr>
        <w:pStyle w:val="FootnoteText"/>
      </w:pPr>
      <w:r>
        <w:rPr>
          <w:rStyle w:val="FootnoteReference"/>
        </w:rPr>
        <w:footnoteRef/>
      </w:r>
      <w:r>
        <w:t xml:space="preserve"> </w:t>
      </w:r>
      <w:r>
        <w:t xml:space="preserve">ASEAN Secretariat,</w:t>
      </w:r>
      <w:r>
        <w:t xml:space="preserve"> </w:t>
      </w:r>
      <w:r>
        <w:rPr>
          <w:iCs/>
          <w:i/>
        </w:rPr>
        <w:t xml:space="preserve">ASCN Monitoring &amp; Evaluation Report 2024</w:t>
      </w:r>
      <w:r>
        <w:t xml:space="preserve"> </w:t>
      </w:r>
      <w:r>
        <w:t xml:space="preserve">(September 2024); 8th ASCN Annual Meeting, Kuala Lumpur, September 2025. Current membership: 38 cities.</w:t>
      </w:r>
    </w:p>
  </w:footnote>
  <w:footnote w:id="31">
    <w:p>
      <w:pPr>
        <w:pStyle w:val="FootnoteText"/>
      </w:pPr>
      <w:r>
        <w:rPr>
          <w:rStyle w:val="FootnoteReference"/>
        </w:rPr>
        <w:footnoteRef/>
      </w:r>
      <w:r>
        <w:t xml:space="preserve"> </w:t>
      </w:r>
      <w:r>
        <w:t xml:space="preserve">SGP Business,</w:t>
      </w:r>
      <w:r>
        <w:t xml:space="preserve"> </w:t>
      </w:r>
      <w:r>
        <w:t xml:space="preserve">“</w:t>
      </w:r>
      <w:r>
        <w:t xml:space="preserve">SMART CITIES NETWORK LTD,</w:t>
      </w:r>
      <w:r>
        <w:t xml:space="preserve">”</w:t>
      </w:r>
      <w:r>
        <w:t xml:space="preserve"> </w:t>
      </w:r>
      <w:r>
        <w:t xml:space="preserve">UEN 201827719R, incorporated 14 August 2018 as Public Company Limited by Guarantee.</w:t>
      </w:r>
    </w:p>
  </w:footnote>
  <w:footnote w:id="32">
    <w:p>
      <w:pPr>
        <w:pStyle w:val="FootnoteText"/>
      </w:pPr>
      <w:r>
        <w:rPr>
          <w:rStyle w:val="FootnoteReference"/>
        </w:rPr>
        <w:footnoteRef/>
      </w:r>
      <w:r>
        <w:t xml:space="preserve"> </w:t>
      </w:r>
      <w:r>
        <w:t xml:space="preserve">Singapore Charity Portal (charities.gov.sg) — search returns zero results for</w:t>
      </w:r>
      <w:r>
        <w:t xml:space="preserve"> </w:t>
      </w:r>
      <w:r>
        <w:t xml:space="preserve">“</w:t>
      </w:r>
      <w:r>
        <w:t xml:space="preserve">Smart Cities Network.</w:t>
      </w:r>
      <w:r>
        <w:t xml:space="preserve">”</w:t>
      </w:r>
      <w:r>
        <w:t xml:space="preserve"> </w:t>
      </w:r>
      <w:r>
        <w:t xml:space="preserve">No IPC status.</w:t>
      </w:r>
    </w:p>
  </w:footnote>
  <w:footnote w:id="33">
    <w:p>
      <w:pPr>
        <w:pStyle w:val="FootnoteText"/>
      </w:pPr>
      <w:r>
        <w:rPr>
          <w:rStyle w:val="FootnoteReference"/>
        </w:rPr>
        <w:footnoteRef/>
      </w:r>
      <w:r>
        <w:t xml:space="preserve"> </w:t>
      </w:r>
      <w:r>
        <w:t xml:space="preserve">Singapore Ministry of Foreign Affairs, Press Statement: Inaugural ASCN Meeting, 8 July 2018.</w:t>
      </w:r>
    </w:p>
  </w:footnote>
  <w:footnote w:id="34">
    <w:p>
      <w:pPr>
        <w:pStyle w:val="FootnoteText"/>
      </w:pPr>
      <w:r>
        <w:rPr>
          <w:rStyle w:val="FootnoteReference"/>
        </w:rPr>
        <w:footnoteRef/>
      </w:r>
      <w:r>
        <w:t xml:space="preserve"> </w:t>
      </w:r>
      <w:r>
        <w:t xml:space="preserve">Singapore Charity Portal (charities.gov.sg) — search returns zero results for</w:t>
      </w:r>
      <w:r>
        <w:t xml:space="preserve"> </w:t>
      </w:r>
      <w:r>
        <w:t xml:space="preserve">“</w:t>
      </w:r>
      <w:r>
        <w:t xml:space="preserve">Smart Cities Network.</w:t>
      </w:r>
      <w:r>
        <w:t xml:space="preserve">”</w:t>
      </w:r>
      <w:r>
        <w:t xml:space="preserve"> </w:t>
      </w:r>
      <w:r>
        <w:t xml:space="preserve">No IPC status.</w:t>
      </w:r>
    </w:p>
  </w:footnote>
  <w:footnote w:id="36">
    <w:p>
      <w:pPr>
        <w:pStyle w:val="FootnoteText"/>
      </w:pPr>
      <w:r>
        <w:rPr>
          <w:rStyle w:val="FootnoteReference"/>
        </w:rPr>
        <w:footnoteRef/>
      </w:r>
      <w:r>
        <w:t xml:space="preserve"> </w:t>
      </w:r>
      <w:r>
        <w:t xml:space="preserve">Smart Cities Network homepage, smartcitiesnetwork.net (accessed 2025). Statistics include</w:t>
      </w:r>
      <w:r>
        <w:t xml:space="preserve"> </w:t>
      </w:r>
      <w:r>
        <w:t xml:space="preserve">“</w:t>
      </w:r>
      <w:r>
        <w:t xml:space="preserve">5 ASEAN Nations.</w:t>
      </w:r>
      <w:r>
        <w:t xml:space="preserve">”</w:t>
      </w:r>
      <w:r>
        <w:t xml:space="preserve"> </w:t>
      </w:r>
      <w:r>
        <w:t xml:space="preserve">No ASCN disclaimer found.</w:t>
      </w:r>
    </w:p>
  </w:footnote>
  <w:footnote w:id="40">
    <w:p>
      <w:pPr>
        <w:pStyle w:val="FootnoteText"/>
      </w:pPr>
      <w:r>
        <w:rPr>
          <w:rStyle w:val="FootnoteReference"/>
        </w:rPr>
        <w:footnoteRef/>
      </w:r>
      <w:r>
        <w:t xml:space="preserve"> </w:t>
      </w:r>
      <w:r>
        <w:t xml:space="preserve">Smart Cities Network homepage, smartcitiesnetwork.net (accessed 2025). Statistics include</w:t>
      </w:r>
      <w:r>
        <w:t xml:space="preserve"> </w:t>
      </w:r>
      <w:r>
        <w:t xml:space="preserve">“</w:t>
      </w:r>
      <w:r>
        <w:t xml:space="preserve">5 ASEAN Nations.</w:t>
      </w:r>
      <w:r>
        <w:t xml:space="preserve">”</w:t>
      </w:r>
      <w:r>
        <w:t xml:space="preserve"> </w:t>
      </w:r>
      <w:r>
        <w:t xml:space="preserve">No ASCN disclaimer found.</w:t>
      </w:r>
    </w:p>
  </w:footnote>
  <w:footnote w:id="41">
    <w:p>
      <w:pPr>
        <w:pStyle w:val="FootnoteText"/>
      </w:pPr>
      <w:r>
        <w:rPr>
          <w:rStyle w:val="FootnoteReference"/>
        </w:rPr>
        <w:footnoteRef/>
      </w:r>
      <w:r>
        <w:t xml:space="preserve"> </w:t>
      </w:r>
      <w:r>
        <w:t xml:space="preserve">Smart Cities Network homepage, smartcitiesnetwork.net (accessed 2025). Statistics include</w:t>
      </w:r>
      <w:r>
        <w:t xml:space="preserve"> </w:t>
      </w:r>
      <w:r>
        <w:t xml:space="preserve">“</w:t>
      </w:r>
      <w:r>
        <w:t xml:space="preserve">5 ASEAN Nations.</w:t>
      </w:r>
      <w:r>
        <w:t xml:space="preserve">”</w:t>
      </w:r>
      <w:r>
        <w:t xml:space="preserve"> </w:t>
      </w:r>
      <w:r>
        <w:t xml:space="preserve">No ASCN disclaimer found.</w:t>
      </w:r>
    </w:p>
  </w:footnote>
  <w:footnote w:id="43">
    <w:p>
      <w:pPr>
        <w:pStyle w:val="FootnoteText"/>
      </w:pPr>
      <w:r>
        <w:rPr>
          <w:rStyle w:val="FootnoteReference"/>
        </w:rPr>
        <w:footnoteRef/>
      </w:r>
      <w:r>
        <w:t xml:space="preserve"> </w:t>
      </w:r>
      <w:r>
        <w:t xml:space="preserve">Manuel Mejido Costoya,</w:t>
      </w:r>
      <w:r>
        <w:t xml:space="preserve"> </w:t>
      </w:r>
      <w:r>
        <w:t xml:space="preserve">“</w:t>
      </w:r>
      <w:r>
        <w:t xml:space="preserve">South-South Cooperation and the Promise of Experimentalist Governance: The ASEAN Smart Cities Network,</w:t>
      </w:r>
      <w:r>
        <w:t xml:space="preserve">”</w:t>
      </w:r>
      <w:r>
        <w:t xml:space="preserve"> </w:t>
      </w:r>
      <w:r>
        <w:rPr>
          <w:iCs/>
          <w:i/>
        </w:rPr>
        <w:t xml:space="preserve">Politics and Governance</w:t>
      </w:r>
      <w:r>
        <w:t xml:space="preserve"> </w:t>
      </w:r>
      <w:r>
        <w:t xml:space="preserve">10, no. 2 (2022). Keyword:</w:t>
      </w:r>
      <w:r>
        <w:t xml:space="preserve"> </w:t>
      </w:r>
      <w:r>
        <w:t xml:space="preserve">“</w:t>
      </w:r>
      <w:r>
        <w:t xml:space="preserve">Smart Cities Network.</w:t>
      </w:r>
      <w:r>
        <w:t xml:space="preserve">”</w:t>
      </w:r>
    </w:p>
  </w:footnote>
  <w:footnote w:id="45">
    <w:p>
      <w:pPr>
        <w:pStyle w:val="FootnoteText"/>
      </w:pPr>
      <w:r>
        <w:rPr>
          <w:rStyle w:val="FootnoteReference"/>
        </w:rPr>
        <w:footnoteRef/>
      </w:r>
      <w:r>
        <w:t xml:space="preserve"> </w:t>
      </w:r>
      <w:r>
        <w:t xml:space="preserve">PRNewswire,</w:t>
      </w:r>
      <w:r>
        <w:t xml:space="preserve"> </w:t>
      </w:r>
      <w:r>
        <w:t xml:space="preserve">“</w:t>
      </w:r>
      <w:r>
        <w:t xml:space="preserve">A Region’s First — Digitally Twinned Smart Cities in ASEAN,</w:t>
      </w:r>
      <w:r>
        <w:t xml:space="preserve">”</w:t>
      </w:r>
      <w:r>
        <w:t xml:space="preserve"> </w:t>
      </w:r>
      <w:r>
        <w:t xml:space="preserve">11 March 2019.</w:t>
      </w:r>
    </w:p>
  </w:footnote>
  <w:footnote w:id="46">
    <w:p>
      <w:pPr>
        <w:pStyle w:val="FootnoteText"/>
      </w:pPr>
      <w:r>
        <w:rPr>
          <w:rStyle w:val="FootnoteReference"/>
        </w:rPr>
        <w:footnoteRef/>
      </w:r>
      <w:r>
        <w:t xml:space="preserve"> </w:t>
      </w:r>
      <w:r>
        <w:t xml:space="preserve">PRNewswire,</w:t>
      </w:r>
      <w:r>
        <w:t xml:space="preserve"> </w:t>
      </w:r>
      <w:r>
        <w:t xml:space="preserve">“</w:t>
      </w:r>
      <w:r>
        <w:t xml:space="preserve">A Region’s First — Digitally Twinned Smart Cities in ASEAN,</w:t>
      </w:r>
      <w:r>
        <w:t xml:space="preserve">”</w:t>
      </w:r>
      <w:r>
        <w:t xml:space="preserve"> </w:t>
      </w:r>
      <w:r>
        <w:t xml:space="preserve">11 March 2019.</w:t>
      </w:r>
    </w:p>
  </w:footnote>
  <w:footnote w:id="48">
    <w:p>
      <w:pPr>
        <w:pStyle w:val="FootnoteText"/>
      </w:pPr>
      <w:r>
        <w:rPr>
          <w:rStyle w:val="FootnoteReference"/>
        </w:rPr>
        <w:footnoteRef/>
      </w:r>
      <w:r>
        <w:t xml:space="preserve"> </w:t>
      </w:r>
      <w:r>
        <w:t xml:space="preserve">KC Tay, ERIA presentation slides,</w:t>
      </w:r>
      <w:r>
        <w:t xml:space="preserve"> </w:t>
      </w:r>
      <w:r>
        <w:t xml:space="preserve">“</w:t>
      </w:r>
      <w:r>
        <w:t xml:space="preserve">Realizing Smart Cities,</w:t>
      </w:r>
      <w:r>
        <w:t xml:space="preserve">”</w:t>
      </w:r>
      <w:r>
        <w:t xml:space="preserve"> </w:t>
      </w:r>
      <w:r>
        <w:t xml:space="preserve">eria.org/uploads/media/0.-Realizing-Smart-Cities—KC-Tay-PPT.pdf.</w:t>
      </w:r>
    </w:p>
  </w:footnote>
  <w:footnote w:id="51">
    <w:p>
      <w:pPr>
        <w:pStyle w:val="FootnoteText"/>
      </w:pPr>
      <w:r>
        <w:rPr>
          <w:rStyle w:val="FootnoteReference"/>
        </w:rPr>
        <w:footnoteRef/>
      </w:r>
      <w:r>
        <w:t xml:space="preserve"> </w:t>
      </w:r>
      <w:r>
        <w:t xml:space="preserve">Smart City Master and Action Plan (MAP) Workshop slides, July 2021, sci-japan.or.jp/vc-files/member/secure/speakers/20210915.pdf.</w:t>
      </w:r>
    </w:p>
  </w:footnote>
  <w:footnote w:id="53">
    <w:p>
      <w:pPr>
        <w:pStyle w:val="FootnoteText"/>
      </w:pPr>
      <w:r>
        <w:rPr>
          <w:rStyle w:val="FootnoteReference"/>
        </w:rPr>
        <w:footnoteRef/>
      </w:r>
      <w:r>
        <w:t xml:space="preserve"> </w:t>
      </w:r>
      <w:r>
        <w:t xml:space="preserve">Multiple speaker profiles confirm dual roles: UK Smart Cities Mission to Malaysia (2022), Pro Integration Future Asia (2026).</w:t>
      </w:r>
    </w:p>
  </w:footnote>
  <w:footnote w:id="54">
    <w:p>
      <w:pPr>
        <w:pStyle w:val="FootnoteText"/>
      </w:pPr>
      <w:r>
        <w:rPr>
          <w:rStyle w:val="FootnoteReference"/>
        </w:rPr>
        <w:footnoteRef/>
      </w:r>
      <w:r>
        <w:t xml:space="preserve"> </w:t>
      </w:r>
      <w:r>
        <w:t xml:space="preserve">SCN-related correspondence uses KC.TAY@SmartCitiesCouncil.com, confirmed in workshop materials and event listings.</w:t>
      </w:r>
    </w:p>
  </w:footnote>
  <w:footnote w:id="56">
    <w:p>
      <w:pPr>
        <w:pStyle w:val="FootnoteText"/>
      </w:pPr>
      <w:r>
        <w:rPr>
          <w:rStyle w:val="FootnoteReference"/>
        </w:rPr>
        <w:footnoteRef/>
      </w:r>
      <w:r>
        <w:t xml:space="preserve"> </w:t>
      </w:r>
      <w:r>
        <w:t xml:space="preserve">KC Tay, ERIA presentation slides,</w:t>
      </w:r>
      <w:r>
        <w:t xml:space="preserve"> </w:t>
      </w:r>
      <w:r>
        <w:t xml:space="preserve">“</w:t>
      </w:r>
      <w:r>
        <w:t xml:space="preserve">Realizing Smart Cities,</w:t>
      </w:r>
      <w:r>
        <w:t xml:space="preserve">”</w:t>
      </w:r>
      <w:r>
        <w:t xml:space="preserve"> </w:t>
      </w:r>
      <w:r>
        <w:t xml:space="preserve">eria.org/uploads/media/0.-Realizing-Smart-Cities—KC-Tay-PPT.pdf.</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2026-06-15T05:15:11Z</dcterms:created>
  <dcterms:modified xsi:type="dcterms:W3CDTF">2026-06-15T05:15:11Z</dcterms:modified>
</cp:coreProperties>
</file>

<file path=docProps/custom.xml><?xml version="1.0" encoding="utf-8"?>
<Properties xmlns="http://schemas.openxmlformats.org/officeDocument/2006/custom-properties" xmlns:vt="http://schemas.openxmlformats.org/officeDocument/2006/docPropsVTypes"/>
</file>