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0" w:name="Xabafd6448ce94d86fe505c74c4bbceb7e8d2832"/>
    <w:p>
      <w:pPr>
        <w:pStyle w:val="Heading1"/>
      </w:pPr>
      <w:r>
        <w:t xml:space="preserve">ASCN Performance Review: Comprehensive Website Walkthrough &amp; 2.0 Expansion Plan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ASEAN Smart Cities Network (ASCN) Performance Review</w:t>
      </w:r>
      <w:r>
        <w:br/>
      </w:r>
      <w:r>
        <w:rPr>
          <w:bCs/>
          <w:b/>
        </w:rPr>
        <w:t xml:space="preserve">URL:</w:t>
      </w:r>
      <w:r>
        <w:t xml:space="preserve"> </w:t>
      </w:r>
      <w:r>
        <w:t xml:space="preserve">https://ascn-smart-cities-network.pages.dev/</w:t>
      </w:r>
      <w:r>
        <w:br/>
      </w:r>
      <w:r>
        <w:rPr>
          <w:bCs/>
          <w:b/>
        </w:rPr>
        <w:t xml:space="preserve">Built by:</w:t>
      </w:r>
      <w:r>
        <w:t xml:space="preserve"> </w:t>
      </w:r>
      <w:r>
        <w:t xml:space="preserve">Non Arkaraprasertkul, Senior Expert, Smart City Promotion, DEPA Thailand</w:t>
      </w:r>
      <w:r>
        <w:br/>
      </w:r>
      <w:r>
        <w:rPr>
          <w:bCs/>
          <w:b/>
        </w:rPr>
        <w:t xml:space="preserve">Assessment Date:</w:t>
      </w:r>
      <w:r>
        <w:t xml:space="preserve"> </w:t>
      </w:r>
      <w:r>
        <w:t xml:space="preserve">June 2026</w:t>
      </w:r>
      <w:r>
        <w:br/>
      </w:r>
      <w:r>
        <w:rPr>
          <w:bCs/>
          <w:b/>
        </w:rPr>
        <w:t xml:space="preserve">Report Type:</w:t>
      </w:r>
      <w:r>
        <w:t xml:space="preserve"> </w:t>
      </w:r>
      <w:r>
        <w:t xml:space="preserve">Independent expert review and expansion blueprint</w:t>
      </w:r>
    </w:p>
    <w:p>
      <w:r>
        <w:pict>
          <v:rect style="width:0;height:1.5pt" o:hralign="center" o:hrstd="t" o:hr="t"/>
        </w:pict>
      </w:r>
    </w:p>
    <w:bookmarkStart w:id="54" w:name="Xcb8f0569dfabd2e21cc83fafe8935ac9a8901b4"/>
    <w:p>
      <w:pPr>
        <w:pStyle w:val="Heading2"/>
      </w:pPr>
      <w:r>
        <w:t xml:space="preserve">PART 1: WALKTHROUGH — WHAT WORKS &amp; WHAT DOESN’T</w:t>
      </w:r>
    </w:p>
    <w:bookmarkStart w:id="24" w:name="navigation-structure"/>
    <w:p>
      <w:pPr>
        <w:pStyle w:val="Heading3"/>
      </w:pPr>
      <w:r>
        <w:t xml:space="preserve">1. Navigation &amp; Structure</w:t>
      </w:r>
    </w:p>
    <w:bookmarkStart w:id="20" w:name="primary-navigation"/>
    <w:p>
      <w:pPr>
        <w:pStyle w:val="Heading4"/>
      </w:pPr>
      <w:r>
        <w:t xml:space="preserve">1.1 Primary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stats, evidence base, focus area bars, mission, essay excerpt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2018-2026, membership growth, chair/shepherd table, ASCAP forward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Leaflet map, 38 city cards, search, country filter, Map/Night toggle, detail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table (121 rows), country/focus filters, CSV export, stats,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explanation, 3 outcomes, 2 systems, 2 enablers, 6 focus areas, governance, ASCAP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partners grid, multilateral partners, financing landscape, programme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map, PDF download, NR list by country, alumni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momentum, focus area shifts, country participation, specialization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 downloads, official documents, knowledge library (62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academic themes, FAQ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Network at Seven</w:t>
            </w:r>
            <w:r>
              <w:t xml:space="preserve">”</w:t>
            </w:r>
            <w:r>
              <w:t xml:space="preserve"> </w:t>
            </w:r>
            <w:r>
              <w:t xml:space="preserve">long-form essay, author bio, 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Findings:</w:t>
      </w:r>
      <w:r>
        <w:t xml:space="preserve"> </w:t>
      </w:r>
      <w:r>
        <w:t xml:space="preserve">- All 11 navigation items work correctly via anchor links to hash URLs (</w:t>
      </w:r>
      <w:r>
        <w:rPr>
          <w:rStyle w:val="VerbatimChar"/>
        </w:rPr>
        <w:t xml:space="preserve">#section</w:t>
      </w:r>
      <w:r>
        <w:t xml:space="preserve">)</w:t>
      </w:r>
      <w:r>
        <w:t xml:space="preserve"> </w:t>
      </w:r>
      <w:r>
        <w:t xml:space="preserve">- Active section is highlighted in the nav bar with an underline indicator</w:t>
      </w:r>
      <w:r>
        <w:t xml:space="preserve"> </w:t>
      </w:r>
      <w:r>
        <w:t xml:space="preserve">- Nav is fixed/accessible during scroll</w:t>
      </w:r>
      <w:r>
        <w:t xml:space="preserve"> </w:t>
      </w:r>
      <w:r>
        <w:t xml:space="preserve">- The Library section’s URL anchor is</w:t>
      </w:r>
      <w:r>
        <w:t xml:space="preserve"> </w:t>
      </w:r>
      <w:r>
        <w:rPr>
          <w:rStyle w:val="VerbatimChar"/>
        </w:rPr>
        <w:t xml:space="preserve">#data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#library</w:t>
      </w:r>
      <w:r>
        <w:t xml:space="preserve">), which is slightly inconsistent with the nav label but functional</w:t>
      </w:r>
      <w:r>
        <w:t xml:space="preserve"> </w:t>
      </w:r>
      <w:r>
        <w:t xml:space="preserve">- No secondary navigation (subsection anchors, table of contents) within long sections like Essay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back to top</w:t>
      </w:r>
      <w:r>
        <w:t xml:space="preserve">”</w:t>
      </w:r>
      <w:r>
        <w:t xml:space="preserve"> </w:t>
      </w:r>
      <w:r>
        <w:t xml:space="preserve">button on long scrolling pages</w:t>
      </w:r>
    </w:p>
    <w:bookmarkEnd w:id="20"/>
    <w:bookmarkStart w:id="21" w:name="scroll-behavior-section-transitions"/>
    <w:p>
      <w:pPr>
        <w:pStyle w:val="Heading4"/>
      </w:pPr>
      <w:r>
        <w:t xml:space="preserve">1.2 Scroll Behavior &amp; Section Transitions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Smooth scrolling</w:t>
      </w:r>
      <w:r>
        <w:t xml:space="preserve"> </w:t>
      </w:r>
      <w:r>
        <w:t xml:space="preserve">is not present — clicking a nav item jumps directly to the anchor position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scroll progress indicator</w:t>
      </w:r>
      <w:r>
        <w:t xml:space="preserve"> </w:t>
      </w:r>
      <w:r>
        <w:t xml:space="preserve">exists, which would help on long sections (Essay, Research)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transitions</w:t>
      </w:r>
      <w:r>
        <w:t xml:space="preserve"> </w:t>
      </w:r>
      <w:r>
        <w:t xml:space="preserve">are abrupt with no visual divider between major sections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updates</w:t>
      </w:r>
      <w:r>
        <w:t xml:space="preserve"> </w:t>
      </w:r>
      <w:r>
        <w:t xml:space="preserve">correctly reflect the active section via hash changes</w:t>
      </w:r>
    </w:p>
    <w:bookmarkEnd w:id="21"/>
    <w:bookmarkStart w:id="22" w:name="mobile-responsiveness-inferred"/>
    <w:p>
      <w:pPr>
        <w:pStyle w:val="Heading4"/>
      </w:pPr>
      <w:r>
        <w:t xml:space="preserve">1.3 Mobile Responsiveness (Inferred)</w:t>
      </w:r>
    </w:p>
    <w:p>
      <w:pPr>
        <w:numPr>
          <w:ilvl w:val="0"/>
          <w:numId w:val="1002"/>
        </w:numPr>
        <w:pStyle w:val="Compact"/>
      </w:pPr>
      <w:r>
        <w:t xml:space="preserve">The layout uses a responsive grid pattern visible in CSS: city cards stack in columns, charts resize, and the map takes full width on smaller viewports</w:t>
      </w:r>
    </w:p>
    <w:p>
      <w:pPr>
        <w:numPr>
          <w:ilvl w:val="0"/>
          <w:numId w:val="1002"/>
        </w:numPr>
        <w:pStyle w:val="Compact"/>
      </w:pPr>
      <w:r>
        <w:t xml:space="preserve">The nav bar likely collapses to a hamburger menu on mobile (standard practice, though not directly tested)</w:t>
      </w:r>
    </w:p>
    <w:p>
      <w:pPr>
        <w:numPr>
          <w:ilvl w:val="0"/>
          <w:numId w:val="1002"/>
        </w:numPr>
        <w:pStyle w:val="Compact"/>
      </w:pPr>
      <w:r>
        <w:t xml:space="preserve">City detail panel likely stacks below the map on mobile</w:t>
      </w:r>
    </w:p>
    <w:p>
      <w:pPr>
        <w:numPr>
          <w:ilvl w:val="0"/>
          <w:numId w:val="1002"/>
        </w:numPr>
        <w:pStyle w:val="Compact"/>
      </w:pPr>
      <w:r>
        <w:t xml:space="preserve">Data tables (Projects, Contacts alumni) likely scroll horizontally on narrow screens</w:t>
      </w:r>
    </w:p>
    <w:bookmarkEnd w:id="22"/>
    <w:bookmarkStart w:id="23" w:name="footer-consistency"/>
    <w:p>
      <w:pPr>
        <w:pStyle w:val="Heading4"/>
      </w:pPr>
      <w:r>
        <w:t xml:space="preserve">1.4 Footer Consistency</w:t>
      </w:r>
    </w:p>
    <w:p>
      <w:pPr>
        <w:numPr>
          <w:ilvl w:val="0"/>
          <w:numId w:val="1003"/>
        </w:numPr>
        <w:pStyle w:val="Compact"/>
      </w:pPr>
      <w:r>
        <w:t xml:space="preserve">Identical footer on all sections:</w:t>
      </w:r>
      <w:r>
        <w:t xml:space="preserve"> </w:t>
      </w:r>
      <w:r>
        <w:t xml:space="preserve">“</w:t>
      </w:r>
      <w:r>
        <w:t xml:space="preserve">Developed by DEPA and Smart City Thailand Office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Includes data provenance disclaimer:</w:t>
      </w:r>
      <w:r>
        <w:t xml:space="preserve"> </w:t>
      </w:r>
      <w:r>
        <w:t xml:space="preserve">“</w:t>
      </w:r>
      <w:r>
        <w:t xml:space="preserve">Built from ASEAN source documents. Public information only. Not an official ASEAN publication.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Consistent and appropriate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visual-design"/>
    <w:p>
      <w:pPr>
        <w:pStyle w:val="Heading3"/>
      </w:pPr>
      <w:r>
        <w:t xml:space="preserve">2. Visual Design</w:t>
      </w:r>
    </w:p>
    <w:bookmarkStart w:id="25" w:name="color-palette"/>
    <w:p>
      <w:pPr>
        <w:pStyle w:val="Heading4"/>
      </w:pPr>
      <w:r>
        <w:t xml:space="preserve">2.1 Color Palette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(#FFFFFF)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navy/charcoal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readability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Accent/highlight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gold/amber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Distinctive, ASEAN-appropriate warmth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per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semantic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by join year (blue/gold/red/dark)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visual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Blue, gold, red 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Cohesive with overall palette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The color palette is sophisticated and distinctive. The gold/amber accent gives the platform a warmth that differentiates it from typical government dashboards. The semantic color coding (join years, focus areas) is consistent and intuitive.</w:t>
      </w:r>
    </w:p>
    <w:bookmarkEnd w:id="25"/>
    <w:bookmarkStart w:id="26" w:name="typography"/>
    <w:p>
      <w:pPr>
        <w:pStyle w:val="Heading4"/>
      </w:pPr>
      <w:r>
        <w:t xml:space="preserve">2.2 Typography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Large bold headings</w:t>
      </w:r>
      <w:r>
        <w:t xml:space="preserve"> </w:t>
      </w:r>
      <w:r>
        <w:t xml:space="preserve">with excellent hierarchy — section titles are oversized (48px+ equivalent), subsection headers are clearly differentiated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Body text</w:t>
      </w:r>
      <w:r>
        <w:t xml:space="preserve"> </w:t>
      </w:r>
      <w:r>
        <w:t xml:space="preserve">is clean, readable, well-line-spaced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callouts</w:t>
      </w:r>
      <w:r>
        <w:t xml:space="preserve"> </w:t>
      </w:r>
      <w:r>
        <w:t xml:space="preserve">(38 cities, 134 projects) use oversized numerals with small-caps labels — highly scannable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Academic citations</w:t>
      </w:r>
      <w:r>
        <w:t xml:space="preserve"> </w:t>
      </w:r>
      <w:r>
        <w:t xml:space="preserve">in Research section use proper formatting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Monospace/code styling</w:t>
      </w:r>
      <w:r>
        <w:t xml:space="preserve"> </w:t>
      </w:r>
      <w:r>
        <w:t xml:space="preserve">is absent where it might help (e.g., data table headers, CSV metadata)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Typography is a major strength. The visual hierarchy is clear and the platform feels premium. The oversized data numerals are a signature design element.</w:t>
      </w:r>
    </w:p>
    <w:bookmarkEnd w:id="26"/>
    <w:bookmarkStart w:id="27" w:name="spacing-layout"/>
    <w:p>
      <w:pPr>
        <w:pStyle w:val="Heading4"/>
      </w:pPr>
      <w:r>
        <w:t xml:space="preserve">2.3 Spacing &amp; Layout</w:t>
      </w:r>
    </w:p>
    <w:p>
      <w:pPr>
        <w:numPr>
          <w:ilvl w:val="0"/>
          <w:numId w:val="1005"/>
        </w:numPr>
        <w:pStyle w:val="Compact"/>
      </w:pPr>
      <w:r>
        <w:t xml:space="preserve">Generous whitespace between sections — content breathes</w:t>
      </w:r>
    </w:p>
    <w:p>
      <w:pPr>
        <w:numPr>
          <w:ilvl w:val="0"/>
          <w:numId w:val="1005"/>
        </w:numPr>
        <w:pStyle w:val="Compact"/>
      </w:pPr>
      <w:r>
        <w:t xml:space="preserve">Two-column layouts on desktop (content + sidebar/map) work well</w:t>
      </w:r>
    </w:p>
    <w:p>
      <w:pPr>
        <w:numPr>
          <w:ilvl w:val="0"/>
          <w:numId w:val="1005"/>
        </w:numPr>
        <w:pStyle w:val="Compact"/>
      </w:pPr>
      <w:r>
        <w:t xml:space="preserve">Section padding is consistent</w:t>
      </w:r>
    </w:p>
    <w:p>
      <w:pPr>
        <w:numPr>
          <w:ilvl w:val="0"/>
          <w:numId w:val="1005"/>
        </w:numPr>
        <w:pStyle w:val="Compact"/>
      </w:pPr>
      <w:r>
        <w:t xml:space="preserve">Card layouts (cities, partners) use uniform grid spacing</w:t>
      </w:r>
    </w:p>
    <w:p>
      <w:pPr>
        <w:numPr>
          <w:ilvl w:val="0"/>
          <w:numId w:val="1005"/>
        </w:numPr>
        <w:pStyle w:val="Compact"/>
      </w:pPr>
      <w:r>
        <w:t xml:space="preserve">The gap between content and sidebar could be wider on large screens</w:t>
      </w:r>
    </w:p>
    <w:bookmarkEnd w:id="27"/>
    <w:bookmarkStart w:id="28" w:name="data-visualization-quality"/>
    <w:p>
      <w:pPr>
        <w:pStyle w:val="Heading4"/>
      </w:pPr>
      <w:r>
        <w:t xml:space="preserve">2.4 Data Visualization Quality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 bars (Overview)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%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clean, color-coded, scannable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growth (History)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timeline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clear progression 26→38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 shifts (Insights)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line charts (4 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sparklines with clear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participation (Insights)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comparison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baseline vs current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specialization (Insights)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quick pattern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status (Projects)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— could use color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cities by project load (Projects)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ranked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updates dynamically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 maps (Cities, Contacts)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geographic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color-coded markers, zoom, pan</w:t>
            </w:r>
          </w:p>
        </w:tc>
      </w:tr>
    </w:tbl>
    <w:bookmarkEnd w:id="28"/>
    <w:bookmarkStart w:id="29" w:name="photography-imagery"/>
    <w:p>
      <w:pPr>
        <w:pStyle w:val="Heading4"/>
      </w:pPr>
      <w:r>
        <w:t xml:space="preserve">2.5 Photography &amp; Imagery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ASCN 8 Opening Ceremony photo</w:t>
      </w:r>
      <w:r>
        <w:t xml:space="preserve"> </w:t>
      </w:r>
      <w:r>
        <w:t xml:space="preserve">(Overview) — high-quality, contextual, properly captioned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City photos</w:t>
      </w:r>
      <w:r>
        <w:t xml:space="preserve"> </w:t>
      </w:r>
      <w:r>
        <w:t xml:space="preserve">in detail panels — not present; this is a notable gap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Partner programme network images</w:t>
      </w:r>
      <w:r>
        <w:t xml:space="preserve"> </w:t>
      </w:r>
      <w:r>
        <w:t xml:space="preserve">— not present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Author photo</w:t>
      </w:r>
      <w:r>
        <w:t xml:space="preserve"> </w:t>
      </w:r>
      <w:r>
        <w:t xml:space="preserve">(Essay) — professional headshot, well-cropped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Event photos</w:t>
      </w:r>
      <w:r>
        <w:t xml:space="preserve"> </w:t>
      </w:r>
      <w:r>
        <w:t xml:space="preserve">— only one (GITEX AI Asia in author bio)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The platform is under-utilizing photography. City detail panels, partner pages, and the History section would benefit enormously from project photos, cityscapes, and event imagery.</w:t>
      </w:r>
    </w:p>
    <w:bookmarkEnd w:id="29"/>
    <w:bookmarkStart w:id="30" w:name="consistency"/>
    <w:p>
      <w:pPr>
        <w:pStyle w:val="Heading4"/>
      </w:pPr>
      <w:r>
        <w:t xml:space="preserve">2.6 Consistency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High consistency</w:t>
      </w:r>
      <w:r>
        <w:t xml:space="preserve"> </w:t>
      </w:r>
      <w:r>
        <w:t xml:space="preserve">across all 11 sections in terms of typography, color, spacing, and component design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Footer</w:t>
      </w:r>
      <w:r>
        <w:t xml:space="preserve"> </w:t>
      </w:r>
      <w:r>
        <w:t xml:space="preserve">is identical everywhere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Nav bar</w:t>
      </w:r>
      <w:r>
        <w:t xml:space="preserve"> </w:t>
      </w:r>
      <w:r>
        <w:t xml:space="preserve">behavior is uniform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callout styling</w:t>
      </w:r>
      <w:r>
        <w:t xml:space="preserve"> </w:t>
      </w:r>
      <w:r>
        <w:t xml:space="preserve">(big number + small label) is reused throughout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Button styling</w:t>
      </w:r>
      <w:r>
        <w:t xml:space="preserve"> </w:t>
      </w:r>
      <w:r>
        <w:t xml:space="preserve">is consistent (outlined/solid patterns)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interactive-features"/>
    <w:p>
      <w:pPr>
        <w:pStyle w:val="Heading3"/>
      </w:pPr>
      <w:r>
        <w:t xml:space="preserve">3. Interactive Features</w:t>
      </w:r>
    </w:p>
    <w:bookmarkStart w:id="32" w:name="leaflet-maps-cities-contacts"/>
    <w:p>
      <w:pPr>
        <w:pStyle w:val="Heading4"/>
      </w:pPr>
      <w:r>
        <w:t xml:space="preserve">3.1 Leaflet Maps (Cities &amp; Contacts)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Pan/drag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Color-coded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(by join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(by join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Click-to-select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Map/Night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detail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(dynamic 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(NR + CSCO 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Maps are a core strength. The Map/Night toggle is a nice UX touch. The city detail panel updates smoothly when selecting different cities. Map tiles load quickly.</w:t>
      </w:r>
    </w:p>
    <w:bookmarkEnd w:id="32"/>
    <w:bookmarkStart w:id="33" w:name="search-filter-functionality"/>
    <w:p>
      <w:pPr>
        <w:pStyle w:val="Heading4"/>
      </w:pPr>
      <w:r>
        <w:t xml:space="preserve">3.2 Search &amp; Filter Functionality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filter of city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— filters cards dynamically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filter (dropdown)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cities by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filter of project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— filters rows and updates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filter (dropdown)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by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 filter (dropdown)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by 6 focus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Alumni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36 former officials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category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Tabs: All/Official/Academic/Reports/Research/Data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Search and filter systems are robust and well-implemented. The Projects section’s dynamic chart updates when filters are applied is a particularly strong feature.</w:t>
      </w:r>
    </w:p>
    <w:bookmarkEnd w:id="33"/>
    <w:bookmarkStart w:id="34" w:name="csvjsonpdf-downloads"/>
    <w:p>
      <w:pPr>
        <w:pStyle w:val="Heading4"/>
      </w:pPr>
      <w:r>
        <w:t xml:space="preserve">3.3 CSV/JSON/PDF Downloads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evidence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(378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profiles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(38 cities)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dataset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contact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(303 KB, Jan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M&amp;E Reports 2022-2025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(1.5-3.1 MB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(682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(166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SCAPs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(2.0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Guidebook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(11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Chairmanship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(5.5-13.9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(filtered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Download infrastructure is excellent. All major source documents are provided. Open data philosophy is fully implemented.</w:t>
      </w:r>
    </w:p>
    <w:bookmarkEnd w:id="34"/>
    <w:bookmarkStart w:id="35" w:name="external-links"/>
    <w:p>
      <w:pPr>
        <w:pStyle w:val="Heading4"/>
      </w:pPr>
      <w:r>
        <w:t xml:space="preserve">3.4 External Links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ascn.depa.or.th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ASCN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data.bangkok.go.th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 open data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Liveability index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SCITI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Thailand smart city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smartcitytoolkit.asean.org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asean.org/body/asean-smart-cities-network/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ASEAN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ASEAN Magazine 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Ministry websites (Contacts)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government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SmartJAMP, K-City Network, USASCP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programme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</w:tbl>
    <w:bookmarkEnd w:id="35"/>
    <w:bookmarkStart w:id="36" w:name="expandable-faq-research-section"/>
    <w:p>
      <w:pPr>
        <w:pStyle w:val="Heading4"/>
      </w:pPr>
      <w:r>
        <w:t xml:space="preserve">3.5 Expandable FAQ (Research Section)</w:t>
      </w:r>
    </w:p>
    <w:p>
      <w:pPr>
        <w:numPr>
          <w:ilvl w:val="0"/>
          <w:numId w:val="1008"/>
        </w:numPr>
        <w:pStyle w:val="Compact"/>
      </w:pPr>
      <w:r>
        <w:t xml:space="preserve">FAQ items use HTML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/</w:t>
      </w:r>
      <w:r>
        <w:rPr>
          <w:rStyle w:val="VerbatimChar"/>
        </w:rPr>
        <w:t xml:space="preserve">&lt;summary&gt;</w:t>
      </w:r>
      <w:r>
        <w:t xml:space="preserve"> </w:t>
      </w:r>
      <w:r>
        <w:t xml:space="preserve">elements</w:t>
      </w:r>
    </w:p>
    <w:p>
      <w:pPr>
        <w:numPr>
          <w:ilvl w:val="0"/>
          <w:numId w:val="1008"/>
        </w:numPr>
        <w:pStyle w:val="Compact"/>
      </w:pPr>
      <w:r>
        <w:t xml:space="preserve">Questions:</w:t>
      </w:r>
      <w:r>
        <w:t xml:space="preserve"> </w:t>
      </w:r>
      <w:r>
        <w:t xml:space="preserve">“</w:t>
      </w:r>
      <w:r>
        <w:t xml:space="preserve">What is ASCN?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the difference between a</w:t>
      </w:r>
      <w:r>
        <w:t xml:space="preserve"> </w:t>
      </w:r>
      <w:r>
        <w:t xml:space="preserve">‘</w:t>
      </w:r>
      <w:r>
        <w:t xml:space="preserve">Chair</w:t>
      </w:r>
      <w:r>
        <w:t xml:space="preserve">’</w:t>
      </w:r>
      <w:r>
        <w:t xml:space="preserve"> </w:t>
      </w:r>
      <w:r>
        <w:t xml:space="preserve">and a</w:t>
      </w:r>
      <w:r>
        <w:t xml:space="preserve"> </w:t>
      </w:r>
      <w:r>
        <w:t xml:space="preserve">‘</w:t>
      </w:r>
      <w:r>
        <w:t xml:space="preserve">Shepherd</w:t>
      </w:r>
      <w:r>
        <w:t xml:space="preserve">’</w:t>
      </w:r>
      <w:r>
        <w:t xml:space="preserve">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a Smart City Action Plan (SCAP)?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Has ASCN produced measurable results?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Expand/collapse works natively</w:t>
      </w:r>
    </w:p>
    <w:p>
      <w:pPr>
        <w:numPr>
          <w:ilvl w:val="0"/>
          <w:numId w:val="1008"/>
        </w:numPr>
        <w:pStyle w:val="Compact"/>
      </w:pPr>
      <w:r>
        <w:t xml:space="preserve">Clean styling with subtle animation</w:t>
      </w:r>
    </w:p>
    <w:bookmarkEnd w:id="36"/>
    <w:bookmarkStart w:id="37" w:name="author-bio-essay-section"/>
    <w:p>
      <w:pPr>
        <w:pStyle w:val="Heading4"/>
      </w:pPr>
      <w:r>
        <w:t xml:space="preserve">3.6 Author Bio (Essay Section)</w:t>
      </w:r>
    </w:p>
    <w:p>
      <w:pPr>
        <w:numPr>
          <w:ilvl w:val="0"/>
          <w:numId w:val="1009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/</w:t>
      </w:r>
      <w:r>
        <w:rPr>
          <w:rStyle w:val="VerbatimChar"/>
        </w:rPr>
        <w:t xml:space="preserve">&lt;summary&gt;</w:t>
      </w:r>
      <w:r>
        <w:t xml:space="preserve"> </w:t>
      </w:r>
      <w:r>
        <w:t xml:space="preserve">pattern</w:t>
      </w:r>
    </w:p>
    <w:p>
      <w:pPr>
        <w:numPr>
          <w:ilvl w:val="0"/>
          <w:numId w:val="1009"/>
        </w:numPr>
        <w:pStyle w:val="Compact"/>
      </w:pPr>
      <w:r>
        <w:t xml:space="preserve">Expands to show full author credentials, photo, bio text</w:t>
      </w:r>
    </w:p>
    <w:p>
      <w:pPr>
        <w:numPr>
          <w:ilvl w:val="0"/>
          <w:numId w:val="1009"/>
        </w:numPr>
        <w:pStyle w:val="Compact"/>
      </w:pPr>
      <w:r>
        <w:t xml:space="preserve">Includes conference speaking credits and institutional affiliations</w:t>
      </w:r>
    </w:p>
    <w:p>
      <w:pPr>
        <w:numPr>
          <w:ilvl w:val="0"/>
          <w:numId w:val="1009"/>
        </w:numPr>
        <w:pStyle w:val="Compact"/>
      </w:pPr>
      <w:r>
        <w:t xml:space="preserve">Works correctly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ata-quality-completeness"/>
    <w:p>
      <w:pPr>
        <w:pStyle w:val="Heading3"/>
      </w:pPr>
      <w:r>
        <w:t xml:space="preserve">4. Data Quality &amp; Completeness</w:t>
      </w:r>
    </w:p>
    <w:bookmarkStart w:id="39" w:name="statistical-accuracy"/>
    <w:p>
      <w:pPr>
        <w:pStyle w:val="Heading4"/>
      </w:pPr>
      <w:r>
        <w:t xml:space="preserve">4.1 Statistical Accuracy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— 26 founding + 12 added across 2023-2026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— 10 AMS + Timor-Leste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per 2025 M&amp;E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134 total, 18 completed, 8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~13.4% completion rate, up from 2.6% in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Infra 25%, Civic 24%, Quality Env 19%, Safety 14%, Industry 12%, Health 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M&amp;E appendix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26→29→31→35→38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across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Dialogue partner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JPY 250B, Australia AUD 20M, EU EUR 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with official announcements</w:t>
            </w:r>
          </w:p>
        </w:tc>
      </w:tr>
    </w:tbl>
    <w:bookmarkEnd w:id="39"/>
    <w:bookmarkStart w:id="40" w:name="coverage-of-38-cities"/>
    <w:p>
      <w:pPr>
        <w:pStyle w:val="Heading4"/>
      </w:pPr>
      <w:r>
        <w:t xml:space="preserve">4.2 Coverage of 38 Cities</w:t>
      </w:r>
    </w:p>
    <w:p>
      <w:pPr>
        <w:pStyle w:val="FirstParagraph"/>
      </w:pPr>
      <w:r>
        <w:t xml:space="preserve">All 38 cities are represented in:</w:t>
      </w:r>
      <w:r>
        <w:t xml:space="preserve"> </w:t>
      </w:r>
      <w:r>
        <w:t xml:space="preserve">- City profiles dataset (CSV)</w:t>
      </w:r>
      <w:r>
        <w:t xml:space="preserve"> </w:t>
      </w:r>
      <w:r>
        <w:t xml:space="preserve">- Interactive map with markers</w:t>
      </w:r>
      <w:r>
        <w:t xml:space="preserve"> </w:t>
      </w:r>
      <w:r>
        <w:t xml:space="preserve">- City cards with population and join year</w:t>
      </w:r>
      <w:r>
        <w:t xml:space="preserve"> </w:t>
      </w:r>
      <w:r>
        <w:t xml:space="preserve">- 36 cities have documented projects in the evidence table</w:t>
      </w:r>
    </w:p>
    <w:p>
      <w:pPr>
        <w:pStyle w:val="BodyText"/>
      </w:pPr>
      <w:r>
        <w:rPr>
          <w:bCs/>
          <w:b/>
        </w:rPr>
        <w:t xml:space="preserve">Cities with limited data:</w:t>
      </w:r>
      <w:r>
        <w:t xml:space="preserve"> </w:t>
      </w:r>
      <w:r>
        <w:t xml:space="preserve">Some newer cities (Dili, Timor-Leste; Cauayan City, Philippines) have minimal project documentation, which is expected given recent membership.</w:t>
      </w:r>
    </w:p>
    <w:bookmarkEnd w:id="40"/>
    <w:bookmarkStart w:id="41" w:name="currency-of-information"/>
    <w:p>
      <w:pPr>
        <w:pStyle w:val="Heading4"/>
      </w:pPr>
      <w:r>
        <w:t xml:space="preserve">4.3 Currency of Information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Latest M&amp;E cycle:</w:t>
      </w:r>
      <w:r>
        <w:t xml:space="preserve"> </w:t>
      </w:r>
      <w:r>
        <w:t xml:space="preserve">2025 (adopted September 2025, published platform shows 134 projects)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Contact list:</w:t>
      </w:r>
      <w:r>
        <w:t xml:space="preserve"> </w:t>
      </w:r>
      <w:r>
        <w:t xml:space="preserve">January 2026 PDF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ASCAP 2026-2035:</w:t>
      </w:r>
      <w:r>
        <w:t xml:space="preserve"> </w:t>
      </w:r>
      <w:r>
        <w:t xml:space="preserve">Referenced as adopted September 2025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Timor-Leste/Dili:</w:t>
      </w:r>
      <w:r>
        <w:t xml:space="preserve"> </w:t>
      </w:r>
      <w:r>
        <w:t xml:space="preserve">Referenced as joined 2025/2026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Indonesia Shepherd:</w:t>
      </w:r>
      <w:r>
        <w:t xml:space="preserve"> </w:t>
      </w:r>
      <w:r>
        <w:t xml:space="preserve">2023-2027 term noted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Philippines Chair:</w:t>
      </w:r>
      <w:r>
        <w:t xml:space="preserve"> </w:t>
      </w:r>
      <w:r>
        <w:t xml:space="preserve">2026 noted as current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Data is current as of early 2026. The platform is well-maintained.</w:t>
      </w:r>
    </w:p>
    <w:bookmarkEnd w:id="41"/>
    <w:bookmarkStart w:id="42" w:name="source-attribution"/>
    <w:p>
      <w:pPr>
        <w:pStyle w:val="Heading4"/>
      </w:pPr>
      <w:r>
        <w:t xml:space="preserve">4.4 Source Attribution</w:t>
      </w:r>
    </w:p>
    <w:p>
      <w:pPr>
        <w:numPr>
          <w:ilvl w:val="0"/>
          <w:numId w:val="1011"/>
        </w:numPr>
        <w:pStyle w:val="Compact"/>
      </w:pPr>
      <w:r>
        <w:t xml:space="preserve">Every data point traces to an official ASEAN source document</w:t>
      </w:r>
    </w:p>
    <w:p>
      <w:pPr>
        <w:numPr>
          <w:ilvl w:val="0"/>
          <w:numId w:val="1011"/>
        </w:numPr>
        <w:pStyle w:val="Compact"/>
      </w:pPr>
      <w:r>
        <w:t xml:space="preserve">Library section provides all 62 source materials with descriptions</w:t>
      </w:r>
    </w:p>
    <w:p>
      <w:pPr>
        <w:numPr>
          <w:ilvl w:val="0"/>
          <w:numId w:val="1011"/>
        </w:numPr>
        <w:pStyle w:val="Compact"/>
      </w:pPr>
      <w:r>
        <w:t xml:space="preserve">Evidence base is transparent: 4 M&amp;E reports, 378 appendix rows, 11 source documents</w:t>
      </w:r>
    </w:p>
    <w:p>
      <w:pPr>
        <w:numPr>
          <w:ilvl w:val="0"/>
          <w:numId w:val="1011"/>
        </w:numPr>
        <w:pStyle w:val="Compact"/>
      </w:pPr>
      <w:r>
        <w:t xml:space="preserve">Academic citations in Research section are properly formatted with author-year references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ntent-quality"/>
    <w:p>
      <w:pPr>
        <w:pStyle w:val="Heading3"/>
      </w:pPr>
      <w:r>
        <w:t xml:space="preserve">5. Content Quality</w:t>
      </w:r>
    </w:p>
    <w:bookmarkStart w:id="44" w:name="writing-quality"/>
    <w:p>
      <w:pPr>
        <w:pStyle w:val="Heading4"/>
      </w:pPr>
      <w:r>
        <w:t xml:space="preserve">5.1 Writing Quality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Clear, precise prose</w:t>
      </w:r>
      <w:r>
        <w:t xml:space="preserve"> </w:t>
      </w:r>
      <w:r>
        <w:t xml:space="preserve">throughout — no jargon without explanation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Strong editorial voice</w:t>
      </w:r>
      <w:r>
        <w:t xml:space="preserve"> </w:t>
      </w:r>
      <w:r>
        <w:t xml:space="preserve">— the platform has a point of view (</w:t>
      </w:r>
      <w:r>
        <w:t xml:space="preserve">“</w:t>
      </w:r>
      <w:r>
        <w:t xml:space="preserve">The performance question no official report asks</w:t>
      </w:r>
      <w:r>
        <w:t xml:space="preserve">”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Consistent tone</w:t>
      </w:r>
      <w:r>
        <w:t xml:space="preserve"> </w:t>
      </w:r>
      <w:r>
        <w:t xml:space="preserve">— professional but accessible, neither too academic nor too casual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Excellent use of data-driven framing</w:t>
      </w:r>
      <w:r>
        <w:t xml:space="preserve"> </w:t>
      </w:r>
      <w:r>
        <w:t xml:space="preserve">— every claim is anchored to a number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Essay section</w:t>
      </w:r>
      <w:r>
        <w:t xml:space="preserve"> </w:t>
      </w:r>
      <w:r>
        <w:t xml:space="preserve">is long-form journalism quality — sharp, opinionated, evidence-based</w:t>
      </w:r>
    </w:p>
    <w:bookmarkEnd w:id="44"/>
    <w:bookmarkStart w:id="45" w:name="depth-of-analysis"/>
    <w:p>
      <w:pPr>
        <w:pStyle w:val="Heading4"/>
      </w:pPr>
      <w:r>
        <w:t xml:space="preserve">5.2 Depth of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framing, clear mission, good evidence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timeline, ASCAP forward agenda is unique, coverage gap analysis for Pillar 8 is insightful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per-city data, IMD ranking integration, external portal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filtering, flagship investment callouts, dynamic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framework explanation, open challenges list, ASCAP alignment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partner analysis, financing landscape context, programme network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NR directory, alumni section is unique, PDF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analytics section — sparklines, country comparison, specialization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open data commitment, 62-source knowledge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academic synthesis, 8 themes with proper citations,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long-form writing, policy-prescriptive, insider perspective</w:t>
            </w:r>
          </w:p>
        </w:tc>
      </w:tr>
    </w:tbl>
    <w:bookmarkEnd w:id="45"/>
    <w:bookmarkStart w:id="46" w:name="audience-usefulness"/>
    <w:p>
      <w:pPr>
        <w:pStyle w:val="Heading4"/>
      </w:pPr>
      <w:r>
        <w:t xml:space="preserve">5.3 Audience Usefulness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Policymakers (national)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Framework, Partners, Contacts,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officials (CSCOs)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Cities, Projects, Contacts,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Researchers/academics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Essay, Library,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Partners, Projects,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Journalists/media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Overview, History, Insights, Essay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Citizens/general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Overview, Cities, Essay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Investors/private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Partners, Projects, Flagship investments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issues-found"/>
    <w:p>
      <w:pPr>
        <w:pStyle w:val="Heading3"/>
      </w:pPr>
      <w:r>
        <w:t xml:space="preserve">6. Issues Found</w:t>
      </w:r>
    </w:p>
    <w:bookmarkStart w:id="48" w:name="critical-issues"/>
    <w:p>
      <w:pPr>
        <w:pStyle w:val="Heading4"/>
      </w:pPr>
      <w:r>
        <w:t xml:space="preserve">6.1 Critical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individual city pages</w:t>
            </w:r>
            <w:r>
              <w:t xml:space="preserve"> </w:t>
            </w:r>
            <w:r>
              <w:t xml:space="preserve">— cities only exist as cards/panels, no dedicated URLs for sharing specific city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individual project pages</w:t>
            </w:r>
            <w:r>
              <w:t xml:space="preserve"> </w:t>
            </w:r>
            <w:r>
              <w:t xml:space="preserve">— projects only exist as table rows, no case studies or deep dives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individual partner pages</w:t>
            </w:r>
            <w:r>
              <w:t xml:space="preserve"> </w:t>
            </w:r>
            <w:r>
              <w:t xml:space="preserve">— dialogue partners only have summary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events/meetings archive</w:t>
            </w:r>
            <w:r>
              <w:t xml:space="preserve"> </w:t>
            </w:r>
            <w:r>
              <w:t xml:space="preserve">— annual meetings are only briefly mentioned in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Viet Nam shows zero projects</w:t>
            </w:r>
            <w:r>
              <w:t xml:space="preserve"> </w:t>
            </w:r>
            <w:r>
              <w:t xml:space="preserve">— labeled</w:t>
            </w:r>
            <w:r>
              <w:t xml:space="preserve"> </w:t>
            </w:r>
            <w:r>
              <w:t xml:space="preserve">“</w:t>
            </w:r>
            <w:r>
              <w:t xml:space="preserve">SILENT 2025</w:t>
            </w:r>
            <w:r>
              <w:t xml:space="preserve">”</w:t>
            </w:r>
            <w:r>
              <w:t xml:space="preserve"> </w:t>
            </w:r>
            <w:r>
              <w:t xml:space="preserve">but no explanation or deep-dive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</w:tbl>
    <w:bookmarkEnd w:id="48"/>
    <w:bookmarkStart w:id="49" w:name="user-experience-issues"/>
    <w:p>
      <w:pPr>
        <w:pStyle w:val="Heading4"/>
      </w:pPr>
      <w:r>
        <w:t xml:space="preserve">6.2 User Experience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smooth scrolling</w:t>
            </w:r>
            <w:r>
              <w:t xml:space="preserve"> </w:t>
            </w:r>
            <w:r>
              <w:t xml:space="preserve">— nav clicks jump abruptly to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back to top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button</w:t>
            </w:r>
            <w:r>
              <w:t xml:space="preserve"> </w:t>
            </w:r>
            <w:r>
              <w:t xml:space="preserve">on long sections (Essay,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Essay,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scroll progress indicator</w:t>
            </w:r>
            <w:r>
              <w:t xml:space="preserve"> </w:t>
            </w:r>
            <w:r>
              <w:t xml:space="preserve">for the Essay (20 min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permalink/copy-link for specific themes</w:t>
            </w:r>
            <w:r>
              <w:t xml:space="preserve"> </w:t>
            </w:r>
            <w:r>
              <w:t xml:space="preserve">in Research or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table of contents</w:t>
            </w:r>
            <w:r>
              <w:t xml:space="preserve"> </w:t>
            </w:r>
            <w:r>
              <w:t xml:space="preserve">within the Essay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zoom level resets</w:t>
            </w:r>
            <w:r>
              <w:t xml:space="preserve"> </w:t>
            </w:r>
            <w:r>
              <w:t xml:space="preserve">when switching between cities on the Cities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breadcrumb navigation</w:t>
            </w:r>
            <w:r>
              <w:t xml:space="preserve"> </w:t>
            </w:r>
            <w:r>
              <w:t xml:space="preserve">— users can get lost in long scrolling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49"/>
    <w:bookmarkStart w:id="50" w:name="content-gaps"/>
    <w:p>
      <w:pPr>
        <w:pStyle w:val="Heading4"/>
      </w:pPr>
      <w:r>
        <w:t xml:space="preserve">6.3 Content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city photos or project imagery</w:t>
            </w:r>
            <w:r>
              <w:t xml:space="preserve"> </w:t>
            </w:r>
            <w:r>
              <w:t xml:space="preserve">— all visual content is charts, maps, and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pages feel sterile; reduces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project case studies</w:t>
            </w:r>
            <w:r>
              <w:t xml:space="preserve"> </w:t>
            </w:r>
            <w:r>
              <w:t xml:space="preserve">— Bang Sue ($6.7B) and Davao ($1.07B) only have budget lines, no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opportunity to showcase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event photos or media gallery</w:t>
            </w:r>
            <w:r>
              <w:t xml:space="preserve"> </w:t>
            </w:r>
            <w:r>
              <w:t xml:space="preserve">— 8 annual meetings, no visual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credibility and human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capacity building section</w:t>
            </w:r>
            <w:r>
              <w:t xml:space="preserve"> </w:t>
            </w:r>
            <w:r>
              <w:t xml:space="preserve">— ASPP, ASUS, SNU Master’s program not documented as a dedicated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omission for city officials seeking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news/updates feed</w:t>
            </w:r>
            <w:r>
              <w:t xml:space="preserve"> </w:t>
            </w:r>
            <w:r>
              <w:t xml:space="preserve">— platform is static, no indication of recency beyond M&amp;E cycle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can’t tell if platform is actively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citizen/stakeholder voices</w:t>
            </w:r>
            <w:r>
              <w:t xml:space="preserve"> </w:t>
            </w:r>
            <w:r>
              <w:t xml:space="preserve">— entirely top-down institutional 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grassroots and community perspectives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financing toolkit dedicated page</w:t>
            </w:r>
            <w:r>
              <w:t xml:space="preserve"> </w:t>
            </w:r>
            <w:r>
              <w:t xml:space="preserve">— only mentioned in Partners section with external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a platform-native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ASCAP 2026-2035 dedicated tracker</w:t>
            </w:r>
            <w:r>
              <w:t xml:space="preserve"> </w:t>
            </w:r>
            <w:r>
              <w:t xml:space="preserve">— only mentioned in History and Framework as a static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network’s 10-year plan — it deserves its own dashboard</w:t>
            </w:r>
          </w:p>
        </w:tc>
      </w:tr>
    </w:tbl>
    <w:bookmarkEnd w:id="50"/>
    <w:bookmarkStart w:id="51" w:name="technical-issues"/>
    <w:p>
      <w:pPr>
        <w:pStyle w:val="Heading4"/>
      </w:pPr>
      <w:r>
        <w:t xml:space="preserve">6.4 Technical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meta description/Open Graph tags</w:t>
            </w:r>
            <w:r>
              <w:t xml:space="preserve"> </w:t>
            </w:r>
            <w:r>
              <w:t xml:space="preserve">for social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reduces discoverability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print stylesheet</w:t>
            </w:r>
            <w:r>
              <w:t xml:space="preserve"> </w:t>
            </w:r>
            <w:r>
              <w:t xml:space="preserve">— printing the Essay or Research would include nav, footer, broken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search across the entire site</w:t>
            </w:r>
            <w:r>
              <w:t xml:space="preserve"> </w:t>
            </w:r>
            <w:r>
              <w:t xml:space="preserve">— only section-specific search (Cities, Projects, Alumni)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dark mode</w:t>
            </w:r>
            <w:r>
              <w:t xml:space="preserve"> </w:t>
            </w:r>
            <w:r>
              <w:t xml:space="preserve">(beyond the map toggle)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RSS feed</w:t>
            </w:r>
            <w:r>
              <w:t xml:space="preserve"> </w:t>
            </w:r>
            <w:r>
              <w:t xml:space="preserve">for updates or new essay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 anchor is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#library</w:t>
            </w:r>
            <w:r>
              <w:t xml:space="preserve"> </w:t>
            </w:r>
            <w:r>
              <w:t xml:space="preserve">— inconsistent with nav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</w:tbl>
    <w:bookmarkEnd w:id="51"/>
    <w:bookmarkStart w:id="52" w:name="accessibility-issues-inferred"/>
    <w:p>
      <w:pPr>
        <w:pStyle w:val="Heading4"/>
      </w:pPr>
      <w:r>
        <w:t xml:space="preserve">6.5 Accessibility Issues (Inferred)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indicators on interactive elements may not be visible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interactions may not be keyboard-navigable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data is not available in tabular form for screen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contrast on gold/amber accent text should be verified against WCAG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99" w:name="part-2-ascn-2.0-expansion-plan"/>
    <w:p>
      <w:pPr>
        <w:pStyle w:val="Heading2"/>
      </w:pPr>
      <w:r>
        <w:t xml:space="preserve">PART 2: ASCN 2.0 EXPANSION PLAN</w:t>
      </w:r>
    </w:p>
    <w:bookmarkStart w:id="57" w:name="a.-new-information-architecture"/>
    <w:p>
      <w:pPr>
        <w:pStyle w:val="Heading3"/>
      </w:pPr>
      <w:r>
        <w:t xml:space="preserve">A. New Information Architecture</w:t>
      </w:r>
    </w:p>
    <w:bookmarkStart w:id="55" w:name="current-nav-11-items"/>
    <w:p>
      <w:pPr>
        <w:pStyle w:val="Heading4"/>
      </w:pPr>
      <w:r>
        <w:t xml:space="preserve">Current Nav (11 items)</w:t>
      </w:r>
    </w:p>
    <w:p>
      <w:pPr>
        <w:pStyle w:val="FirstParagraph"/>
      </w:pPr>
      <w:r>
        <w:t xml:space="preserve">Overview | History | Cities | Projects | Framework | Partners | Contacts | Insights | Library | Research | Essay</w:t>
      </w:r>
    </w:p>
    <w:bookmarkEnd w:id="55"/>
    <w:bookmarkStart w:id="56" w:name="proposed-nav-16-items"/>
    <w:p>
      <w:pPr>
        <w:pStyle w:val="Heading4"/>
      </w:pPr>
      <w:r>
        <w:t xml:space="preserve">Proposed Nav (16 items)</w:t>
      </w:r>
    </w:p>
    <w:p>
      <w:pPr>
        <w:pStyle w:val="FirstParagraph"/>
      </w:pPr>
      <w:r>
        <w:rPr>
          <w:bCs/>
          <w:b/>
        </w:rPr>
        <w:t xml:space="preserve">Primary Nav:</w:t>
      </w:r>
      <w:r>
        <w:t xml:space="preserve"> </w:t>
      </w:r>
      <w:r>
        <w:t xml:space="preserve">Overview | History | Cities | Projects | ASCAP 2026-2035 | Framework | Partners | Events | Capacity Building | Contacts | Insights | Library | Research | Essay</w:t>
      </w:r>
    </w:p>
    <w:p>
      <w:pPr>
        <w:pStyle w:val="BodyText"/>
      </w:pPr>
      <w:r>
        <w:rPr>
          <w:bCs/>
          <w:b/>
        </w:rPr>
        <w:t xml:space="preserve">Added sections: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ASCAP 2026-2035</w:t>
      </w:r>
      <w:r>
        <w:t xml:space="preserve"> </w:t>
      </w:r>
      <w:r>
        <w:t xml:space="preserve">— Dedicated tracker for the 10-year action plan (NEW)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Events</w:t>
      </w:r>
      <w:r>
        <w:t xml:space="preserve"> </w:t>
      </w:r>
      <w:r>
        <w:t xml:space="preserve">— Archive of all ASCN meetings and related events (NEW)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Capacity Building</w:t>
      </w:r>
      <w:r>
        <w:t xml:space="preserve"> </w:t>
      </w:r>
      <w:r>
        <w:t xml:space="preserve">— Training programs, scholarships, alumni (NEW)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Financing</w:t>
      </w:r>
      <w:r>
        <w:t xml:space="preserve"> </w:t>
      </w:r>
      <w:r>
        <w:t xml:space="preserve">— Smart City Financing Toolkit + finance landscape (NEW, split from Partners)</w:t>
      </w:r>
    </w:p>
    <w:p>
      <w:pPr>
        <w:pStyle w:val="BodyText"/>
      </w:pPr>
      <w:r>
        <w:rPr>
          <w:bCs/>
          <w:b/>
        </w:rPr>
        <w:t xml:space="preserve">Removed/restructured:</w:t>
      </w:r>
      <w:r>
        <w:t xml:space="preserve"> </w:t>
      </w:r>
      <w:r>
        <w:t xml:space="preserve">- Partners → split into Partners (dialogue partners) + Financing (toolkit + finance)</w:t>
      </w:r>
      <w:r>
        <w:t xml:space="preserve"> </w:t>
      </w:r>
      <w:r>
        <w:t xml:space="preserve">- City/Project detail pages become standalone URLs, not just panel views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b.-new-sections-detailed-specifications"/>
    <w:p>
      <w:pPr>
        <w:pStyle w:val="Heading3"/>
      </w:pPr>
      <w:r>
        <w:t xml:space="preserve">B. New Sections — Detailed Specifications</w:t>
      </w:r>
    </w:p>
    <w:p>
      <w:r>
        <w:pict>
          <v:rect style="width:0;height:1.5pt" o:hralign="center" o:hrstd="t" o:hr="t"/>
        </w:pict>
      </w:r>
    </w:p>
    <w:bookmarkStart w:id="58" w:name="b.1-ascap-2026-2035-tracker"/>
    <w:p>
      <w:pPr>
        <w:pStyle w:val="Heading4"/>
      </w:pPr>
      <w:r>
        <w:t xml:space="preserve">B.1 ASCAP 2026-2035 Tracker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Interactive dashboard for the 8-pillar action plan adopted September 2025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Policymakers, city officials, development partners, researchers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ASCAP 2026-2035 Tracker</w:t>
      </w:r>
      <w:r>
        <w:br/>
      </w:r>
      <w:r>
        <w:rPr>
          <w:rStyle w:val="VerbatimChar"/>
        </w:rPr>
        <w:t xml:space="preserve">├── Executive Summary</w:t>
      </w:r>
      <w:r>
        <w:br/>
      </w:r>
      <w:r>
        <w:rPr>
          <w:rStyle w:val="VerbatimChar"/>
        </w:rPr>
        <w:t xml:space="preserve">│   ├── Adoption context (September 2025, 8th ASCN Annual Meeting, Malaysia)</w:t>
      </w:r>
      <w:r>
        <w:br/>
      </w:r>
      <w:r>
        <w:rPr>
          <w:rStyle w:val="VerbatimChar"/>
        </w:rPr>
        <w:t xml:space="preserve">│   ├── Alignment with ASEAN Community Vision 2045</w:t>
      </w:r>
      <w:r>
        <w:br/>
      </w:r>
      <w:r>
        <w:rPr>
          <w:rStyle w:val="VerbatimChar"/>
        </w:rPr>
        <w:t xml:space="preserve">│   ├── Alignment with ASEAN Connectivity Strategic Plan 2026-2035</w:t>
      </w:r>
      <w:r>
        <w:br/>
      </w:r>
      <w:r>
        <w:rPr>
          <w:rStyle w:val="VerbatimChar"/>
        </w:rPr>
        <w:t xml:space="preserve">│   └── Overall progress summary (X% of pillars have project coverage)</w:t>
      </w:r>
      <w:r>
        <w:br/>
      </w:r>
      <w:r>
        <w:rPr>
          <w:rStyle w:val="VerbatimChar"/>
        </w:rPr>
        <w:t xml:space="preserve">├── Pillar Dashboard (8 cards)</w:t>
      </w:r>
      <w:r>
        <w:br/>
      </w:r>
      <w:r>
        <w:rPr>
          <w:rStyle w:val="VerbatimChar"/>
        </w:rPr>
        <w:t xml:space="preserve">│   ├── P1: Digital Transformation &amp; Smart Infrastructure</w:t>
      </w:r>
      <w:r>
        <w:br/>
      </w:r>
      <w:r>
        <w:rPr>
          <w:rStyle w:val="VerbatimChar"/>
        </w:rPr>
        <w:t xml:space="preserve">│   ├── P2: Sustainable &amp; Green Urban Development</w:t>
      </w:r>
      <w:r>
        <w:br/>
      </w:r>
      <w:r>
        <w:rPr>
          <w:rStyle w:val="VerbatimChar"/>
        </w:rPr>
        <w:t xml:space="preserve">│   ├── P3: Smart Housing &amp; Health</w:t>
      </w:r>
      <w:r>
        <w:br/>
      </w:r>
      <w:r>
        <w:rPr>
          <w:rStyle w:val="VerbatimChar"/>
        </w:rPr>
        <w:t xml:space="preserve">│   ├── P4: Smart Mobility</w:t>
      </w:r>
      <w:r>
        <w:br/>
      </w:r>
      <w:r>
        <w:rPr>
          <w:rStyle w:val="VerbatimChar"/>
        </w:rPr>
        <w:t xml:space="preserve">│   ├── P5: Resilience &amp; Disaster Preparedness</w:t>
      </w:r>
      <w:r>
        <w:br/>
      </w:r>
      <w:r>
        <w:rPr>
          <w:rStyle w:val="VerbatimChar"/>
        </w:rPr>
        <w:t xml:space="preserve">│   ├── P6: Digital Governance</w:t>
      </w:r>
      <w:r>
        <w:br/>
      </w:r>
      <w:r>
        <w:rPr>
          <w:rStyle w:val="VerbatimChar"/>
        </w:rPr>
        <w:t xml:space="preserve">│   ├── P7: Innovation &amp; Economic Growth</w:t>
      </w:r>
      <w:r>
        <w:br/>
      </w:r>
      <w:r>
        <w:rPr>
          <w:rStyle w:val="VerbatimChar"/>
        </w:rPr>
        <w:t xml:space="preserve">│   └── P8: Rural-Village Collaboration [FLAGGED: gap]</w:t>
      </w:r>
      <w:r>
        <w:br/>
      </w:r>
      <w:r>
        <w:rPr>
          <w:rStyle w:val="VerbatimChar"/>
        </w:rPr>
        <w:t xml:space="preserve">├── Each Pillar Card Contains:</w:t>
      </w:r>
      <w:r>
        <w:br/>
      </w:r>
      <w:r>
        <w:rPr>
          <w:rStyle w:val="VerbatimChar"/>
        </w:rPr>
        <w:t xml:space="preserve">│   ├── Description and objectives</w:t>
      </w:r>
      <w:r>
        <w:br/>
      </w:r>
      <w:r>
        <w:rPr>
          <w:rStyle w:val="VerbatimChar"/>
        </w:rPr>
        <w:t xml:space="preserve">│   ├── Alignment with current focus areas</w:t>
      </w:r>
      <w:r>
        <w:br/>
      </w:r>
      <w:r>
        <w:rPr>
          <w:rStyle w:val="VerbatimChar"/>
        </w:rPr>
        <w:t xml:space="preserve">│   ├── Project count and list</w:t>
      </w:r>
      <w:r>
        <w:br/>
      </w:r>
      <w:r>
        <w:rPr>
          <w:rStyle w:val="VerbatimChar"/>
        </w:rPr>
        <w:t xml:space="preserve">│   ├── Participating cities</w:t>
      </w:r>
      <w:r>
        <w:br/>
      </w:r>
      <w:r>
        <w:rPr>
          <w:rStyle w:val="VerbatimChar"/>
        </w:rPr>
        <w:t xml:space="preserve">│   ├── Timeline/milestones</w:t>
      </w:r>
      <w:r>
        <w:br/>
      </w:r>
      <w:r>
        <w:rPr>
          <w:rStyle w:val="VerbatimChar"/>
        </w:rPr>
        <w:t xml:space="preserve">│   ├── KPIs (if defined)</w:t>
      </w:r>
      <w:r>
        <w:br/>
      </w:r>
      <w:r>
        <w:rPr>
          <w:rStyle w:val="VerbatimChar"/>
        </w:rPr>
        <w:t xml:space="preserve">│   └── Funding sources</w:t>
      </w:r>
      <w:r>
        <w:br/>
      </w:r>
      <w:r>
        <w:rPr>
          <w:rStyle w:val="VerbatimChar"/>
        </w:rPr>
        <w:t xml:space="preserve">├── Coverage Gap Analysis</w:t>
      </w:r>
      <w:r>
        <w:br/>
      </w:r>
      <w:r>
        <w:rPr>
          <w:rStyle w:val="VerbatimChar"/>
        </w:rPr>
        <w:t xml:space="preserve">│   ├── Pillar 8 deep-dive (no current projects)</w:t>
      </w:r>
      <w:r>
        <w:br/>
      </w:r>
      <w:r>
        <w:rPr>
          <w:rStyle w:val="VerbatimChar"/>
        </w:rPr>
        <w:t xml:space="preserve">│   ├── Recommendations for addressing gaps</w:t>
      </w:r>
      <w:r>
        <w:br/>
      </w:r>
      <w:r>
        <w:rPr>
          <w:rStyle w:val="VerbatimChar"/>
        </w:rPr>
        <w:t xml:space="preserve">│   └── City readiness assessment for rural-urban linkage</w:t>
      </w:r>
      <w:r>
        <w:br/>
      </w:r>
      <w:r>
        <w:rPr>
          <w:rStyle w:val="VerbatimChar"/>
        </w:rPr>
        <w:t xml:space="preserve">└── Progress Timeline</w:t>
      </w:r>
      <w:r>
        <w:br/>
      </w:r>
      <w:r>
        <w:rPr>
          <w:rStyle w:val="VerbatimChar"/>
        </w:rPr>
        <w:t xml:space="preserve">    ├── 2025: Adoption baseline</w:t>
      </w:r>
      <w:r>
        <w:br/>
      </w:r>
      <w:r>
        <w:rPr>
          <w:rStyle w:val="VerbatimChar"/>
        </w:rPr>
        <w:t xml:space="preserve">    ├── 2026-2028: Short-term targets</w:t>
      </w:r>
      <w:r>
        <w:br/>
      </w:r>
      <w:r>
        <w:rPr>
          <w:rStyle w:val="VerbatimChar"/>
        </w:rPr>
        <w:t xml:space="preserve">    ├── 2029-2032: Medium-term targets</w:t>
      </w:r>
      <w:r>
        <w:br/>
      </w:r>
      <w:r>
        <w:rPr>
          <w:rStyle w:val="VerbatimChar"/>
        </w:rPr>
        <w:t xml:space="preserve">    └── 2033-2035: Long-term targets</w:t>
      </w:r>
    </w:p>
    <w:p>
      <w:pPr>
        <w:pStyle w:val="FirstParagraph"/>
      </w:pPr>
      <w:r>
        <w:rPr>
          <w:bCs/>
          <w:b/>
        </w:rPr>
        <w:t xml:space="preserve">Specific Content to Populate:</w:t>
      </w:r>
      <w:r>
        <w:t xml:space="preserve"> </w:t>
      </w:r>
      <w:r>
        <w:t xml:space="preserve">- Pillar descriptions from the ASCAP 2026-2035 official document</w:t>
      </w:r>
      <w:r>
        <w:t xml:space="preserve"> </w:t>
      </w:r>
      <w:r>
        <w:t xml:space="preserve">- Project-to-pillar mapping for all 134 projects</w:t>
      </w:r>
      <w:r>
        <w:t xml:space="preserve"> </w:t>
      </w:r>
      <w:r>
        <w:t xml:space="preserve">- City coverage per pillar (which cities contribute to which pillars)</w:t>
      </w:r>
      <w:r>
        <w:t xml:space="preserve"> </w:t>
      </w:r>
      <w:r>
        <w:t xml:space="preserve">- Timeline milestones from ASEAN Secretariat planning documents</w:t>
      </w:r>
      <w:r>
        <w:t xml:space="preserve"> </w:t>
      </w:r>
      <w:r>
        <w:t xml:space="preserve">- KPI framework (if available) or proposed KPIs based on M&amp;E framework</w:t>
      </w:r>
    </w:p>
    <w:p>
      <w:pPr>
        <w:pStyle w:val="BodyText"/>
      </w:pPr>
      <w:r>
        <w:rPr>
          <w:bCs/>
          <w:b/>
        </w:rPr>
        <w:t xml:space="preserve">Visual/Media Assets:</w:t>
      </w:r>
      <w:r>
        <w:t xml:space="preserve"> </w:t>
      </w:r>
      <w:r>
        <w:t xml:space="preserve">- ASCAP official document (to be sourced from ASEAN Secretariat)</w:t>
      </w:r>
      <w:r>
        <w:t xml:space="preserve"> </w:t>
      </w:r>
      <w:r>
        <w:t xml:space="preserve">- Pillar iconography (8 distinct icons for each pillar)</w:t>
      </w:r>
      <w:r>
        <w:t xml:space="preserve"> </w:t>
      </w:r>
      <w:r>
        <w:t xml:space="preserve">- Progress ring/donut charts per pillar</w:t>
      </w:r>
      <w:r>
        <w:t xml:space="preserve"> </w:t>
      </w:r>
      <w:r>
        <w:t xml:space="preserve">- Gantt chart for timeline view</w:t>
      </w:r>
      <w:r>
        <w:t xml:space="preserve"> </w:t>
      </w:r>
      <w:r>
        <w:t xml:space="preserve">- ASEAN Community Vision 2045 alignment diagram</w:t>
      </w:r>
    </w:p>
    <w:p>
      <w:pPr>
        <w:pStyle w:val="BodyText"/>
      </w:pPr>
      <w:r>
        <w:rPr>
          <w:bCs/>
          <w:b/>
        </w:rPr>
        <w:t xml:space="preserve">Interactive Features:</w:t>
      </w:r>
      <w:r>
        <w:t xml:space="preserve"> </w:t>
      </w:r>
      <w:r>
        <w:t xml:space="preserve">- Filter by pillar, city, country, focus area</w:t>
      </w:r>
      <w:r>
        <w:t xml:space="preserve"> </w:t>
      </w:r>
      <w:r>
        <w:t xml:space="preserve">- Click-to-drill-down from pillar to projects to city details</w:t>
      </w:r>
      <w:r>
        <w:t xml:space="preserve"> </w:t>
      </w:r>
      <w:r>
        <w:t xml:space="preserve">- Progress bars with animated fill</w:t>
      </w:r>
      <w:r>
        <w:t xml:space="preserve"> </w:t>
      </w:r>
      <w:r>
        <w:t xml:space="preserve">- Download pillar-specific project lists as CSV</w:t>
      </w:r>
      <w:r>
        <w:t xml:space="preserve"> </w:t>
      </w:r>
      <w:r>
        <w:t xml:space="preserve">- Toggle between</w:t>
      </w:r>
      <w:r>
        <w:t xml:space="preserve"> </w:t>
      </w:r>
      <w:r>
        <w:t xml:space="preserve">“</w:t>
      </w:r>
      <w:r>
        <w:t xml:space="preserve">current portfolio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 </w:t>
      </w:r>
      <w:r>
        <w:t xml:space="preserve">views</w:t>
      </w:r>
    </w:p>
    <w:p>
      <w:pPr>
        <w:pStyle w:val="BodyText"/>
      </w:pPr>
      <w:r>
        <w:rPr>
          <w:bCs/>
          <w:b/>
        </w:rPr>
        <w:t xml:space="preserve">Suggested Labels: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View Pillar Details</w:t>
      </w:r>
      <w:r>
        <w:t xml:space="preserve">”</w:t>
      </w:r>
      <w:r>
        <w:t xml:space="preserve"> </w:t>
      </w:r>
      <w:r>
        <w:t xml:space="preserve">→ pillar detail panel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See All Projects</w:t>
      </w:r>
      <w:r>
        <w:t xml:space="preserve">”</w:t>
      </w:r>
      <w:r>
        <w:t xml:space="preserve"> </w:t>
      </w:r>
      <w:r>
        <w:t xml:space="preserve">→ filtered project list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Download ASCAP PDF</w:t>
      </w:r>
      <w:r>
        <w:t xml:space="preserve">”</w:t>
      </w:r>
      <w:r>
        <w:t xml:space="preserve"> </w:t>
      </w:r>
      <w:r>
        <w:t xml:space="preserve">→ official document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Compare with Current Framework</w:t>
      </w:r>
      <w:r>
        <w:t xml:space="preserve">”</w:t>
      </w:r>
      <w:r>
        <w:t xml:space="preserve"> </w:t>
      </w:r>
      <w:r>
        <w:t xml:space="preserve">→ side-by-side view</w:t>
      </w:r>
    </w:p>
    <w:p>
      <w:r>
        <w:pict>
          <v:rect style="width:0;height:1.5pt" o:hralign="center" o:hrstd="t" o:hr="t"/>
        </w:pict>
      </w:r>
    </w:p>
    <w:bookmarkEnd w:id="58"/>
    <w:bookmarkStart w:id="59" w:name="b.2-city-deep-dive-pages"/>
    <w:p>
      <w:pPr>
        <w:pStyle w:val="Heading4"/>
      </w:pPr>
      <w:r>
        <w:t xml:space="preserve">B.2 City Deep-Dive Pages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Individual dedicated pages for all 38 ASCN cities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City officials, researchers, investors, journalists, citizens of member cities</w:t>
      </w:r>
    </w:p>
    <w:p>
      <w:pPr>
        <w:pStyle w:val="BodyText"/>
      </w:pPr>
      <w:r>
        <w:rPr>
          <w:bCs/>
          <w:b/>
        </w:rPr>
        <w:t xml:space="preserve">Content Structure (per city):</w:t>
      </w:r>
    </w:p>
    <w:p>
      <w:pPr>
        <w:pStyle w:val="SourceCode"/>
      </w:pPr>
      <w:r>
        <w:rPr>
          <w:rStyle w:val="VerbatimChar"/>
        </w:rPr>
        <w:t xml:space="preserve">/cities/{city-slug}</w:t>
      </w:r>
      <w:r>
        <w:br/>
      </w:r>
      <w:r>
        <w:rPr>
          <w:rStyle w:val="VerbatimChar"/>
        </w:rPr>
        <w:t xml:space="preserve">├── City Profile Header</w:t>
      </w:r>
      <w:r>
        <w:br/>
      </w:r>
      <w:r>
        <w:rPr>
          <w:rStyle w:val="VerbatimChar"/>
        </w:rPr>
        <w:t xml:space="preserve">│   ├── City name, country, flag</w:t>
      </w:r>
      <w:r>
        <w:br/>
      </w:r>
      <w:r>
        <w:rPr>
          <w:rStyle w:val="VerbatimChar"/>
        </w:rPr>
        <w:t xml:space="preserve">│   ├── Join year badge</w:t>
      </w:r>
      <w:r>
        <w:br/>
      </w:r>
      <w:r>
        <w:rPr>
          <w:rStyle w:val="VerbatimChar"/>
        </w:rPr>
        <w:t xml:space="preserve">│   ├── Population</w:t>
      </w:r>
      <w:r>
        <w:br/>
      </w:r>
      <w:r>
        <w:rPr>
          <w:rStyle w:val="VerbatimChar"/>
        </w:rPr>
        <w:t xml:space="preserve">│   ├── City category tag (Capital/Secondary/Tourist/Industrial/etc.)</w:t>
      </w:r>
      <w:r>
        <w:br/>
      </w:r>
      <w:r>
        <w:rPr>
          <w:rStyle w:val="VerbatimChar"/>
        </w:rPr>
        <w:t xml:space="preserve">│   └── IMD CCC ranking (if available)</w:t>
      </w:r>
      <w:r>
        <w:br/>
      </w:r>
      <w:r>
        <w:rPr>
          <w:rStyle w:val="VerbatimChar"/>
        </w:rPr>
        <w:t xml:space="preserve">├── Quick Stats Row</w:t>
      </w:r>
      <w:r>
        <w:br/>
      </w:r>
      <w:r>
        <w:rPr>
          <w:rStyle w:val="VerbatimChar"/>
        </w:rPr>
        <w:t xml:space="preserve">│   ├── Documented projects count</w:t>
      </w:r>
      <w:r>
        <w:br/>
      </w:r>
      <w:r>
        <w:rPr>
          <w:rStyle w:val="VerbatimChar"/>
        </w:rPr>
        <w:t xml:space="preserve">│   ├── Projects by focus area (mini bar chart)</w:t>
      </w:r>
      <w:r>
        <w:br/>
      </w:r>
      <w:r>
        <w:rPr>
          <w:rStyle w:val="VerbatimChar"/>
        </w:rPr>
        <w:t xml:space="preserve">│   ├── Completion rate</w:t>
      </w:r>
      <w:r>
        <w:br/>
      </w:r>
      <w:r>
        <w:rPr>
          <w:rStyle w:val="VerbatimChar"/>
        </w:rPr>
        <w:t xml:space="preserve">│   └── Flagship investment total (if available)</w:t>
      </w:r>
      <w:r>
        <w:br/>
      </w:r>
      <w:r>
        <w:rPr>
          <w:rStyle w:val="VerbatimChar"/>
        </w:rPr>
        <w:t xml:space="preserve">├── City Description</w:t>
      </w:r>
      <w:r>
        <w:br/>
      </w:r>
      <w:r>
        <w:rPr>
          <w:rStyle w:val="VerbatimChar"/>
        </w:rPr>
        <w:t xml:space="preserve">│   ├── 2-3 paragraph city profile</w:t>
      </w:r>
      <w:r>
        <w:br/>
      </w:r>
      <w:r>
        <w:rPr>
          <w:rStyle w:val="VerbatimChar"/>
        </w:rPr>
        <w:t xml:space="preserve">│   ├── Smart city context and priorities</w:t>
      </w:r>
      <w:r>
        <w:br/>
      </w:r>
      <w:r>
        <w:rPr>
          <w:rStyle w:val="VerbatimChar"/>
        </w:rPr>
        <w:t xml:space="preserve">│   └── Key statistics (GDP, population growth, internet penetration)</w:t>
      </w:r>
      <w:r>
        <w:br/>
      </w:r>
      <w:r>
        <w:rPr>
          <w:rStyle w:val="VerbatimChar"/>
        </w:rPr>
        <w:t xml:space="preserve">├── Leadership</w:t>
      </w:r>
      <w:r>
        <w:br/>
      </w:r>
      <w:r>
        <w:rPr>
          <w:rStyle w:val="VerbatimChar"/>
        </w:rPr>
        <w:t xml:space="preserve">│   ├── National Representative (name, title, institution)</w:t>
      </w:r>
      <w:r>
        <w:br/>
      </w:r>
      <w:r>
        <w:rPr>
          <w:rStyle w:val="VerbatimChar"/>
        </w:rPr>
        <w:t xml:space="preserve">│   ├── Chief Smart City Officer (name, title, institution)</w:t>
      </w:r>
      <w:r>
        <w:br/>
      </w:r>
      <w:r>
        <w:rPr>
          <w:rStyle w:val="VerbatimChar"/>
        </w:rPr>
        <w:t xml:space="preserve">│   └── Historical leadership (from alumni data)</w:t>
      </w:r>
      <w:r>
        <w:br/>
      </w:r>
      <w:r>
        <w:rPr>
          <w:rStyle w:val="VerbatimChar"/>
        </w:rPr>
        <w:t xml:space="preserve">├── Documented Projects (full list)</w:t>
      </w:r>
      <w:r>
        <w:br/>
      </w:r>
      <w:r>
        <w:rPr>
          <w:rStyle w:val="VerbatimChar"/>
        </w:rPr>
        <w:t xml:space="preserve">│   ├── Each project: name, focus area, status, budget, timeline, partners</w:t>
      </w:r>
      <w:r>
        <w:br/>
      </w:r>
      <w:r>
        <w:rPr>
          <w:rStyle w:val="VerbatimChar"/>
        </w:rPr>
        <w:t xml:space="preserve">│   └── Flagship projects highlighted</w:t>
      </w:r>
      <w:r>
        <w:br/>
      </w:r>
      <w:r>
        <w:rPr>
          <w:rStyle w:val="VerbatimChar"/>
        </w:rPr>
        <w:t xml:space="preserve">├── External Data Portals</w:t>
      </w:r>
      <w:r>
        <w:br/>
      </w:r>
      <w:r>
        <w:rPr>
          <w:rStyle w:val="VerbatimChar"/>
        </w:rPr>
        <w:t xml:space="preserve">│   ├── Links to city open data platforms</w:t>
      </w:r>
      <w:r>
        <w:br/>
      </w:r>
      <w:r>
        <w:rPr>
          <w:rStyle w:val="VerbatimChar"/>
        </w:rPr>
        <w:t xml:space="preserve">│   └── Links to city smart city initiatives</w:t>
      </w:r>
      <w:r>
        <w:br/>
      </w:r>
      <w:r>
        <w:rPr>
          <w:rStyle w:val="VerbatimChar"/>
        </w:rPr>
        <w:t xml:space="preserve">├── Rankings &amp; Indices</w:t>
      </w:r>
      <w:r>
        <w:br/>
      </w:r>
      <w:r>
        <w:rPr>
          <w:rStyle w:val="VerbatimChar"/>
        </w:rPr>
        <w:t xml:space="preserve">│   ├── IMD CCC ranking and trend</w:t>
      </w:r>
      <w:r>
        <w:br/>
      </w:r>
      <w:r>
        <w:rPr>
          <w:rStyle w:val="VerbatimChar"/>
        </w:rPr>
        <w:t xml:space="preserve">│   ├── SLIC Index position</w:t>
      </w:r>
      <w:r>
        <w:br/>
      </w:r>
      <w:r>
        <w:rPr>
          <w:rStyle w:val="VerbatimChar"/>
        </w:rPr>
        <w:t xml:space="preserve">│   └── Other relevant indices</w:t>
      </w:r>
      <w:r>
        <w:br/>
      </w:r>
      <w:r>
        <w:rPr>
          <w:rStyle w:val="VerbatimChar"/>
        </w:rPr>
        <w:t xml:space="preserve">├── Photos &amp; Media</w:t>
      </w:r>
      <w:r>
        <w:br/>
      </w:r>
      <w:r>
        <w:rPr>
          <w:rStyle w:val="VerbatimChar"/>
        </w:rPr>
        <w:t xml:space="preserve">│   ├── City skyline/landmark photo</w:t>
      </w:r>
      <w:r>
        <w:br/>
      </w:r>
      <w:r>
        <w:rPr>
          <w:rStyle w:val="VerbatimChar"/>
        </w:rPr>
        <w:t xml:space="preserve">│   ├── Project site photos (if available)</w:t>
      </w:r>
      <w:r>
        <w:br/>
      </w:r>
      <w:r>
        <w:rPr>
          <w:rStyle w:val="VerbatimChar"/>
        </w:rPr>
        <w:t xml:space="preserve">│   └── Event photos from ASCN meetings in this city</w:t>
      </w:r>
      <w:r>
        <w:br/>
      </w:r>
      <w:r>
        <w:rPr>
          <w:rStyle w:val="VerbatimChar"/>
        </w:rPr>
        <w:t xml:space="preserve">└── Related Cities</w:t>
      </w:r>
      <w:r>
        <w:br/>
      </w:r>
      <w:r>
        <w:rPr>
          <w:rStyle w:val="VerbatimChar"/>
        </w:rPr>
        <w:t xml:space="preserve">    └── Similar cities by focus area, population, or development level</w:t>
      </w:r>
    </w:p>
    <w:p>
      <w:pPr>
        <w:pStyle w:val="FirstParagraph"/>
      </w:pPr>
      <w:r>
        <w:rPr>
          <w:bCs/>
          <w:b/>
        </w:rPr>
        <w:t xml:space="preserve">Specific Content to Populate (all 38 cities):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Bangkok, Davao, Da Nang, Jakarta, Phnom Penh, Siem Reap, 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projects, most data, flagship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Kuala Lumpur, Johor Bahru, Chiang Mai, Cebu City, Vientiane, Luang Prabang, Yangon, 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project portfolios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remaining 26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Text to write per city:</w:t>
      </w:r>
      <w:r>
        <w:t xml:space="preserve"> </w:t>
      </w:r>
      <w:r>
        <w:t xml:space="preserve">- 150-250 word city profile covering: smart city context, key challenges, ASCN participation history, notable achievements</w:t>
      </w:r>
      <w:r>
        <w:t xml:space="preserve"> </w:t>
      </w:r>
      <w:r>
        <w:t xml:space="preserve">- Leadership bio (from contact list data)</w:t>
      </w:r>
      <w:r>
        <w:t xml:space="preserve"> </w:t>
      </w:r>
      <w:r>
        <w:t xml:space="preserve">- Project summaries (from M&amp;E appendix)</w:t>
      </w:r>
    </w:p>
    <w:p>
      <w:pPr>
        <w:pStyle w:val="BodyText"/>
      </w:pPr>
      <w:r>
        <w:rPr>
          <w:bCs/>
          <w:b/>
        </w:rPr>
        <w:t xml:space="preserve">Photos to source:</w:t>
      </w:r>
      <w:r>
        <w:t xml:space="preserve"> </w:t>
      </w:r>
      <w:r>
        <w:t xml:space="preserve">- City skyline/landmark photos (from city governments, tourism boards, Wikimedia Commons)</w:t>
      </w:r>
      <w:r>
        <w:t xml:space="preserve"> </w:t>
      </w:r>
      <w:r>
        <w:t xml:space="preserve">- Project site photos (from partner organizations: ADB, World Bank, JICA)</w:t>
      </w:r>
      <w:r>
        <w:t xml:space="preserve"> </w:t>
      </w:r>
      <w:r>
        <w:t xml:space="preserve">- Event photos from ASCN annual meetings (from ASEAN Secretariat, DEPA)</w:t>
      </w:r>
    </w:p>
    <w:p>
      <w:pPr>
        <w:pStyle w:val="BodyText"/>
      </w:pPr>
      <w:r>
        <w:rPr>
          <w:bCs/>
          <w:b/>
        </w:rPr>
        <w:t xml:space="preserve">Interactive Features:</w:t>
      </w:r>
      <w:r>
        <w:t xml:space="preserve"> </w:t>
      </w:r>
      <w:r>
        <w:t xml:space="preserve">- Shareable URL per city (</w:t>
      </w:r>
      <w:r>
        <w:rPr>
          <w:rStyle w:val="VerbatimChar"/>
        </w:rPr>
        <w:t xml:space="preserve">/cities/bangkok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/cities/davao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Compare Cities</w:t>
      </w:r>
      <w:r>
        <w:t xml:space="preserve">”</w:t>
      </w:r>
      <w:r>
        <w:t xml:space="preserve"> </w:t>
      </w:r>
      <w:r>
        <w:t xml:space="preserve">toggle (select 2-3 cities for side-by-side comparison)</w:t>
      </w:r>
      <w:r>
        <w:t xml:space="preserve"> </w:t>
      </w:r>
      <w:r>
        <w:t xml:space="preserve">- City-to-city project similarity score</w:t>
      </w:r>
      <w:r>
        <w:t xml:space="preserve"> </w:t>
      </w:r>
      <w:r>
        <w:t xml:space="preserve">- Embedded map focused on the city</w:t>
      </w:r>
      <w:r>
        <w:t xml:space="preserve"> </w:t>
      </w:r>
      <w:r>
        <w:t xml:space="preserve">- Project status filter (ongoing/completed/planning)</w:t>
      </w:r>
    </w:p>
    <w:p>
      <w:r>
        <w:pict>
          <v:rect style="width:0;height:1.5pt" o:hralign="center" o:hrstd="t" o:hr="t"/>
        </w:pict>
      </w:r>
    </w:p>
    <w:bookmarkEnd w:id="59"/>
    <w:bookmarkStart w:id="60" w:name="b.3-project-case-studies"/>
    <w:p>
      <w:pPr>
        <w:pStyle w:val="Heading4"/>
      </w:pPr>
      <w:r>
        <w:t xml:space="preserve">B.3 Project Case Studies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Detailed spotlights for flagship and representative projects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Development partners, city officials seeking replication models, researchers, journalists</w:t>
      </w:r>
    </w:p>
    <w:p>
      <w:pPr>
        <w:pStyle w:val="BodyText"/>
      </w:pPr>
      <w:r>
        <w:rPr>
          <w:bCs/>
          <w:b/>
        </w:rPr>
        <w:t xml:space="preserve">Content Structure (per case study):</w:t>
      </w:r>
    </w:p>
    <w:p>
      <w:pPr>
        <w:pStyle w:val="SourceCode"/>
      </w:pPr>
      <w:r>
        <w:rPr>
          <w:rStyle w:val="VerbatimChar"/>
        </w:rPr>
        <w:t xml:space="preserve">/projects/{project-slug}</w:t>
      </w:r>
      <w:r>
        <w:br/>
      </w:r>
      <w:r>
        <w:rPr>
          <w:rStyle w:val="VerbatimChar"/>
        </w:rPr>
        <w:t xml:space="preserve">├── Project Header</w:t>
      </w:r>
      <w:r>
        <w:br/>
      </w:r>
      <w:r>
        <w:rPr>
          <w:rStyle w:val="VerbatimChar"/>
        </w:rPr>
        <w:t xml:space="preserve">│   ├── Project name</w:t>
      </w:r>
      <w:r>
        <w:br/>
      </w:r>
      <w:r>
        <w:rPr>
          <w:rStyle w:val="VerbatimChar"/>
        </w:rPr>
        <w:t xml:space="preserve">│   ├── City, country</w:t>
      </w:r>
      <w:r>
        <w:br/>
      </w:r>
      <w:r>
        <w:rPr>
          <w:rStyle w:val="VerbatimChar"/>
        </w:rPr>
        <w:t xml:space="preserve">│   ├── Focus area badge</w:t>
      </w:r>
      <w:r>
        <w:br/>
      </w:r>
      <w:r>
        <w:rPr>
          <w:rStyle w:val="VerbatimChar"/>
        </w:rPr>
        <w:t xml:space="preserve">│   ├── Status badge (ongoing/completed/planning)</w:t>
      </w:r>
      <w:r>
        <w:br/>
      </w:r>
      <w:r>
        <w:rPr>
          <w:rStyle w:val="VerbatimChar"/>
        </w:rPr>
        <w:t xml:space="preserve">│   └── Budget (if available)</w:t>
      </w:r>
      <w:r>
        <w:br/>
      </w:r>
      <w:r>
        <w:rPr>
          <w:rStyle w:val="VerbatimChar"/>
        </w:rPr>
        <w:t xml:space="preserve">├── At-a-Glance</w:t>
      </w:r>
      <w:r>
        <w:br/>
      </w:r>
      <w:r>
        <w:rPr>
          <w:rStyle w:val="VerbatimChar"/>
        </w:rPr>
        <w:t xml:space="preserve">│   ├── Budget and financing source</w:t>
      </w:r>
      <w:r>
        <w:br/>
      </w:r>
      <w:r>
        <w:rPr>
          <w:rStyle w:val="VerbatimChar"/>
        </w:rPr>
        <w:t xml:space="preserve">│   ├── Timeline (start date, expected completion)</w:t>
      </w:r>
      <w:r>
        <w:br/>
      </w:r>
      <w:r>
        <w:rPr>
          <w:rStyle w:val="VerbatimChar"/>
        </w:rPr>
        <w:t xml:space="preserve">│   ├── Implementing partners</w:t>
      </w:r>
      <w:r>
        <w:br/>
      </w:r>
      <w:r>
        <w:rPr>
          <w:rStyle w:val="VerbatimChar"/>
        </w:rPr>
        <w:t xml:space="preserve">│   └── Focus area alignment</w:t>
      </w:r>
      <w:r>
        <w:br/>
      </w:r>
      <w:r>
        <w:rPr>
          <w:rStyle w:val="VerbatimChar"/>
        </w:rPr>
        <w:t xml:space="preserve">├── Project Description</w:t>
      </w:r>
      <w:r>
        <w:br/>
      </w:r>
      <w:r>
        <w:rPr>
          <w:rStyle w:val="VerbatimChar"/>
        </w:rPr>
        <w:t xml:space="preserve">│   ├── Problem statement</w:t>
      </w:r>
      <w:r>
        <w:br/>
      </w:r>
      <w:r>
        <w:rPr>
          <w:rStyle w:val="VerbatimChar"/>
        </w:rPr>
        <w:t xml:space="preserve">│   ├── Solution overview</w:t>
      </w:r>
      <w:r>
        <w:br/>
      </w:r>
      <w:r>
        <w:rPr>
          <w:rStyle w:val="VerbatimChar"/>
        </w:rPr>
        <w:t xml:space="preserve">│   ├── Technology stack (if applicable)</w:t>
      </w:r>
      <w:r>
        <w:br/>
      </w:r>
      <w:r>
        <w:rPr>
          <w:rStyle w:val="VerbatimChar"/>
        </w:rPr>
        <w:t xml:space="preserve">│   └── Implementation approach</w:t>
      </w:r>
      <w:r>
        <w:br/>
      </w:r>
      <w:r>
        <w:rPr>
          <w:rStyle w:val="VerbatimChar"/>
        </w:rPr>
        <w:t xml:space="preserve">├── Partners &amp; Financing</w:t>
      </w:r>
      <w:r>
        <w:br/>
      </w:r>
      <w:r>
        <w:rPr>
          <w:rStyle w:val="VerbatimChar"/>
        </w:rPr>
        <w:t xml:space="preserve">│   ├── Dialogue partner involvement</w:t>
      </w:r>
      <w:r>
        <w:br/>
      </w:r>
      <w:r>
        <w:rPr>
          <w:rStyle w:val="VerbatimChar"/>
        </w:rPr>
        <w:t xml:space="preserve">│   ├── Multilateral bank financing</w:t>
      </w:r>
      <w:r>
        <w:br/>
      </w:r>
      <w:r>
        <w:rPr>
          <w:rStyle w:val="VerbatimChar"/>
        </w:rPr>
        <w:t xml:space="preserve">│   ├── Private sector partners</w:t>
      </w:r>
      <w:r>
        <w:br/>
      </w:r>
      <w:r>
        <w:rPr>
          <w:rStyle w:val="VerbatimChar"/>
        </w:rPr>
        <w:t xml:space="preserve">│   └── Government contribution</w:t>
      </w:r>
      <w:r>
        <w:br/>
      </w:r>
      <w:r>
        <w:rPr>
          <w:rStyle w:val="VerbatimChar"/>
        </w:rPr>
        <w:t xml:space="preserve">├── Outcomes &amp; Impact</w:t>
      </w:r>
      <w:r>
        <w:br/>
      </w:r>
      <w:r>
        <w:rPr>
          <w:rStyle w:val="VerbatimChar"/>
        </w:rPr>
        <w:t xml:space="preserve">│   ├── Measurable outcomes (if available)</w:t>
      </w:r>
      <w:r>
        <w:br/>
      </w:r>
      <w:r>
        <w:rPr>
          <w:rStyle w:val="VerbatimChar"/>
        </w:rPr>
        <w:t xml:space="preserve">│   ├── M&amp;E assessment summary</w:t>
      </w:r>
      <w:r>
        <w:br/>
      </w:r>
      <w:r>
        <w:rPr>
          <w:rStyle w:val="VerbatimChar"/>
        </w:rPr>
        <w:t xml:space="preserve">│   └── Lessons learned</w:t>
      </w:r>
      <w:r>
        <w:br/>
      </w:r>
      <w:r>
        <w:rPr>
          <w:rStyle w:val="VerbatimChar"/>
        </w:rPr>
        <w:t xml:space="preserve">├── Photos &amp; Media</w:t>
      </w:r>
      <w:r>
        <w:br/>
      </w:r>
      <w:r>
        <w:rPr>
          <w:rStyle w:val="VerbatimChar"/>
        </w:rPr>
        <w:t xml:space="preserve">│   ├── Project site photos</w:t>
      </w:r>
      <w:r>
        <w:br/>
      </w:r>
      <w:r>
        <w:rPr>
          <w:rStyle w:val="VerbatimChar"/>
        </w:rPr>
        <w:t xml:space="preserve">│   ├── Before/after comparisons (if applicable)</w:t>
      </w:r>
      <w:r>
        <w:br/>
      </w:r>
      <w:r>
        <w:rPr>
          <w:rStyle w:val="VerbatimChar"/>
        </w:rPr>
        <w:t xml:space="preserve">│   └── Video embeds (if available)</w:t>
      </w:r>
      <w:r>
        <w:br/>
      </w:r>
      <w:r>
        <w:rPr>
          <w:rStyle w:val="VerbatimChar"/>
        </w:rPr>
        <w:t xml:space="preserve">├── Replicability Analysis</w:t>
      </w:r>
      <w:r>
        <w:br/>
      </w:r>
      <w:r>
        <w:rPr>
          <w:rStyle w:val="VerbatimChar"/>
        </w:rPr>
        <w:t xml:space="preserve">│   ├── What conditions made this possible</w:t>
      </w:r>
      <w:r>
        <w:br/>
      </w:r>
      <w:r>
        <w:rPr>
          <w:rStyle w:val="VerbatimChar"/>
        </w:rPr>
        <w:t xml:space="preserve">│   ├── What other cities would need</w:t>
      </w:r>
      <w:r>
        <w:br/>
      </w:r>
      <w:r>
        <w:rPr>
          <w:rStyle w:val="VerbatimChar"/>
        </w:rPr>
        <w:t xml:space="preserve">│   └── Scalability assessment</w:t>
      </w:r>
      <w:r>
        <w:br/>
      </w:r>
      <w:r>
        <w:rPr>
          <w:rStyle w:val="VerbatimChar"/>
        </w:rPr>
        <w:t xml:space="preserve">└── Related Projects</w:t>
      </w:r>
      <w:r>
        <w:br/>
      </w:r>
      <w:r>
        <w:rPr>
          <w:rStyle w:val="VerbatimChar"/>
        </w:rPr>
        <w:t xml:space="preserve">    └── Projects in same focus area or with same partners</w:t>
      </w:r>
    </w:p>
    <w:p>
      <w:pPr>
        <w:pStyle w:val="FirstParagraph"/>
      </w:pPr>
      <w:r>
        <w:rPr>
          <w:bCs/>
          <w:b/>
        </w:rPr>
        <w:t xml:space="preserve">Flagship Projects to Profile (minimum 20):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 Sue Grand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Transport Modernization (PTMP)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Davao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ADB, GCF, AIF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Build4People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Phnom Penh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&amp;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EU/GIZ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Banyuwangi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&amp;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Dottoro’ta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Makassar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Civic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JakPreneur / JakLingko / JAKI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SSDaP (Siem Reap Smart Sustainable Development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Reap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SmartJAMP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PM2.5 Command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Chiang 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Thailand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Go! 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Civic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Philippines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(Adaptive Traffic Control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Cebu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Security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Sihanoukville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Payment Hub (tarus)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Bandar Seri Begawan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Civic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Brunei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Nang Sustainable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Phuket Medical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Phuket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&amp; Well-being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Vientiane Wastewater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Battambang Water &amp; Sanitation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Battambang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Luang Prabang Urban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Luang Prabang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 Pyi Taw Low-Cost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 Pyi Taw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Tourism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Reap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Civic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Converged Command and Control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Davao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Texts to write per case study:</w:t>
      </w:r>
      <w:r>
        <w:t xml:space="preserve"> </w:t>
      </w:r>
      <w:r>
        <w:t xml:space="preserve">- 300-500 word project narrative covering: background, implementation, partners, outcomes, lessons</w:t>
      </w:r>
      <w:r>
        <w:t xml:space="preserve"> </w:t>
      </w:r>
      <w:r>
        <w:t xml:space="preserve">- Technical specifications (where available from M&amp;E reports)</w:t>
      </w:r>
      <w:r>
        <w:t xml:space="preserve"> </w:t>
      </w:r>
      <w:r>
        <w:t xml:space="preserve">- Financing breakdown</w:t>
      </w:r>
      <w:r>
        <w:t xml:space="preserve"> </w:t>
      </w:r>
      <w:r>
        <w:t xml:space="preserve">- Timeline with key milestones</w:t>
      </w:r>
    </w:p>
    <w:p>
      <w:pPr>
        <w:pStyle w:val="BodyText"/>
      </w:pPr>
      <w:r>
        <w:rPr>
          <w:bCs/>
          <w:b/>
        </w:rPr>
        <w:t xml:space="preserve">Photos to source:</w:t>
      </w:r>
      <w:r>
        <w:t xml:space="preserve"> </w:t>
      </w:r>
      <w:r>
        <w:t xml:space="preserve">- Project site photos from: ADB photo library, World Bank photo library, JICA photo archive, national government press releases, city government websites</w:t>
      </w:r>
      <w:r>
        <w:t xml:space="preserve"> </w:t>
      </w:r>
      <w:r>
        <w:t xml:space="preserve">- Before/after aerial imagery (Google Earth, Sentinel Hub)</w:t>
      </w:r>
      <w:r>
        <w:t xml:space="preserve"> </w:t>
      </w:r>
      <w:r>
        <w:t xml:space="preserve">- Event photos from project launches</w:t>
      </w:r>
    </w:p>
    <w:p>
      <w:r>
        <w:pict>
          <v:rect style="width:0;height:1.5pt" o:hralign="center" o:hrstd="t" o:hr="t"/>
        </w:pict>
      </w:r>
    </w:p>
    <w:bookmarkEnd w:id="60"/>
    <w:bookmarkStart w:id="61" w:name="b.4-dialogue-partner-detail-pages"/>
    <w:p>
      <w:pPr>
        <w:pStyle w:val="Heading4"/>
      </w:pPr>
      <w:r>
        <w:t xml:space="preserve">B.4 Dialogue Partner Detail Pages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Deep profiles for each bilateral dialogue partner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City officials seeking partner engagement, development partners, researchers</w:t>
      </w:r>
    </w:p>
    <w:p>
      <w:pPr>
        <w:pStyle w:val="BodyText"/>
      </w:pPr>
      <w:r>
        <w:rPr>
          <w:bCs/>
          <w:b/>
        </w:rPr>
        <w:t xml:space="preserve">Content Structure (per partner):</w:t>
      </w:r>
    </w:p>
    <w:p>
      <w:pPr>
        <w:pStyle w:val="SourceCode"/>
      </w:pPr>
      <w:r>
        <w:rPr>
          <w:rStyle w:val="VerbatimChar"/>
        </w:rPr>
        <w:t xml:space="preserve">/partners/{partner-slug}</w:t>
      </w:r>
      <w:r>
        <w:br/>
      </w:r>
      <w:r>
        <w:rPr>
          <w:rStyle w:val="VerbatimChar"/>
        </w:rPr>
        <w:t xml:space="preserve">├── Partner Header</w:t>
      </w:r>
      <w:r>
        <w:br/>
      </w:r>
      <w:r>
        <w:rPr>
          <w:rStyle w:val="VerbatimChar"/>
        </w:rPr>
        <w:t xml:space="preserve">│   ├── Country flag + name</w:t>
      </w:r>
      <w:r>
        <w:br/>
      </w:r>
      <w:r>
        <w:rPr>
          <w:rStyle w:val="VerbatimChar"/>
        </w:rPr>
        <w:t xml:space="preserve">│   ├── Programme name (e.g., SmartJAMP, AASCTF)</w:t>
      </w:r>
      <w:r>
        <w:br/>
      </w:r>
      <w:r>
        <w:rPr>
          <w:rStyle w:val="VerbatimChar"/>
        </w:rPr>
        <w:t xml:space="preserve">│   ├── Total commitment amount</w:t>
      </w:r>
      <w:r>
        <w:br/>
      </w:r>
      <w:r>
        <w:rPr>
          <w:rStyle w:val="VerbatimChar"/>
        </w:rPr>
        <w:t xml:space="preserve">│   ├── Duration/active period</w:t>
      </w:r>
      <w:r>
        <w:br/>
      </w:r>
      <w:r>
        <w:rPr>
          <w:rStyle w:val="VerbatimChar"/>
        </w:rPr>
        <w:t xml:space="preserve">│   └── Programme logo</w:t>
      </w:r>
      <w:r>
        <w:br/>
      </w:r>
      <w:r>
        <w:rPr>
          <w:rStyle w:val="VerbatimChar"/>
        </w:rPr>
        <w:t xml:space="preserve">├── Programme Overview</w:t>
      </w:r>
      <w:r>
        <w:br/>
      </w:r>
      <w:r>
        <w:rPr>
          <w:rStyle w:val="VerbatimChar"/>
        </w:rPr>
        <w:t xml:space="preserve">│   ├── Description and objectives</w:t>
      </w:r>
      <w:r>
        <w:br/>
      </w:r>
      <w:r>
        <w:rPr>
          <w:rStyle w:val="VerbatimChar"/>
        </w:rPr>
        <w:t xml:space="preserve">│   ├── Governance structure</w:t>
      </w:r>
      <w:r>
        <w:br/>
      </w:r>
      <w:r>
        <w:rPr>
          <w:rStyle w:val="VerbatimChar"/>
        </w:rPr>
        <w:t xml:space="preserve">│   └── Key statistics (cities covered, sectors, funding disbursed)</w:t>
      </w:r>
      <w:r>
        <w:br/>
      </w:r>
      <w:r>
        <w:rPr>
          <w:rStyle w:val="VerbatimChar"/>
        </w:rPr>
        <w:t xml:space="preserve">├── City Coverage</w:t>
      </w:r>
      <w:r>
        <w:br/>
      </w:r>
      <w:r>
        <w:rPr>
          <w:rStyle w:val="VerbatimChar"/>
        </w:rPr>
        <w:t xml:space="preserve">│   ├── Map showing partner city coverage</w:t>
      </w:r>
      <w:r>
        <w:br/>
      </w:r>
      <w:r>
        <w:rPr>
          <w:rStyle w:val="VerbatimChar"/>
        </w:rPr>
        <w:t xml:space="preserve">│   ├── List of participating ASCN cities</w:t>
      </w:r>
      <w:r>
        <w:br/>
      </w:r>
      <w:r>
        <w:rPr>
          <w:rStyle w:val="VerbatimChar"/>
        </w:rPr>
        <w:t xml:space="preserve">│   └── Projects funded per city</w:t>
      </w:r>
      <w:r>
        <w:br/>
      </w:r>
      <w:r>
        <w:rPr>
          <w:rStyle w:val="VerbatimChar"/>
        </w:rPr>
        <w:t xml:space="preserve">├── Key Statistics</w:t>
      </w:r>
      <w:r>
        <w:br/>
      </w:r>
      <w:r>
        <w:rPr>
          <w:rStyle w:val="VerbatimChar"/>
        </w:rPr>
        <w:t xml:space="preserve">│   ├── Total funding committed vs. disbursed</w:t>
      </w:r>
      <w:r>
        <w:br/>
      </w:r>
      <w:r>
        <w:rPr>
          <w:rStyle w:val="VerbatimChar"/>
        </w:rPr>
        <w:t xml:space="preserve">│   ├── Number of feasibility studies</w:t>
      </w:r>
      <w:r>
        <w:br/>
      </w:r>
      <w:r>
        <w:rPr>
          <w:rStyle w:val="VerbatimChar"/>
        </w:rPr>
        <w:t xml:space="preserve">│   ├── Number of projects funded</w:t>
      </w:r>
      <w:r>
        <w:br/>
      </w:r>
      <w:r>
        <w:rPr>
          <w:rStyle w:val="VerbatimChar"/>
        </w:rPr>
        <w:t xml:space="preserve">│   ├── Sectors covered</w:t>
      </w:r>
      <w:r>
        <w:br/>
      </w:r>
      <w:r>
        <w:rPr>
          <w:rStyle w:val="VerbatimChar"/>
        </w:rPr>
        <w:t xml:space="preserve">│   └── Timeline of engagement</w:t>
      </w:r>
      <w:r>
        <w:br/>
      </w:r>
      <w:r>
        <w:rPr>
          <w:rStyle w:val="VerbatimChar"/>
        </w:rPr>
        <w:t xml:space="preserve">├── Notable Projects</w:t>
      </w:r>
      <w:r>
        <w:br/>
      </w:r>
      <w:r>
        <w:rPr>
          <w:rStyle w:val="VerbatimChar"/>
        </w:rPr>
        <w:t xml:space="preserve">│   ├── Flagship projects funded by this partner</w:t>
      </w:r>
      <w:r>
        <w:br/>
      </w:r>
      <w:r>
        <w:rPr>
          <w:rStyle w:val="VerbatimChar"/>
        </w:rPr>
        <w:t xml:space="preserve">│   └── Project outcome summaries</w:t>
      </w:r>
      <w:r>
        <w:br/>
      </w:r>
      <w:r>
        <w:rPr>
          <w:rStyle w:val="VerbatimChar"/>
        </w:rPr>
        <w:t xml:space="preserve">├── Comparison with Other Partners</w:t>
      </w:r>
      <w:r>
        <w:br/>
      </w:r>
      <w:r>
        <w:rPr>
          <w:rStyle w:val="VerbatimChar"/>
        </w:rPr>
        <w:t xml:space="preserve">│   └── Side-by-side comparison table</w:t>
      </w:r>
      <w:r>
        <w:br/>
      </w:r>
      <w:r>
        <w:rPr>
          <w:rStyle w:val="VerbatimChar"/>
        </w:rPr>
        <w:t xml:space="preserve">└── External Links</w:t>
      </w:r>
      <w:r>
        <w:br/>
      </w:r>
      <w:r>
        <w:rPr>
          <w:rStyle w:val="VerbatimChar"/>
        </w:rPr>
        <w:t xml:space="preserve">    ├── Official programme website</w:t>
      </w:r>
      <w:r>
        <w:br/>
      </w:r>
      <w:r>
        <w:rPr>
          <w:rStyle w:val="VerbatimChar"/>
        </w:rPr>
        <w:t xml:space="preserve">    ├── ASEAN partnership page</w:t>
      </w:r>
      <w:r>
        <w:br/>
      </w:r>
      <w:r>
        <w:rPr>
          <w:rStyle w:val="VerbatimChar"/>
        </w:rPr>
        <w:t xml:space="preserve">    └── Related documents</w:t>
      </w:r>
    </w:p>
    <w:p>
      <w:pPr>
        <w:pStyle w:val="FirstParagraph"/>
      </w:pPr>
      <w:r>
        <w:rPr>
          <w:bCs/>
          <w:b/>
        </w:rPr>
        <w:t xml:space="preserve">Partners to Profile: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SmartJAMP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JPY 250B (~$2.4B), 26 cities, 10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Bangkok, Da Nang, Nay Pyi Taw, Mandalay, Yangon, Kuching, Johor Bahru, Batam, Surabaya, Bandung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AASCTF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 20M (~$14M), 2019-2024, 24 cities, 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ASPP + K-City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ASEAN-Korea Cooperation Fund, SNU 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Hanoi, Bangkok, Jakarta, 49 countries globally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USASCP / USTDA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&gt;$10M, 20+ projects since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Vientiane, Phuket, Ho Chi Minh City, Kuala Lumpur, Makassar, Jakarta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200M+ regional support (2014-2020)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cities via UNCDF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ASEAN-China Smart City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Leaders’ Statement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Chinese cities paired with 26 ASCN cities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Texts to write:</w:t>
      </w:r>
      <w:r>
        <w:t xml:space="preserve"> </w:t>
      </w:r>
      <w:r>
        <w:t xml:space="preserve">- Programme description (200-300 words per partner)</w:t>
      </w:r>
      <w:r>
        <w:t xml:space="preserve"> </w:t>
      </w:r>
      <w:r>
        <w:t xml:space="preserve">- Governance and implementation structure</w:t>
      </w:r>
      <w:r>
        <w:t xml:space="preserve"> </w:t>
      </w:r>
      <w:r>
        <w:t xml:space="preserve">- Key achievements and challenges</w:t>
      </w:r>
      <w:r>
        <w:t xml:space="preserve"> </w:t>
      </w:r>
      <w:r>
        <w:t xml:space="preserve">- Comparison narrative</w:t>
      </w:r>
    </w:p>
    <w:p>
      <w:pPr>
        <w:pStyle w:val="BodyText"/>
      </w:pPr>
      <w:r>
        <w:rPr>
          <w:bCs/>
          <w:b/>
        </w:rPr>
        <w:t xml:space="preserve">Assets to source:</w:t>
      </w:r>
      <w:r>
        <w:t xml:space="preserve"> </w:t>
      </w:r>
      <w:r>
        <w:t xml:space="preserve">- Partner logos (official, high-resolution)</w:t>
      </w:r>
      <w:r>
        <w:t xml:space="preserve"> </w:t>
      </w:r>
      <w:r>
        <w:t xml:space="preserve">- Programme brochure PDFs</w:t>
      </w:r>
      <w:r>
        <w:t xml:space="preserve"> </w:t>
      </w:r>
      <w:r>
        <w:t xml:space="preserve">- City coverage maps (to be generated)</w:t>
      </w:r>
      <w:r>
        <w:t xml:space="preserve"> </w:t>
      </w:r>
      <w:r>
        <w:t xml:space="preserve">- Project photos from each partner</w:t>
      </w:r>
      <w:r>
        <w:t xml:space="preserve"> </w:t>
      </w:r>
      <w:r>
        <w:t xml:space="preserve">- Official partnership agreements/documents</w:t>
      </w:r>
    </w:p>
    <w:p>
      <w:r>
        <w:pict>
          <v:rect style="width:0;height:1.5pt" o:hralign="center" o:hrstd="t" o:hr="t"/>
        </w:pict>
      </w:r>
    </w:p>
    <w:bookmarkEnd w:id="61"/>
    <w:bookmarkStart w:id="62" w:name="b.5-events-calendar"/>
    <w:p>
      <w:pPr>
        <w:pStyle w:val="Heading4"/>
      </w:pPr>
      <w:r>
        <w:t xml:space="preserve">B.5 Events Calendar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Archive of ASCN meetings and related smart city events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All stakeholder types seeking meeting records and upcoming events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/events</w:t>
      </w:r>
      <w:r>
        <w:br/>
      </w:r>
      <w:r>
        <w:rPr>
          <w:rStyle w:val="VerbatimChar"/>
        </w:rPr>
        <w:t xml:space="preserve">├── Upcoming Events (if any)</w:t>
      </w:r>
      <w:r>
        <w:br/>
      </w:r>
      <w:r>
        <w:rPr>
          <w:rStyle w:val="VerbatimChar"/>
        </w:rPr>
        <w:t xml:space="preserve">├── Annual Meetings Archive</w:t>
      </w:r>
      <w:r>
        <w:br/>
      </w:r>
      <w:r>
        <w:rPr>
          <w:rStyle w:val="VerbatimChar"/>
        </w:rPr>
        <w:t xml:space="preserve">│   ├── 8th ASCN — Malaysia, Kuala Lumpur, September 2025</w:t>
      </w:r>
      <w:r>
        <w:br/>
      </w:r>
      <w:r>
        <w:rPr>
          <w:rStyle w:val="VerbatimChar"/>
        </w:rPr>
        <w:t xml:space="preserve">│   ├── 7th ASCN — Lao PDR, Luang Prabang, July-August 2024</w:t>
      </w:r>
      <w:r>
        <w:br/>
      </w:r>
      <w:r>
        <w:rPr>
          <w:rStyle w:val="VerbatimChar"/>
        </w:rPr>
        <w:t xml:space="preserve">│   ├── 6th ASCN — Lao PDR, 2024</w:t>
      </w:r>
      <w:r>
        <w:br/>
      </w:r>
      <w:r>
        <w:rPr>
          <w:rStyle w:val="VerbatimChar"/>
        </w:rPr>
        <w:t xml:space="preserve">│   ├── 5th ASCN — Indonesia, 2023</w:t>
      </w:r>
      <w:r>
        <w:br/>
      </w:r>
      <w:r>
        <w:rPr>
          <w:rStyle w:val="VerbatimChar"/>
        </w:rPr>
        <w:t xml:space="preserve">│   ├── 4th ASCN — Cambodia, 2021-22</w:t>
      </w:r>
      <w:r>
        <w:br/>
      </w:r>
      <w:r>
        <w:rPr>
          <w:rStyle w:val="VerbatimChar"/>
        </w:rPr>
        <w:t xml:space="preserve">│   ├── 3rd ASCN — Brunei, 2020 (virtual)</w:t>
      </w:r>
      <w:r>
        <w:br/>
      </w:r>
      <w:r>
        <w:rPr>
          <w:rStyle w:val="VerbatimChar"/>
        </w:rPr>
        <w:t xml:space="preserve">│   ├── 2nd ASCN — Thailand, Bangkok, August 2019</w:t>
      </w:r>
      <w:r>
        <w:br/>
      </w:r>
      <w:r>
        <w:rPr>
          <w:rStyle w:val="VerbatimChar"/>
        </w:rPr>
        <w:t xml:space="preserve">│   └── 1st ASCN — Singapore, July 2018</w:t>
      </w:r>
      <w:r>
        <w:br/>
      </w:r>
      <w:r>
        <w:rPr>
          <w:rStyle w:val="VerbatimChar"/>
        </w:rPr>
        <w:t xml:space="preserve">├── Related Events</w:t>
      </w:r>
      <w:r>
        <w:br/>
      </w:r>
      <w:r>
        <w:rPr>
          <w:rStyle w:val="VerbatimChar"/>
        </w:rPr>
        <w:t xml:space="preserve">│   ├── ASEAN Sustainable Urbanisation Forum (ASUF) 2024-2025</w:t>
      </w:r>
      <w:r>
        <w:br/>
      </w:r>
      <w:r>
        <w:rPr>
          <w:rStyle w:val="VerbatimChar"/>
        </w:rPr>
        <w:t xml:space="preserve">│   ├── Smart City Expo Kuala Lumpur 2025</w:t>
      </w:r>
      <w:r>
        <w:br/>
      </w:r>
      <w:r>
        <w:rPr>
          <w:rStyle w:val="VerbatimChar"/>
        </w:rPr>
        <w:t xml:space="preserve">│   ├── ASEAN-Japan Smart Cities Network High Level Meetings</w:t>
      </w:r>
      <w:r>
        <w:br/>
      </w:r>
      <w:r>
        <w:rPr>
          <w:rStyle w:val="VerbatimChar"/>
        </w:rPr>
        <w:t xml:space="preserve">│   ├── ASCN Discussion Series</w:t>
      </w:r>
      <w:r>
        <w:br/>
      </w:r>
      <w:r>
        <w:rPr>
          <w:rStyle w:val="VerbatimChar"/>
        </w:rPr>
        <w:t xml:space="preserve">│   └── ASPP Training Cycles</w:t>
      </w:r>
      <w:r>
        <w:br/>
      </w:r>
      <w:r>
        <w:rPr>
          <w:rStyle w:val="VerbatimChar"/>
        </w:rPr>
        <w:t xml:space="preserve">└── Each Event Contains:</w:t>
      </w:r>
      <w:r>
        <w:br/>
      </w:r>
      <w:r>
        <w:rPr>
          <w:rStyle w:val="VerbatimChar"/>
        </w:rPr>
        <w:t xml:space="preserve">    ├── Date and location</w:t>
      </w:r>
      <w:r>
        <w:br/>
      </w:r>
      <w:r>
        <w:rPr>
          <w:rStyle w:val="VerbatimChar"/>
        </w:rPr>
        <w:t xml:space="preserve">│   ├── Host country/chair</w:t>
      </w:r>
      <w:r>
        <w:br/>
      </w:r>
      <w:r>
        <w:rPr>
          <w:rStyle w:val="VerbatimChar"/>
        </w:rPr>
        <w:t xml:space="preserve">│   ├── Key outcomes and decisions</w:t>
      </w:r>
      <w:r>
        <w:br/>
      </w:r>
      <w:r>
        <w:rPr>
          <w:rStyle w:val="VerbatimChar"/>
        </w:rPr>
        <w:t xml:space="preserve">│   ├── Documents (communiques, reports)</w:t>
      </w:r>
      <w:r>
        <w:br/>
      </w:r>
      <w:r>
        <w:rPr>
          <w:rStyle w:val="VerbatimChar"/>
        </w:rPr>
        <w:t xml:space="preserve">│   ├── Photos</w:t>
      </w:r>
      <w:r>
        <w:br/>
      </w:r>
      <w:r>
        <w:rPr>
          <w:rStyle w:val="VerbatimChar"/>
        </w:rPr>
        <w:t xml:space="preserve">│   ├── Participating cities and officials</w:t>
      </w:r>
      <w:r>
        <w:br/>
      </w:r>
      <w:r>
        <w:rPr>
          <w:rStyle w:val="VerbatimChar"/>
        </w:rPr>
        <w:t xml:space="preserve">│   └── Related news coverage</w:t>
      </w:r>
    </w:p>
    <w:p>
      <w:pPr>
        <w:pStyle w:val="FirstParagraph"/>
      </w:pPr>
      <w:r>
        <w:rPr>
          <w:bCs/>
          <w:b/>
        </w:rPr>
        <w:t xml:space="preserve">Specific Events to Document: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ASCN 8 Opening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Kuala Lumpur, 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ASCAP 2026-2035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7th ASCN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Jul-1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Luang Prabang, Lao PDR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Panel: Forging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City World Congress Roundtable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ASCN representatives participated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 Smart City Financing Toolkit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26-27 Nov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Jakarta,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formally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ASUF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 PDR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toolkit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5th ASCN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shepherdship; investment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 ASCN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Aug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Bangkok, Thailand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 and M&amp;E Framework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ASCN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(Marina Bay Sands)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Lee Hsien Loong opened; 26 pilot cities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Assets to source:</w:t>
      </w:r>
      <w:r>
        <w:t xml:space="preserve"> </w:t>
      </w:r>
      <w:r>
        <w:t xml:space="preserve">- Event photos from ASEAN Secretariat, DEPA, host country ministries</w:t>
      </w:r>
      <w:r>
        <w:t xml:space="preserve"> </w:t>
      </w:r>
      <w:r>
        <w:t xml:space="preserve">- Official communiques and meeting reports</w:t>
      </w:r>
      <w:r>
        <w:t xml:space="preserve"> </w:t>
      </w:r>
      <w:r>
        <w:t xml:space="preserve">- Press coverage and news articles</w:t>
      </w:r>
      <w:r>
        <w:t xml:space="preserve"> </w:t>
      </w:r>
      <w:r>
        <w:t xml:space="preserve">- Participant lists</w:t>
      </w:r>
      <w:r>
        <w:t xml:space="preserve"> </w:t>
      </w:r>
      <w:r>
        <w:t xml:space="preserve">- Venue photos</w:t>
      </w:r>
    </w:p>
    <w:p>
      <w:r>
        <w:pict>
          <v:rect style="width:0;height:1.5pt" o:hralign="center" o:hrstd="t" o:hr="t"/>
        </w:pict>
      </w:r>
    </w:p>
    <w:bookmarkEnd w:id="62"/>
    <w:bookmarkStart w:id="63" w:name="b.6-capacity-building-hub"/>
    <w:p>
      <w:pPr>
        <w:pStyle w:val="Heading4"/>
      </w:pPr>
      <w:r>
        <w:t xml:space="preserve">B.6 Capacity Building Hub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Centralize all ASCN-related training, scholarship, and capacity programs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City officials, CSCO candidates, government staff, researchers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/capacity-building</w:t>
      </w:r>
      <w:r>
        <w:br/>
      </w:r>
      <w:r>
        <w:rPr>
          <w:rStyle w:val="VerbatimChar"/>
        </w:rPr>
        <w:t xml:space="preserve">├── Programmes Overview</w:t>
      </w:r>
      <w:r>
        <w:br/>
      </w:r>
      <w:r>
        <w:rPr>
          <w:rStyle w:val="VerbatimChar"/>
        </w:rPr>
        <w:t xml:space="preserve">│   └── Table of all programmes with type, duration, eligibility</w:t>
      </w:r>
      <w:r>
        <w:br/>
      </w:r>
      <w:r>
        <w:rPr>
          <w:rStyle w:val="VerbatimChar"/>
        </w:rPr>
        <w:t xml:space="preserve">├── ASEAN Smart City Professional Programme (ASPP)</w:t>
      </w:r>
      <w:r>
        <w:br/>
      </w:r>
      <w:r>
        <w:rPr>
          <w:rStyle w:val="VerbatimChar"/>
        </w:rPr>
        <w:t xml:space="preserve">│   ├── Short-term training</w:t>
      </w:r>
      <w:r>
        <w:br/>
      </w:r>
      <w:r>
        <w:rPr>
          <w:rStyle w:val="VerbatimChar"/>
        </w:rPr>
        <w:t xml:space="preserve">│   │   ├── Description and objectives</w:t>
      </w:r>
      <w:r>
        <w:br/>
      </w:r>
      <w:r>
        <w:rPr>
          <w:rStyle w:val="VerbatimChar"/>
        </w:rPr>
        <w:t xml:space="preserve">│   │   ├── Target participants</w:t>
      </w:r>
      <w:r>
        <w:br/>
      </w:r>
      <w:r>
        <w:rPr>
          <w:rStyle w:val="VerbatimChar"/>
        </w:rPr>
        <w:t xml:space="preserve">│   │   ├── Curriculum overview</w:t>
      </w:r>
      <w:r>
        <w:br/>
      </w:r>
      <w:r>
        <w:rPr>
          <w:rStyle w:val="VerbatimChar"/>
        </w:rPr>
        <w:t xml:space="preserve">│   │   └── Application process</w:t>
      </w:r>
      <w:r>
        <w:br/>
      </w:r>
      <w:r>
        <w:rPr>
          <w:rStyle w:val="VerbatimChar"/>
        </w:rPr>
        <w:t xml:space="preserve">│   └── Master's Programme (SNU)</w:t>
      </w:r>
      <w:r>
        <w:br/>
      </w:r>
      <w:r>
        <w:rPr>
          <w:rStyle w:val="VerbatimChar"/>
        </w:rPr>
        <w:t xml:space="preserve">│       ├── Description (2023-2027)</w:t>
      </w:r>
      <w:r>
        <w:br/>
      </w:r>
      <w:r>
        <w:rPr>
          <w:rStyle w:val="VerbatimChar"/>
        </w:rPr>
        <w:t xml:space="preserve">│       ├── 144 trained, 40 Master's</w:t>
      </w:r>
      <w:r>
        <w:br/>
      </w:r>
      <w:r>
        <w:rPr>
          <w:rStyle w:val="VerbatimChar"/>
        </w:rPr>
        <w:t xml:space="preserve">│       ├── Curriculum and faculty</w:t>
      </w:r>
      <w:r>
        <w:br/>
      </w:r>
      <w:r>
        <w:rPr>
          <w:rStyle w:val="VerbatimChar"/>
        </w:rPr>
        <w:t xml:space="preserve">│       ├── Scholarships and funding</w:t>
      </w:r>
      <w:r>
        <w:br/>
      </w:r>
      <w:r>
        <w:rPr>
          <w:rStyle w:val="VerbatimChar"/>
        </w:rPr>
        <w:t xml:space="preserve">│       ├── First graduates (February 2026)</w:t>
      </w:r>
      <w:r>
        <w:br/>
      </w:r>
      <w:r>
        <w:rPr>
          <w:rStyle w:val="VerbatimChar"/>
        </w:rPr>
        <w:t xml:space="preserve">│       └── Application info and deadlines</w:t>
      </w:r>
      <w:r>
        <w:br/>
      </w:r>
      <w:r>
        <w:rPr>
          <w:rStyle w:val="VerbatimChar"/>
        </w:rPr>
        <w:t xml:space="preserve">├── ASEAN Sustainable Urbanisation Strategy (ASUS)</w:t>
      </w:r>
      <w:r>
        <w:br/>
      </w:r>
      <w:r>
        <w:rPr>
          <w:rStyle w:val="VerbatimChar"/>
        </w:rPr>
        <w:t xml:space="preserve">│   ├── Phase I: 8 pilot cities</w:t>
      </w:r>
      <w:r>
        <w:br/>
      </w:r>
      <w:r>
        <w:rPr>
          <w:rStyle w:val="VerbatimChar"/>
        </w:rPr>
        <w:t xml:space="preserve">│   ├── Phase II: Expansion</w:t>
      </w:r>
      <w:r>
        <w:br/>
      </w:r>
      <w:r>
        <w:rPr>
          <w:rStyle w:val="VerbatimChar"/>
        </w:rPr>
        <w:t xml:space="preserve">│   ├── UN-Habitat implementation</w:t>
      </w:r>
      <w:r>
        <w:br/>
      </w:r>
      <w:r>
        <w:rPr>
          <w:rStyle w:val="VerbatimChar"/>
        </w:rPr>
        <w:t xml:space="preserve">│   └── City outcomes</w:t>
      </w:r>
      <w:r>
        <w:br/>
      </w:r>
      <w:r>
        <w:rPr>
          <w:rStyle w:val="VerbatimChar"/>
        </w:rPr>
        <w:t xml:space="preserve">├── Urban Planning for City Leaders Training</w:t>
      </w:r>
      <w:r>
        <w:br/>
      </w:r>
      <w:r>
        <w:rPr>
          <w:rStyle w:val="VerbatimChar"/>
        </w:rPr>
        <w:t xml:space="preserve">│   ├── Curriculum</w:t>
      </w:r>
      <w:r>
        <w:br/>
      </w:r>
      <w:r>
        <w:rPr>
          <w:rStyle w:val="VerbatimChar"/>
        </w:rPr>
        <w:t xml:space="preserve">│   ├── Target audience</w:t>
      </w:r>
      <w:r>
        <w:br/>
      </w:r>
      <w:r>
        <w:rPr>
          <w:rStyle w:val="VerbatimChar"/>
        </w:rPr>
        <w:t xml:space="preserve">│   └── Schedule</w:t>
      </w:r>
      <w:r>
        <w:br/>
      </w:r>
      <w:r>
        <w:rPr>
          <w:rStyle w:val="VerbatimChar"/>
        </w:rPr>
        <w:t xml:space="preserve">├── Multi-Stakeholder Capacity Building Programme</w:t>
      </w:r>
      <w:r>
        <w:br/>
      </w:r>
      <w:r>
        <w:rPr>
          <w:rStyle w:val="VerbatimChar"/>
        </w:rPr>
        <w:t xml:space="preserve">│   ├── Description</w:t>
      </w:r>
      <w:r>
        <w:br/>
      </w:r>
      <w:r>
        <w:rPr>
          <w:rStyle w:val="VerbatimChar"/>
        </w:rPr>
        <w:t xml:space="preserve">│   └── Participating institutions</w:t>
      </w:r>
      <w:r>
        <w:br/>
      </w:r>
      <w:r>
        <w:rPr>
          <w:rStyle w:val="VerbatimChar"/>
        </w:rPr>
        <w:t xml:space="preserve">├── ASEAN Smart City Financing Toolkit (Nov 2024)</w:t>
      </w:r>
      <w:r>
        <w:br/>
      </w:r>
      <w:r>
        <w:rPr>
          <w:rStyle w:val="VerbatimChar"/>
        </w:rPr>
        <w:t xml:space="preserve">│   ├── Overview and launch context</w:t>
      </w:r>
      <w:r>
        <w:br/>
      </w:r>
      <w:r>
        <w:rPr>
          <w:rStyle w:val="VerbatimChar"/>
        </w:rPr>
        <w:t xml:space="preserve">│   ├── Aus4ASEAN + Access Partnership</w:t>
      </w:r>
      <w:r>
        <w:br/>
      </w:r>
      <w:r>
        <w:rPr>
          <w:rStyle w:val="VerbatimChar"/>
        </w:rPr>
        <w:t xml:space="preserve">│   ├── FIRST tool explanation</w:t>
      </w:r>
      <w:r>
        <w:br/>
      </w:r>
      <w:r>
        <w:rPr>
          <w:rStyle w:val="VerbatimChar"/>
        </w:rPr>
        <w:t xml:space="preserve">│   ├── How to use</w:t>
      </w:r>
      <w:r>
        <w:br/>
      </w:r>
      <w:r>
        <w:rPr>
          <w:rStyle w:val="VerbatimChar"/>
        </w:rPr>
        <w:t xml:space="preserve">│   └── Case studies</w:t>
      </w:r>
      <w:r>
        <w:br/>
      </w:r>
      <w:r>
        <w:rPr>
          <w:rStyle w:val="VerbatimChar"/>
        </w:rPr>
        <w:t xml:space="preserve">├── Alumni Profiles</w:t>
      </w:r>
      <w:r>
        <w:br/>
      </w:r>
      <w:r>
        <w:rPr>
          <w:rStyle w:val="VerbatimChar"/>
        </w:rPr>
        <w:t xml:space="preserve">│   ├── ASPP alumni by country</w:t>
      </w:r>
      <w:r>
        <w:br/>
      </w:r>
      <w:r>
        <w:rPr>
          <w:rStyle w:val="VerbatimChar"/>
        </w:rPr>
        <w:t xml:space="preserve">│   ├── Career trajectories</w:t>
      </w:r>
      <w:r>
        <w:br/>
      </w:r>
      <w:r>
        <w:rPr>
          <w:rStyle w:val="VerbatimChar"/>
        </w:rPr>
        <w:t xml:space="preserve">│   └── Testimonials</w:t>
      </w:r>
      <w:r>
        <w:br/>
      </w:r>
      <w:r>
        <w:rPr>
          <w:rStyle w:val="VerbatimChar"/>
        </w:rPr>
        <w:t xml:space="preserve">└── Application Portal</w:t>
      </w:r>
      <w:r>
        <w:br/>
      </w:r>
      <w:r>
        <w:rPr>
          <w:rStyle w:val="VerbatimChar"/>
        </w:rPr>
        <w:t xml:space="preserve">    └── Links to application forms and deadlines</w:t>
      </w:r>
    </w:p>
    <w:p>
      <w:pPr>
        <w:pStyle w:val="FirstParagraph"/>
      </w:pPr>
      <w:r>
        <w:rPr>
          <w:bCs/>
          <w:b/>
        </w:rPr>
        <w:t xml:space="preserve">Specific Content: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ASPP Short-term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 + 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trained since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Curriculum, cohort photos,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ASPP Master’s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 National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Master’s, 2023-2027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Syllabus, faculty, admission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ASUS Phase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UN-Habitat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pilot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list, intervention summaries,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ASUS Phase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UN-Habitat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list,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 + 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2024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videos, case studies, FIRST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Planning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materials, registration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Assets to source:</w:t>
      </w:r>
      <w:r>
        <w:t xml:space="preserve"> </w:t>
      </w:r>
      <w:r>
        <w:t xml:space="preserve">- Training photos from SNU, UN-Habitat, ASEAN Secretariat</w:t>
      </w:r>
      <w:r>
        <w:t xml:space="preserve"> </w:t>
      </w:r>
      <w:r>
        <w:t xml:space="preserve">- Curriculum documents and syllabi</w:t>
      </w:r>
      <w:r>
        <w:t xml:space="preserve"> </w:t>
      </w:r>
      <w:r>
        <w:t xml:space="preserve">- Alumni portraits and testimonials</w:t>
      </w:r>
      <w:r>
        <w:t xml:space="preserve"> </w:t>
      </w:r>
      <w:r>
        <w:t xml:space="preserve">- Graduation/ completion ceremony photos</w:t>
      </w:r>
      <w:r>
        <w:t xml:space="preserve"> </w:t>
      </w:r>
      <w:r>
        <w:t xml:space="preserve">- Toolkit screenshots and demo videos</w:t>
      </w:r>
      <w:r>
        <w:t xml:space="preserve"> </w:t>
      </w:r>
      <w:r>
        <w:t xml:space="preserve">- Application forms and eligibility criteria</w:t>
      </w:r>
    </w:p>
    <w:p>
      <w:r>
        <w:pict>
          <v:rect style="width:0;height:1.5pt" o:hralign="center" o:hrstd="t" o:hr="t"/>
        </w:pict>
      </w:r>
    </w:p>
    <w:bookmarkEnd w:id="63"/>
    <w:bookmarkStart w:id="64" w:name="b.7-multilateral-programme-tracker"/>
    <w:p>
      <w:pPr>
        <w:pStyle w:val="Heading4"/>
      </w:pPr>
      <w:r>
        <w:t xml:space="preserve">B.7 Multilateral Programme Tracker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all multilateral institution engagements with ASCN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Development partners, researchers, finance officials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/multilateral-tracker</w:t>
      </w:r>
      <w:r>
        <w:br/>
      </w:r>
      <w:r>
        <w:rPr>
          <w:rStyle w:val="VerbatimChar"/>
        </w:rPr>
        <w:t xml:space="preserve">├── Institution Cards</w:t>
      </w:r>
      <w:r>
        <w:br/>
      </w:r>
      <w:r>
        <w:rPr>
          <w:rStyle w:val="VerbatimChar"/>
        </w:rPr>
        <w:t xml:space="preserve">│   ├── ADB</w:t>
      </w:r>
      <w:r>
        <w:br/>
      </w:r>
      <w:r>
        <w:rPr>
          <w:rStyle w:val="VerbatimChar"/>
        </w:rPr>
        <w:t xml:space="preserve">│   │   ├── Loans portfolio</w:t>
      </w:r>
      <w:r>
        <w:br/>
      </w:r>
      <w:r>
        <w:rPr>
          <w:rStyle w:val="VerbatimChar"/>
        </w:rPr>
        <w:t xml:space="preserve">│   │   ├── AASCTF management</w:t>
      </w:r>
      <w:r>
        <w:br/>
      </w:r>
      <w:r>
        <w:rPr>
          <w:rStyle w:val="VerbatimChar"/>
        </w:rPr>
        <w:t xml:space="preserve">│   │   ├── ACGF blended finance</w:t>
      </w:r>
      <w:r>
        <w:br/>
      </w:r>
      <w:r>
        <w:rPr>
          <w:rStyle w:val="VerbatimChar"/>
        </w:rPr>
        <w:t xml:space="preserve">│   │   ├── ASUS implementation</w:t>
      </w:r>
      <w:r>
        <w:br/>
      </w:r>
      <w:r>
        <w:rPr>
          <w:rStyle w:val="VerbatimChar"/>
        </w:rPr>
        <w:t xml:space="preserve">│   │   └── Project pipeline</w:t>
      </w:r>
      <w:r>
        <w:br/>
      </w:r>
      <w:r>
        <w:rPr>
          <w:rStyle w:val="VerbatimChar"/>
        </w:rPr>
        <w:t xml:space="preserve">│   ├── World Bank</w:t>
      </w:r>
      <w:r>
        <w:br/>
      </w:r>
      <w:r>
        <w:rPr>
          <w:rStyle w:val="VerbatimChar"/>
        </w:rPr>
        <w:t xml:space="preserve">│   │   ├── Da Nang Sustainable City ($270M)</w:t>
      </w:r>
      <w:r>
        <w:br/>
      </w:r>
      <w:r>
        <w:rPr>
          <w:rStyle w:val="VerbatimChar"/>
        </w:rPr>
        <w:t xml:space="preserve">│   │   └── Other engagements</w:t>
      </w:r>
      <w:r>
        <w:br/>
      </w:r>
      <w:r>
        <w:rPr>
          <w:rStyle w:val="VerbatimChar"/>
        </w:rPr>
        <w:t xml:space="preserve">│   ├── UN-Habitat</w:t>
      </w:r>
      <w:r>
        <w:br/>
      </w:r>
      <w:r>
        <w:rPr>
          <w:rStyle w:val="VerbatimChar"/>
        </w:rPr>
        <w:t xml:space="preserve">│   │   ├── ASEAN Sustainable Urbanisation Strategy</w:t>
      </w:r>
      <w:r>
        <w:br/>
      </w:r>
      <w:r>
        <w:rPr>
          <w:rStyle w:val="VerbatimChar"/>
        </w:rPr>
        <w:t xml:space="preserve">│   │   └── Capacity building programs</w:t>
      </w:r>
      <w:r>
        <w:br/>
      </w:r>
      <w:r>
        <w:rPr>
          <w:rStyle w:val="VerbatimChar"/>
        </w:rPr>
        <w:t xml:space="preserve">│   ├── UNDP</w:t>
      </w:r>
      <w:r>
        <w:br/>
      </w:r>
      <w:r>
        <w:rPr>
          <w:rStyle w:val="VerbatimChar"/>
        </w:rPr>
        <w:t xml:space="preserve">│   │   └── IMAC development support (Johor)</w:t>
      </w:r>
      <w:r>
        <w:br/>
      </w:r>
      <w:r>
        <w:rPr>
          <w:rStyle w:val="VerbatimChar"/>
        </w:rPr>
        <w:t xml:space="preserve">│   ├── ERIA</w:t>
      </w:r>
      <w:r>
        <w:br/>
      </w:r>
      <w:r>
        <w:rPr>
          <w:rStyle w:val="VerbatimChar"/>
        </w:rPr>
        <w:t xml:space="preserve">│   │   ├── Digital twin research</w:t>
      </w:r>
      <w:r>
        <w:br/>
      </w:r>
      <w:r>
        <w:rPr>
          <w:rStyle w:val="VerbatimChar"/>
        </w:rPr>
        <w:t xml:space="preserve">│   │   └── Inclusive smart city research</w:t>
      </w:r>
      <w:r>
        <w:br/>
      </w:r>
      <w:r>
        <w:rPr>
          <w:rStyle w:val="VerbatimChar"/>
        </w:rPr>
        <w:t xml:space="preserve">│   └── ACGF</w:t>
      </w:r>
      <w:r>
        <w:br/>
      </w:r>
      <w:r>
        <w:rPr>
          <w:rStyle w:val="VerbatimChar"/>
        </w:rPr>
        <w:t xml:space="preserve">│       ├── USD 300M GCF + USD 1.9B co-financing</w:t>
      </w:r>
      <w:r>
        <w:br/>
      </w:r>
      <w:r>
        <w:rPr>
          <w:rStyle w:val="VerbatimChar"/>
        </w:rPr>
        <w:t xml:space="preserve">│       ├── ~USD 3.7B total project value</w:t>
      </w:r>
      <w:r>
        <w:br/>
      </w:r>
      <w:r>
        <w:rPr>
          <w:rStyle w:val="VerbatimChar"/>
        </w:rPr>
        <w:t xml:space="preserve">│       └── ~30 projects in pipeline</w:t>
      </w:r>
      <w:r>
        <w:br/>
      </w:r>
      <w:r>
        <w:rPr>
          <w:rStyle w:val="VerbatimChar"/>
        </w:rPr>
        <w:t xml:space="preserve">└── Aggregate Statistics</w:t>
      </w:r>
      <w:r>
        <w:br/>
      </w:r>
      <w:r>
        <w:rPr>
          <w:rStyle w:val="VerbatimChar"/>
        </w:rPr>
        <w:t xml:space="preserve">    ├── Total multilateral financing</w:t>
      </w:r>
      <w:r>
        <w:br/>
      </w:r>
      <w:r>
        <w:rPr>
          <w:rStyle w:val="VerbatimChar"/>
        </w:rPr>
        <w:t xml:space="preserve">    ├── Projects by institution</w:t>
      </w:r>
      <w:r>
        <w:br/>
      </w:r>
      <w:r>
        <w:rPr>
          <w:rStyle w:val="VerbatimChar"/>
        </w:rPr>
        <w:t xml:space="preserve">    └── City coverage map</w:t>
      </w:r>
    </w:p>
    <w:p>
      <w:pPr>
        <w:pStyle w:val="FirstParagraph"/>
      </w:pPr>
      <w:r>
        <w:rPr>
          <w:bCs/>
          <w:b/>
        </w:rPr>
        <w:t xml:space="preserve">Assets to source:</w:t>
      </w:r>
      <w:r>
        <w:t xml:space="preserve"> </w:t>
      </w:r>
      <w:r>
        <w:t xml:space="preserve">- Institution logos and branding</w:t>
      </w:r>
      <w:r>
        <w:t xml:space="preserve"> </w:t>
      </w:r>
      <w:r>
        <w:t xml:space="preserve">- Project documents from each institution</w:t>
      </w:r>
      <w:r>
        <w:t xml:space="preserve"> </w:t>
      </w:r>
      <w:r>
        <w:t xml:space="preserve">- Financial data from annual reports</w:t>
      </w:r>
      <w:r>
        <w:t xml:space="preserve"> </w:t>
      </w:r>
      <w:r>
        <w:t xml:space="preserve">- Institutional partnership agreements</w:t>
      </w:r>
    </w:p>
    <w:p>
      <w:r>
        <w:pict>
          <v:rect style="width:0;height:1.5pt" o:hralign="center" o:hrstd="t" o:hr="t"/>
        </w:pict>
      </w:r>
    </w:p>
    <w:bookmarkEnd w:id="64"/>
    <w:bookmarkStart w:id="65" w:name="b.8-media-gallery"/>
    <w:p>
      <w:pPr>
        <w:pStyle w:val="Heading4"/>
      </w:pPr>
      <w:r>
        <w:t xml:space="preserve">B.8 Media Gallery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Visual archive of ASCN events, city visits, and project sites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All stakeholder types, especially journalists and new visitors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/gallery</w:t>
      </w:r>
      <w:r>
        <w:br/>
      </w:r>
      <w:r>
        <w:rPr>
          <w:rStyle w:val="VerbatimChar"/>
        </w:rPr>
        <w:t xml:space="preserve">├── ASCN Annual Meetings</w:t>
      </w:r>
      <w:r>
        <w:br/>
      </w:r>
      <w:r>
        <w:rPr>
          <w:rStyle w:val="VerbatimChar"/>
        </w:rPr>
        <w:t xml:space="preserve">│   ├── ASCN 8 — Kuala Lumpur 2025</w:t>
      </w:r>
      <w:r>
        <w:br/>
      </w:r>
      <w:r>
        <w:rPr>
          <w:rStyle w:val="VerbatimChar"/>
        </w:rPr>
        <w:t xml:space="preserve">│   ├── ASCN 7 — Luang Prabang 2024</w:t>
      </w:r>
      <w:r>
        <w:br/>
      </w:r>
      <w:r>
        <w:rPr>
          <w:rStyle w:val="VerbatimChar"/>
        </w:rPr>
        <w:t xml:space="preserve">│   ├── ASCN 6 — Lao PDR 2024</w:t>
      </w:r>
      <w:r>
        <w:br/>
      </w:r>
      <w:r>
        <w:rPr>
          <w:rStyle w:val="VerbatimChar"/>
        </w:rPr>
        <w:t xml:space="preserve">│   ├── ASCN 5 — Indonesia 2023</w:t>
      </w:r>
      <w:r>
        <w:br/>
      </w:r>
      <w:r>
        <w:rPr>
          <w:rStyle w:val="VerbatimChar"/>
        </w:rPr>
        <w:t xml:space="preserve">│   ├── ASCN 4 — Cambodia 2021-22</w:t>
      </w:r>
      <w:r>
        <w:br/>
      </w:r>
      <w:r>
        <w:rPr>
          <w:rStyle w:val="VerbatimChar"/>
        </w:rPr>
        <w:t xml:space="preserve">│   ├── ASCN 3 — Brunei 2020 (virtual)</w:t>
      </w:r>
      <w:r>
        <w:br/>
      </w:r>
      <w:r>
        <w:rPr>
          <w:rStyle w:val="VerbatimChar"/>
        </w:rPr>
        <w:t xml:space="preserve">│   ├── ASCN 2 — Bangkok 2019</w:t>
      </w:r>
      <w:r>
        <w:br/>
      </w:r>
      <w:r>
        <w:rPr>
          <w:rStyle w:val="VerbatimChar"/>
        </w:rPr>
        <w:t xml:space="preserve">│   └── ASCN 1 — Singapore 2018</w:t>
      </w:r>
      <w:r>
        <w:br/>
      </w:r>
      <w:r>
        <w:rPr>
          <w:rStyle w:val="VerbatimChar"/>
        </w:rPr>
        <w:t xml:space="preserve">├── City Visits &amp; Field Work</w:t>
      </w:r>
      <w:r>
        <w:br/>
      </w:r>
      <w:r>
        <w:rPr>
          <w:rStyle w:val="VerbatimChar"/>
        </w:rPr>
        <w:t xml:space="preserve">├── Project Sites</w:t>
      </w:r>
      <w:r>
        <w:br/>
      </w:r>
      <w:r>
        <w:rPr>
          <w:rStyle w:val="VerbatimChar"/>
        </w:rPr>
        <w:t xml:space="preserve">├── Exhibition Booths &amp; Displays</w:t>
      </w:r>
      <w:r>
        <w:br/>
      </w:r>
      <w:r>
        <w:rPr>
          <w:rStyle w:val="VerbatimChar"/>
        </w:rPr>
        <w:t xml:space="preserve">├── Leadership &amp; Official Portraits</w:t>
      </w:r>
      <w:r>
        <w:br/>
      </w:r>
      <w:r>
        <w:rPr>
          <w:rStyle w:val="VerbatimChar"/>
        </w:rPr>
        <w:t xml:space="preserve">└── Partner Events</w:t>
      </w:r>
    </w:p>
    <w:p>
      <w:pPr>
        <w:pStyle w:val="FirstParagraph"/>
      </w:pPr>
      <w:r>
        <w:rPr>
          <w:bCs/>
          <w:b/>
        </w:rPr>
        <w:t xml:space="preserve">Assets to source (estimated 50-100 photos):</w:t>
      </w:r>
      <w:r>
        <w:t xml:space="preserve"> </w:t>
      </w:r>
      <w:r>
        <w:t xml:space="preserve">- ASEAN Secretariat photo archive</w:t>
      </w:r>
      <w:r>
        <w:t xml:space="preserve"> </w:t>
      </w:r>
      <w:r>
        <w:t xml:space="preserve">- DEPA Thailand photo library</w:t>
      </w:r>
      <w:r>
        <w:t xml:space="preserve"> </w:t>
      </w:r>
      <w:r>
        <w:t xml:space="preserve">- Host country ministry photo collections</w:t>
      </w:r>
      <w:r>
        <w:t xml:space="preserve"> </w:t>
      </w:r>
      <w:r>
        <w:t xml:space="preserve">- City government photo archives</w:t>
      </w:r>
      <w:r>
        <w:t xml:space="preserve"> </w:t>
      </w:r>
      <w:r>
        <w:t xml:space="preserve">- Partner organization photos (ADB, World Bank, JICA, GIZ)</w:t>
      </w:r>
      <w:r>
        <w:t xml:space="preserve"> </w:t>
      </w:r>
      <w:r>
        <w:t xml:space="preserve">- Individual photographer credits</w:t>
      </w:r>
    </w:p>
    <w:p>
      <w:r>
        <w:pict>
          <v:rect style="width:0;height:1.5pt" o:hralign="center" o:hrstd="t" o:hr="t"/>
        </w:pict>
      </w:r>
    </w:p>
    <w:bookmarkEnd w:id="65"/>
    <w:bookmarkStart w:id="66" w:name="b.9-smart-city-financing-toolkit-section"/>
    <w:p>
      <w:pPr>
        <w:pStyle w:val="Heading4"/>
      </w:pPr>
      <w:r>
        <w:t xml:space="preserve">B.9 Smart City Financing Toolkit Section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Dedicated native section for the November 2024 Financing Toolkit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City finance officers, CSCO teams, project developers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/financing</w:t>
      </w:r>
      <w:r>
        <w:br/>
      </w:r>
      <w:r>
        <w:rPr>
          <w:rStyle w:val="VerbatimChar"/>
        </w:rPr>
        <w:t xml:space="preserve">├── Toolkit Overview</w:t>
      </w:r>
      <w:r>
        <w:br/>
      </w:r>
      <w:r>
        <w:rPr>
          <w:rStyle w:val="VerbatimChar"/>
        </w:rPr>
        <w:t xml:space="preserve">│   ├── Launch context (Nov 2024, Jakarta)</w:t>
      </w:r>
      <w:r>
        <w:br/>
      </w:r>
      <w:r>
        <w:rPr>
          <w:rStyle w:val="VerbatimChar"/>
        </w:rPr>
        <w:t xml:space="preserve">│   ├── Aus4ASEAN + Access Partnership</w:t>
      </w:r>
      <w:r>
        <w:br/>
      </w:r>
      <w:r>
        <w:rPr>
          <w:rStyle w:val="VerbatimChar"/>
        </w:rPr>
        <w:t xml:space="preserve">│   ├── ASEAN Secretariat + ADB management</w:t>
      </w:r>
      <w:r>
        <w:br/>
      </w:r>
      <w:r>
        <w:rPr>
          <w:rStyle w:val="VerbatimChar"/>
        </w:rPr>
        <w:t xml:space="preserve">│   └── 9-language availability</w:t>
      </w:r>
      <w:r>
        <w:br/>
      </w:r>
      <w:r>
        <w:rPr>
          <w:rStyle w:val="VerbatimChar"/>
        </w:rPr>
        <w:t xml:space="preserve">├── FIRST Tool</w:t>
      </w:r>
      <w:r>
        <w:br/>
      </w:r>
      <w:r>
        <w:rPr>
          <w:rStyle w:val="VerbatimChar"/>
        </w:rPr>
        <w:t xml:space="preserve">│   ├── How it works</w:t>
      </w:r>
      <w:r>
        <w:br/>
      </w:r>
      <w:r>
        <w:rPr>
          <w:rStyle w:val="VerbatimChar"/>
        </w:rPr>
        <w:t xml:space="preserve">│   ├── Screenshot walkthrough</w:t>
      </w:r>
      <w:r>
        <w:br/>
      </w:r>
      <w:r>
        <w:rPr>
          <w:rStyle w:val="VerbatimChar"/>
        </w:rPr>
        <w:t xml:space="preserve">│   └── Video demo (if available)</w:t>
      </w:r>
      <w:r>
        <w:br/>
      </w:r>
      <w:r>
        <w:rPr>
          <w:rStyle w:val="VerbatimChar"/>
        </w:rPr>
        <w:t xml:space="preserve">├── Case Studies</w:t>
      </w:r>
      <w:r>
        <w:br/>
      </w:r>
      <w:r>
        <w:rPr>
          <w:rStyle w:val="VerbatimChar"/>
        </w:rPr>
        <w:t xml:space="preserve">│   ├── Successful financing examples</w:t>
      </w:r>
      <w:r>
        <w:br/>
      </w:r>
      <w:r>
        <w:rPr>
          <w:rStyle w:val="VerbatimChar"/>
        </w:rPr>
        <w:t xml:space="preserve">│   └── Instrument selection walkthroughs</w:t>
      </w:r>
      <w:r>
        <w:br/>
      </w:r>
      <w:r>
        <w:rPr>
          <w:rStyle w:val="VerbatimChar"/>
        </w:rPr>
        <w:t xml:space="preserve">├── Discussion Board</w:t>
      </w:r>
      <w:r>
        <w:br/>
      </w:r>
      <w:r>
        <w:rPr>
          <w:rStyle w:val="VerbatimChar"/>
        </w:rPr>
        <w:t xml:space="preserve">│   └── Link to toolkit community</w:t>
      </w:r>
      <w:r>
        <w:br/>
      </w:r>
      <w:r>
        <w:rPr>
          <w:rStyle w:val="VerbatimChar"/>
        </w:rPr>
        <w:t xml:space="preserve">├── AI Chatbot</w:t>
      </w:r>
      <w:r>
        <w:br/>
      </w:r>
      <w:r>
        <w:rPr>
          <w:rStyle w:val="VerbatimChar"/>
        </w:rPr>
        <w:t xml:space="preserve">│   └── Information about the toolkit's AI assistant</w:t>
      </w:r>
      <w:r>
        <w:br/>
      </w:r>
      <w:r>
        <w:rPr>
          <w:rStyle w:val="VerbatimChar"/>
        </w:rPr>
        <w:t xml:space="preserve">├── Download/Access</w:t>
      </w:r>
      <w:r>
        <w:br/>
      </w:r>
      <w:r>
        <w:rPr>
          <w:rStyle w:val="VerbatimChar"/>
        </w:rPr>
        <w:t xml:space="preserve">│   ├── Link to smartcitytoolkit.asean.org</w:t>
      </w:r>
      <w:r>
        <w:br/>
      </w:r>
      <w:r>
        <w:rPr>
          <w:rStyle w:val="VerbatimChar"/>
        </w:rPr>
        <w:t xml:space="preserve">│   └── Language selector</w:t>
      </w:r>
      <w:r>
        <w:br/>
      </w:r>
      <w:r>
        <w:rPr>
          <w:rStyle w:val="VerbatimChar"/>
        </w:rPr>
        <w:t xml:space="preserve">└── Related Resources</w:t>
      </w:r>
      <w:r>
        <w:br/>
      </w:r>
      <w:r>
        <w:rPr>
          <w:rStyle w:val="VerbatimChar"/>
        </w:rPr>
        <w:t xml:space="preserve">    ├── ACGF information</w:t>
      </w:r>
      <w:r>
        <w:br/>
      </w:r>
      <w:r>
        <w:rPr>
          <w:rStyle w:val="VerbatimChar"/>
        </w:rPr>
        <w:t xml:space="preserve">    ├── Blended finance guide</w:t>
      </w:r>
      <w:r>
        <w:br/>
      </w:r>
      <w:r>
        <w:rPr>
          <w:rStyle w:val="VerbatimChar"/>
        </w:rPr>
        <w:t xml:space="preserve">    └── City credit-rating resources</w:t>
      </w:r>
    </w:p>
    <w:p>
      <w:pPr>
        <w:pStyle w:val="FirstParagraph"/>
      </w:pPr>
      <w:r>
        <w:rPr>
          <w:bCs/>
          <w:b/>
        </w:rPr>
        <w:t xml:space="preserve">Assets:</w:t>
      </w:r>
      <w:r>
        <w:t xml:space="preserve"> </w:t>
      </w:r>
      <w:r>
        <w:t xml:space="preserve">- Toolkit screenshots (desktop and mobile)</w:t>
      </w:r>
      <w:r>
        <w:t xml:space="preserve"> </w:t>
      </w:r>
      <w:r>
        <w:t xml:space="preserve">- FIRST tool interface captures</w:t>
      </w:r>
      <w:r>
        <w:t xml:space="preserve"> </w:t>
      </w:r>
      <w:r>
        <w:t xml:space="preserve">- Launch event photos</w:t>
      </w:r>
      <w:r>
        <w:t xml:space="preserve"> </w:t>
      </w:r>
      <w:r>
        <w:t xml:space="preserve">- Tutorial videos (if available)</w:t>
      </w:r>
      <w:r>
        <w:t xml:space="preserve"> </w:t>
      </w:r>
      <w:r>
        <w:t xml:space="preserve">- Case study documents</w:t>
      </w:r>
    </w:p>
    <w:p>
      <w:r>
        <w:pict>
          <v:rect style="width:0;height:1.5pt" o:hralign="center" o:hrstd="t" o:hr="t"/>
        </w:pict>
      </w:r>
    </w:p>
    <w:bookmarkEnd w:id="66"/>
    <w:bookmarkStart w:id="67" w:name="b.10-news-feed"/>
    <w:p>
      <w:pPr>
        <w:pStyle w:val="Heading4"/>
      </w:pPr>
      <w:r>
        <w:t xml:space="preserve">B.10 News Feed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Curated updates from ASCN cities, partners, and the network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All stakeholders seeking current information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/news</w:t>
      </w:r>
      <w:r>
        <w:br/>
      </w:r>
      <w:r>
        <w:rPr>
          <w:rStyle w:val="VerbatimChar"/>
        </w:rPr>
        <w:t xml:space="preserve">├── Featured Story (most recent)</w:t>
      </w:r>
      <w:r>
        <w:br/>
      </w:r>
      <w:r>
        <w:rPr>
          <w:rStyle w:val="VerbatimChar"/>
        </w:rPr>
        <w:t xml:space="preserve">├── Filter by Category</w:t>
      </w:r>
      <w:r>
        <w:br/>
      </w:r>
      <w:r>
        <w:rPr>
          <w:rStyle w:val="VerbatimChar"/>
        </w:rPr>
        <w:t xml:space="preserve">│   ├── ASCN Official</w:t>
      </w:r>
      <w:r>
        <w:br/>
      </w:r>
      <w:r>
        <w:rPr>
          <w:rStyle w:val="VerbatimChar"/>
        </w:rPr>
        <w:t xml:space="preserve">│   ├── City Updates</w:t>
      </w:r>
      <w:r>
        <w:br/>
      </w:r>
      <w:r>
        <w:rPr>
          <w:rStyle w:val="VerbatimChar"/>
        </w:rPr>
        <w:t xml:space="preserve">│   ├── Partner Announcements</w:t>
      </w:r>
      <w:r>
        <w:br/>
      </w:r>
      <w:r>
        <w:rPr>
          <w:rStyle w:val="VerbatimChar"/>
        </w:rPr>
        <w:t xml:space="preserve">│   ├── Project Milestones</w:t>
      </w:r>
      <w:r>
        <w:br/>
      </w:r>
      <w:r>
        <w:rPr>
          <w:rStyle w:val="VerbatimChar"/>
        </w:rPr>
        <w:t xml:space="preserve">│   └── Research &amp; Publications</w:t>
      </w:r>
      <w:r>
        <w:br/>
      </w:r>
      <w:r>
        <w:rPr>
          <w:rStyle w:val="VerbatimChar"/>
        </w:rPr>
        <w:t xml:space="preserve">├── Archive (chronological)</w:t>
      </w:r>
      <w:r>
        <w:br/>
      </w:r>
      <w:r>
        <w:rPr>
          <w:rStyle w:val="VerbatimChar"/>
        </w:rPr>
        <w:t xml:space="preserve">└── RSS Feed</w:t>
      </w:r>
    </w:p>
    <w:p>
      <w:pPr>
        <w:pStyle w:val="FirstParagraph"/>
      </w:pPr>
      <w:r>
        <w:rPr>
          <w:bCs/>
          <w:b/>
        </w:rPr>
        <w:t xml:space="preserve">Content sources:</w:t>
      </w:r>
      <w:r>
        <w:t xml:space="preserve"> </w:t>
      </w:r>
      <w:r>
        <w:t xml:space="preserve">- ASEAN Secretariat announcements</w:t>
      </w:r>
      <w:r>
        <w:t xml:space="preserve"> </w:t>
      </w:r>
      <w:r>
        <w:t xml:space="preserve">- City government press releases</w:t>
      </w:r>
      <w:r>
        <w:t xml:space="preserve"> </w:t>
      </w:r>
      <w:r>
        <w:t xml:space="preserve">- Partner organization news (ADB, World Bank, JICA, etc.)</w:t>
      </w:r>
      <w:r>
        <w:t xml:space="preserve"> </w:t>
      </w:r>
      <w:r>
        <w:t xml:space="preserve">- Academic publications on ASCN</w:t>
      </w:r>
      <w:r>
        <w:t xml:space="preserve"> </w:t>
      </w:r>
      <w:r>
        <w:t xml:space="preserve">- Media coverage of ASCN-related events</w:t>
      </w:r>
    </w:p>
    <w:p>
      <w:r>
        <w:pict>
          <v:rect style="width:0;height:1.5pt" o:hralign="center" o:hrstd="t" o:hr="t"/>
        </w:pict>
      </w:r>
    </w:p>
    <w:bookmarkEnd w:id="67"/>
    <w:bookmarkStart w:id="68" w:name="b.11-citizenstakeholder-voices"/>
    <w:p>
      <w:pPr>
        <w:pStyle w:val="Heading4"/>
      </w:pPr>
      <w:r>
        <w:t xml:space="preserve">B.11 Citizen/Stakeholder Voices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Community perspectives, participatory feedback, grassroots insights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Citizens, civil society, researchers, policymakers seeking bottom-up views</w:t>
      </w:r>
    </w:p>
    <w:p>
      <w:pPr>
        <w:pStyle w:val="BodyText"/>
      </w:pPr>
      <w:r>
        <w:rPr>
          <w:bCs/>
          <w:b/>
        </w:rPr>
        <w:t xml:space="preserve">Content Structure:</w:t>
      </w:r>
    </w:p>
    <w:p>
      <w:pPr>
        <w:pStyle w:val="SourceCode"/>
      </w:pPr>
      <w:r>
        <w:rPr>
          <w:rStyle w:val="VerbatimChar"/>
        </w:rPr>
        <w:t xml:space="preserve">/voices</w:t>
      </w:r>
      <w:r>
        <w:br/>
      </w:r>
      <w:r>
        <w:rPr>
          <w:rStyle w:val="VerbatimChar"/>
        </w:rPr>
        <w:t xml:space="preserve">├── Community Perspectives</w:t>
      </w:r>
      <w:r>
        <w:br/>
      </w:r>
      <w:r>
        <w:rPr>
          <w:rStyle w:val="VerbatimChar"/>
        </w:rPr>
        <w:t xml:space="preserve">│   ├── Citizen experiences with smart city projects</w:t>
      </w:r>
      <w:r>
        <w:br/>
      </w:r>
      <w:r>
        <w:rPr>
          <w:rStyle w:val="VerbatimChar"/>
        </w:rPr>
        <w:t xml:space="preserve">│   ├── Local business perspectives</w:t>
      </w:r>
      <w:r>
        <w:br/>
      </w:r>
      <w:r>
        <w:rPr>
          <w:rStyle w:val="VerbatimChar"/>
        </w:rPr>
        <w:t xml:space="preserve">│   └── Civil society voices</w:t>
      </w:r>
      <w:r>
        <w:br/>
      </w:r>
      <w:r>
        <w:rPr>
          <w:rStyle w:val="VerbatimChar"/>
        </w:rPr>
        <w:t xml:space="preserve">├── Participatory Mechanisms</w:t>
      </w:r>
      <w:r>
        <w:br/>
      </w:r>
      <w:r>
        <w:rPr>
          <w:rStyle w:val="VerbatimChar"/>
        </w:rPr>
        <w:t xml:space="preserve">│   ├── Existing feedback channels per city</w:t>
      </w:r>
      <w:r>
        <w:br/>
      </w:r>
      <w:r>
        <w:rPr>
          <w:rStyle w:val="VerbatimChar"/>
        </w:rPr>
        <w:t xml:space="preserve">│   └── Digital participation platforms</w:t>
      </w:r>
      <w:r>
        <w:br/>
      </w:r>
      <w:r>
        <w:rPr>
          <w:rStyle w:val="VerbatimChar"/>
        </w:rPr>
        <w:t xml:space="preserve">├── Case Studies</w:t>
      </w:r>
      <w:r>
        <w:br/>
      </w:r>
      <w:r>
        <w:rPr>
          <w:rStyle w:val="VerbatimChar"/>
        </w:rPr>
        <w:t xml:space="preserve">│   ├── Inclusive design examples</w:t>
      </w:r>
      <w:r>
        <w:br/>
      </w:r>
      <w:r>
        <w:rPr>
          <w:rStyle w:val="VerbatimChar"/>
        </w:rPr>
        <w:t xml:space="preserve">│   └── Community-led initiatives</w:t>
      </w:r>
      <w:r>
        <w:br/>
      </w:r>
      <w:r>
        <w:rPr>
          <w:rStyle w:val="VerbatimChar"/>
        </w:rPr>
        <w:t xml:space="preserve">└── Submit a Voice</w:t>
      </w:r>
      <w:r>
        <w:br/>
      </w:r>
      <w:r>
        <w:rPr>
          <w:rStyle w:val="VerbatimChar"/>
        </w:rPr>
        <w:t xml:space="preserve">    └── Form for contributions from ASCN city residents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Xdb606d5578fbe1cbf7ae32a9575262fbfbbdbe3"/>
    <w:p>
      <w:pPr>
        <w:pStyle w:val="Heading3"/>
      </w:pPr>
      <w:r>
        <w:t xml:space="preserve">C. Content Expansion for Existing Sections</w:t>
      </w:r>
    </w:p>
    <w:bookmarkStart w:id="70" w:name="c.1-overview-section"/>
    <w:p>
      <w:pPr>
        <w:pStyle w:val="Heading4"/>
      </w:pPr>
      <w:r>
        <w:t xml:space="preserve">C.1 Overview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ASCAP 2026-2035 announcement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the 10-year plan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Recent news 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most recent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links to new 2.0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cards linking to Events, Capacity Building,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Testimonial quote 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 from city officials,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usage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researchers, Y cities, Z downloads this month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0"/>
    <w:bookmarkStart w:id="71" w:name="c.2-history-section"/>
    <w:p>
      <w:pPr>
        <w:pStyle w:val="Heading4"/>
      </w:pPr>
      <w:r>
        <w:t xml:space="preserve">C.2 History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photo gallery per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archive (see Media Gallery)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documents/communiques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downloads for each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decisions per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trends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Chairmanship report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cards for each chair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71"/>
    <w:bookmarkStart w:id="72" w:name="c.3-cities-section"/>
    <w:p>
      <w:pPr>
        <w:pStyle w:val="Heading4"/>
      </w:pPr>
      <w:r>
        <w:t xml:space="preserve">C.3 Cities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minimum, a skyline/landmark photo per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photo per flagship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City-to-city comparison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2-3 cities, compare stats side-by-side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news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updates specific to each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data portal previews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screenshots of city data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2"/>
    <w:bookmarkStart w:id="73" w:name="c.4-projects-section"/>
    <w:p>
      <w:pPr>
        <w:pStyle w:val="Heading4"/>
      </w:pPr>
      <w:r>
        <w:t xml:space="preserve">C.4 Projects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detail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through to full case study (see B.3)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minimum for flagship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map or bubble chart showing relative investment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attribution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dialogue partner/multilateral funded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project achieved (not just what it 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Timeline/Gantt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project 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73"/>
    <w:bookmarkStart w:id="74" w:name="c.5-framework-section"/>
    <w:p>
      <w:pPr>
        <w:pStyle w:val="Heading4"/>
      </w:pPr>
      <w:r>
        <w:t xml:space="preserve">C.5 Framework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ASCAP 2026-2035 expanded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dedicated section or expand inline significantly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 document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PDF viewer for the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 with other regional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EU, African, Latin American smart city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is the Framework being implemented?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74"/>
    <w:bookmarkStart w:id="75" w:name="c.6-partners-section"/>
    <w:p>
      <w:pPr>
        <w:pStyle w:val="Heading4"/>
      </w:pPr>
      <w:r>
        <w:t xml:space="preserve">C.6 Partners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identification for each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detail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pages per partner (see B.4)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Financing 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representation of how money flows from partners to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comparison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 of all 6 dialogue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city coverage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maps showing where each partner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75"/>
    <w:bookmarkStart w:id="76" w:name="c.7-contacts-section"/>
    <w:p>
      <w:pPr>
        <w:pStyle w:val="Heading4"/>
      </w:pPr>
      <w:r>
        <w:t xml:space="preserve">C.7 Contacts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CSCO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only NRs are listed; full CSCO list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history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role changes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contact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message routing to ASCN officials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LinkedIn/institutional profile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6"/>
    <w:bookmarkStart w:id="77" w:name="c.8-insights-section"/>
    <w:p>
      <w:pPr>
        <w:pStyle w:val="Heading4"/>
      </w:pPr>
      <w:r>
        <w:t xml:space="preserve">C.8 Insights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Viet Nam deep-dive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</w:t>
            </w:r>
            <w:r>
              <w:t xml:space="preserve"> </w:t>
            </w:r>
            <w:r>
              <w:t xml:space="preserve">“</w:t>
            </w:r>
            <w:r>
              <w:t xml:space="preserve">SILENT 2025</w:t>
            </w:r>
            <w:r>
              <w:t xml:space="preserve">”</w:t>
            </w:r>
            <w:r>
              <w:t xml:space="preserve"> </w:t>
            </w:r>
            <w:r>
              <w:t xml:space="preserve">phenomenon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completion rate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 over 4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area ROI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areas have highest completion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performance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multiple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Interactive data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Build-your-own chart from the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77"/>
    <w:bookmarkStart w:id="78" w:name="c.9-library-section"/>
    <w:p>
      <w:pPr>
        <w:pStyle w:val="Heading4"/>
      </w:pPr>
      <w:r>
        <w:t xml:space="preserve">C.9 Library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ASCAP 2026-2035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document (when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Chairmanship reports (all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only Thailand 2019 and Singapore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meeting communiques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meeting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Academic paper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open access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recordings, 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across all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78"/>
    <w:bookmarkStart w:id="79" w:name="c.10-research-section"/>
    <w:p>
      <w:pPr>
        <w:pStyle w:val="Heading4"/>
      </w:pPr>
      <w:r>
        <w:t xml:space="preserve">C.10 Research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Permalinks for each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linking to specific research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2025-2026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methodology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sources were selected and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Thematic comparison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authors agree/disagree on which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9"/>
    <w:bookmarkStart w:id="80" w:name="c.11-essay-section"/>
    <w:p>
      <w:pPr>
        <w:pStyle w:val="Heading4"/>
      </w:pPr>
      <w:r>
        <w:t xml:space="preserve">C.11 Essay Section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links to essay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sharing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Twitter/X, LinkedIn,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Comment/feedback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essay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Teaser for upcoming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Essay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multiple essays are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Xb1639b3d1c5145f020018ab4f7a51fa6e04c427"/>
    <w:p>
      <w:pPr>
        <w:pStyle w:val="Heading3"/>
      </w:pPr>
      <w:r>
        <w:t xml:space="preserve">D. Key New Features — Technical Specifications</w:t>
      </w:r>
    </w:p>
    <w:bookmarkStart w:id="82" w:name="X9c7e0474021cf0ef7a6e04b7e52e9987a85944d"/>
    <w:p>
      <w:pPr>
        <w:pStyle w:val="Heading4"/>
      </w:pPr>
      <w:r>
        <w:t xml:space="preserve">D.1 ASCAP 2026-2035 Interactive Dashboard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Full-width hero with 8 pillar cards in 2 rows (4x2 grid on desktop, 1-column on mobile)</w:t>
      </w:r>
      <w:r>
        <w:br/>
      </w:r>
      <w:r>
        <w:rPr>
          <w:bCs/>
          <w:b/>
        </w:rPr>
        <w:t xml:space="preserve">Data source:</w:t>
      </w:r>
      <w:r>
        <w:t xml:space="preserve"> </w:t>
      </w:r>
      <w:r>
        <w:t xml:space="preserve">Manually curated from ASCAP official document + project mapping</w:t>
      </w:r>
      <w:r>
        <w:br/>
      </w:r>
      <w:r>
        <w:rPr>
          <w:bCs/>
          <w:b/>
        </w:rPr>
        <w:t xml:space="preserve">Visualizations:</w:t>
      </w:r>
      <w:r>
        <w:t xml:space="preserve"> </w:t>
      </w:r>
      <w:r>
        <w:t xml:space="preserve">- Pillar cards with: icon, title, current project count, target status, alignment badges</w:t>
      </w:r>
      <w:r>
        <w:t xml:space="preserve"> </w:t>
      </w:r>
      <w:r>
        <w:t xml:space="preserve">- Coverage gap callout for Pillar 8 (distinctive red/orange styling)</w:t>
      </w:r>
      <w:r>
        <w:t xml:space="preserve"> </w:t>
      </w:r>
      <w:r>
        <w:t xml:space="preserve">- Stacked bar chart showing project distribution across pillars</w:t>
      </w:r>
      <w:r>
        <w:t xml:space="preserve"> </w:t>
      </w:r>
      <w:r>
        <w:t xml:space="preserve">- Gantt chart for timeline</w:t>
      </w:r>
    </w:p>
    <w:p>
      <w:pPr>
        <w:pStyle w:val="BodyText"/>
      </w:pPr>
      <w:r>
        <w:rPr>
          <w:bCs/>
          <w:b/>
        </w:rPr>
        <w:t xml:space="preserve">Interactivity:</w:t>
      </w:r>
      <w:r>
        <w:t xml:space="preserve"> </w:t>
      </w:r>
      <w:r>
        <w:t xml:space="preserve">- Hover cards for pillar summaries</w:t>
      </w:r>
      <w:r>
        <w:t xml:space="preserve"> </w:t>
      </w:r>
      <w:r>
        <w:t xml:space="preserve">- Click to expand full pillar detail</w:t>
      </w:r>
      <w:r>
        <w:t xml:space="preserve"> </w:t>
      </w:r>
      <w:r>
        <w:t xml:space="preserve">- Filter by city, country, focus area</w:t>
      </w:r>
      <w:r>
        <w:t xml:space="preserve"> </w:t>
      </w:r>
      <w:r>
        <w:t xml:space="preserve">- Download filtered data as CSV</w:t>
      </w:r>
    </w:p>
    <w:bookmarkEnd w:id="82"/>
    <w:bookmarkStart w:id="83" w:name="d.2-city-deep-dive-pages"/>
    <w:p>
      <w:pPr>
        <w:pStyle w:val="Heading4"/>
      </w:pPr>
      <w:r>
        <w:t xml:space="preserve">D.2 City Deep-Dive Pages</w:t>
      </w:r>
    </w:p>
    <w:p>
      <w:pPr>
        <w:pStyle w:val="FirstParagraph"/>
      </w:pPr>
      <w:r>
        <w:rPr>
          <w:bCs/>
          <w:b/>
        </w:rPr>
        <w:t xml:space="preserve">URL pattern:</w:t>
      </w:r>
      <w:r>
        <w:t xml:space="preserve"> </w:t>
      </w:r>
      <w:r>
        <w:rPr>
          <w:rStyle w:val="VerbatimChar"/>
        </w:rPr>
        <w:t xml:space="preserve">/cities/{city-slug}</w:t>
      </w:r>
      <w:r>
        <w:br/>
      </w:r>
      <w:r>
        <w:rPr>
          <w:bCs/>
          <w:b/>
        </w:rPr>
        <w:t xml:space="preserve">Layout:</w:t>
      </w:r>
      <w:r>
        <w:t xml:space="preserve"> </w:t>
      </w:r>
      <w:r>
        <w:t xml:space="preserve">Hero header → Stats row → Description → Projects list → External links → Photos</w:t>
      </w:r>
      <w:r>
        <w:br/>
      </w:r>
      <w:r>
        <w:rPr>
          <w:bCs/>
          <w:b/>
        </w:rPr>
        <w:t xml:space="preserve">Technical requirements:</w:t>
      </w:r>
      <w:r>
        <w:t xml:space="preserve"> </w:t>
      </w:r>
      <w:r>
        <w:t xml:space="preserve">- Static site generation (SSG) or client-side routing</w:t>
      </w:r>
      <w:r>
        <w:t xml:space="preserve"> </w:t>
      </w:r>
      <w:r>
        <w:t xml:space="preserve">- Shareable Open Graph meta tags per city</w:t>
      </w:r>
      <w:r>
        <w:t xml:space="preserve"> </w:t>
      </w:r>
      <w:r>
        <w:t xml:space="preserve">- Structured data (JSON-LD) for SEO</w:t>
      </w:r>
    </w:p>
    <w:bookmarkEnd w:id="83"/>
    <w:bookmarkStart w:id="84" w:name="d.3-project-case-studies"/>
    <w:p>
      <w:pPr>
        <w:pStyle w:val="Heading4"/>
      </w:pPr>
      <w:r>
        <w:t xml:space="preserve">D.3 Project Case Studies</w:t>
      </w:r>
    </w:p>
    <w:p>
      <w:pPr>
        <w:pStyle w:val="FirstParagraph"/>
      </w:pPr>
      <w:r>
        <w:rPr>
          <w:bCs/>
          <w:b/>
        </w:rPr>
        <w:t xml:space="preserve">URL pattern:</w:t>
      </w:r>
      <w:r>
        <w:t xml:space="preserve"> </w:t>
      </w:r>
      <w:r>
        <w:rPr>
          <w:rStyle w:val="VerbatimChar"/>
        </w:rPr>
        <w:t xml:space="preserve">/projects/{project-slug}</w:t>
      </w:r>
      <w:r>
        <w:br/>
      </w:r>
      <w:r>
        <w:rPr>
          <w:bCs/>
          <w:b/>
        </w:rPr>
        <w:t xml:space="preserve">Layout:</w:t>
      </w:r>
      <w:r>
        <w:t xml:space="preserve"> </w:t>
      </w:r>
      <w:r>
        <w:t xml:space="preserve">Hero header → At-a-glance → Description → Partners → Outcomes → Photos → Related</w:t>
      </w:r>
      <w:r>
        <w:br/>
      </w:r>
      <w:r>
        <w:rPr>
          <w:bCs/>
          <w:b/>
        </w:rPr>
        <w:t xml:space="preserve">Technical requirements:</w:t>
      </w:r>
      <w:r>
        <w:t xml:space="preserve"> </w:t>
      </w:r>
      <w:r>
        <w:t xml:space="preserve">- Photo gallery component (lightbox)</w:t>
      </w:r>
      <w:r>
        <w:t xml:space="preserve"> </w:t>
      </w:r>
      <w:r>
        <w:t xml:space="preserve">- Related projects algorithm (same city, same focus area, same partner)</w:t>
      </w:r>
      <w:r>
        <w:t xml:space="preserve"> </w:t>
      </w:r>
      <w:r>
        <w:t xml:space="preserve">- Progress/timeline visualization</w:t>
      </w:r>
    </w:p>
    <w:bookmarkEnd w:id="84"/>
    <w:bookmarkStart w:id="85" w:name="d.4-events-calendar"/>
    <w:p>
      <w:pPr>
        <w:pStyle w:val="Heading4"/>
      </w:pPr>
      <w:r>
        <w:t xml:space="preserve">D.4 Events Calendar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Timeline view (vertical) + filterable grid</w:t>
      </w:r>
      <w:r>
        <w:br/>
      </w:r>
      <w:r>
        <w:rPr>
          <w:bCs/>
          <w:b/>
        </w:rPr>
        <w:t xml:space="preserve">Technical requirements:</w:t>
      </w:r>
      <w:r>
        <w:t xml:space="preserve"> </w:t>
      </w:r>
      <w:r>
        <w:t xml:space="preserve">- Date-based sorting</w:t>
      </w:r>
      <w:r>
        <w:t xml:space="preserve"> </w:t>
      </w:r>
      <w:r>
        <w:t xml:space="preserve">- Filter by year, country, event type</w:t>
      </w:r>
      <w:r>
        <w:t xml:space="preserve"> </w:t>
      </w:r>
      <w:r>
        <w:t xml:space="preserve">- Photo gallery per event</w:t>
      </w:r>
      <w:r>
        <w:t xml:space="preserve"> </w:t>
      </w:r>
      <w:r>
        <w:t xml:space="preserve">- Document attachment support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e.-suggested-materials-to-gather"/>
    <w:p>
      <w:pPr>
        <w:pStyle w:val="Heading3"/>
      </w:pPr>
      <w:r>
        <w:t xml:space="preserve">E. Suggested Materials to Gather</w:t>
      </w:r>
    </w:p>
    <w:bookmarkStart w:id="87" w:name="e.1-official-documents-to-source"/>
    <w:p>
      <w:pPr>
        <w:pStyle w:val="Heading4"/>
      </w:pPr>
      <w:r>
        <w:t xml:space="preserve">E.1 Official Documents to Source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ASCAP 2026-2035 full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ASCAP adoption communique (Sept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M&amp;E Report 2025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chairmanship reports (2018-2026)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Respective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(only 2018,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ASCN Annual Meeting communiques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 Community Vision 2045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 Connectivity Strategic Plan 2026-2035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ASPP curriculum and syllabi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 / ASEAN Secretariat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ASUS Phase I &amp; II evaluation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UN-Habitat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ACGF annual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obtain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87"/>
    <w:bookmarkStart w:id="88" w:name="e.2-photos-to-source"/>
    <w:p>
      <w:pPr>
        <w:pStyle w:val="Heading4"/>
      </w:pPr>
      <w:r>
        <w:t xml:space="preserve">E.2 Photos to Source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skyline/landmark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(1 per 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boards, Wikimedia, city governments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site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ADB, World Bank, JICA, GIZ, city governments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ASCN Annual Meeting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Secretariat, DEPA, host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Training/workshop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SNU, UN-Habitat, ASEAN Secretariat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portraits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government photos, ASCN contact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venue/exhibition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Secretariat, host countries</w:t>
            </w:r>
          </w:p>
        </w:tc>
      </w:tr>
    </w:tbl>
    <w:bookmarkEnd w:id="88"/>
    <w:bookmarkStart w:id="89" w:name="e.3-screenshots-to-capture"/>
    <w:p>
      <w:pPr>
        <w:pStyle w:val="Heading4"/>
      </w:pPr>
      <w:r>
        <w:t xml:space="preserve">E.3 Screenshots to Capture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 Smart City Financing Toolkit (smartcitytoolkit.asean.org)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section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tool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section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open data portals (Bangkok, Singapore,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section portal previews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 Index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index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SCITI Index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index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ADB project pages for flagship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case study source material</w:t>
            </w:r>
          </w:p>
        </w:tc>
      </w:tr>
    </w:tbl>
    <w:bookmarkEnd w:id="89"/>
    <w:bookmarkStart w:id="90" w:name="e.4-data-tables-to-compile"/>
    <w:p>
      <w:pPr>
        <w:pStyle w:val="Heading4"/>
      </w:pPr>
      <w:r>
        <w:t xml:space="preserve">E.4 Data Tables to Compile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Project-to-pillar mapping (ASCAP alignment)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curation from ASCAP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leadership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ASCN contact lists (2022-2026)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attendance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building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SNU, UN-Habitat, ASEAN Secretariat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project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M&amp;E reports + partner docs</w:t>
            </w:r>
          </w:p>
        </w:tc>
      </w:tr>
    </w:tbl>
    <w:bookmarkEnd w:id="90"/>
    <w:bookmarkStart w:id="91" w:name="e.5-texts-to-write"/>
    <w:p>
      <w:pPr>
        <w:pStyle w:val="Heading4"/>
      </w:pPr>
      <w:r>
        <w:t xml:space="preserve">E.5 Texts to Write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profiles (38)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case studies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profiles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summaries (15+)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building programme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ASCAP pillar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 articles (ongoing)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200-400 words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f.-implementation-priority-matrix"/>
    <w:p>
      <w:pPr>
        <w:pStyle w:val="Heading3"/>
      </w:pPr>
      <w:r>
        <w:t xml:space="preserve">F. Implementation Priority Matrix</w:t>
      </w:r>
    </w:p>
    <w:bookmarkStart w:id="93" w:name="X94c66f97e5d0c9722f42e1242742afd9df6f9bc"/>
    <w:p>
      <w:pPr>
        <w:pStyle w:val="Heading4"/>
      </w:pPr>
      <w:r>
        <w:t xml:space="preserve">Quick Wins (High Impact, Low Effort — Weeks 1-4)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smooth scrolling for nav anchor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back to top</w:t>
            </w:r>
            <w:r>
              <w:t xml:space="preserve">”</w:t>
            </w:r>
            <w:r>
              <w:t xml:space="preserve"> </w:t>
            </w:r>
            <w:r>
              <w:t xml:space="preserve">button on long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table of contents to Essay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city photos to city detail panel (sourced from Wikimedia)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permalinks for Research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Vietnam deep-dive explanation in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Open Graph meta tags for social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partner logos to Partners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search across entire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recent news/updates banner to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93"/>
    <w:bookmarkStart w:id="94" w:name="X9de39baa0a98efd069b99f55544ebe3ea01f63f"/>
    <w:p>
      <w:pPr>
        <w:pStyle w:val="Heading4"/>
      </w:pPr>
      <w:r>
        <w:t xml:space="preserve">High Impact (High Impact, Medium Effort — Weeks 5-12)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ASCAP 2026-2035 Tracker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Events Calendar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Capacity Building Hub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20 Project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6 Dialogue Partner Detail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Smart City Financing Toolkit native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project photos for flagship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News Feed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CSCO directory to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Media Gallery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</w:tbl>
    <w:bookmarkEnd w:id="94"/>
    <w:bookmarkStart w:id="95" w:name="Xdd24ea4c4b9741fad17643ae7631b9ebbb0981b"/>
    <w:p>
      <w:pPr>
        <w:pStyle w:val="Heading4"/>
      </w:pPr>
      <w:r>
        <w:t xml:space="preserve">Long-term (High Impact, High Effort — Weeks 13-26)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38 individual City Deep-Dive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Multilateral Programme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Citizen/Stakeholder Voices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across entire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interactive data explorer for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and integrate 100+ photos across all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integrate all official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city-to-city comparison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partner comparison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 toggle (site-wide)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g.-technology-recommendations-for-2.0"/>
    <w:p>
      <w:pPr>
        <w:pStyle w:val="Heading3"/>
      </w:pPr>
      <w:r>
        <w:t xml:space="preserve">G. Technology Recommendations for 2.0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(keep)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free,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HTML/JS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HTML/JS or lightweight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approach scales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City/Project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Hash-based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page generation (</w:t>
            </w:r>
            <w:r>
              <w:rPr>
                <w:rStyle w:val="VerbatimChar"/>
              </w:rPr>
              <w:t xml:space="preserve">/cities/{slug}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SEO, shareability, deep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+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(working 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CSS/JS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Chart.js for complex 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Easier maintenance, more chart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site-wide (Lunr.js or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discoverability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In-JS data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JSON data files loaded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separation, easier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Lazy-loaded responsive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h.-success-metrics-for-2.0"/>
    <w:p>
      <w:pPr>
        <w:pStyle w:val="Heading3"/>
      </w:pPr>
      <w:r>
        <w:t xml:space="preserve">H. Success Metrics for 2.0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(panel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Downloadable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session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visitor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Cities with complete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themes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report was prepared as an independent expert assessment based on thorough testing and analysis of the ASCN Performance Review platform as of June 2026. All findings are evidence-based and actionable. The proposed 2.0 expansion plan is designed to double the platform’s rigor and usefulness while maintaining its core strengths: data integrity, open access, and editorial independence.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https://ascn-smart-cities-network.pages.dev/</w:t>
      </w:r>
      <w:r>
        <w:br/>
      </w:r>
      <w:r>
        <w:rPr>
          <w:bCs/>
          <w:b/>
        </w:rPr>
        <w:t xml:space="preserve">Official Site:</w:t>
      </w:r>
      <w:r>
        <w:t xml:space="preserve"> </w:t>
      </w:r>
      <w:r>
        <w:t xml:space="preserve">https://ascn.depa.or.th</w:t>
      </w:r>
      <w:r>
        <w:br/>
      </w:r>
      <w:r>
        <w:rPr>
          <w:bCs/>
          <w:b/>
        </w:rPr>
        <w:t xml:space="preserve">Built by:</w:t>
      </w:r>
      <w:r>
        <w:t xml:space="preserve"> </w:t>
      </w:r>
      <w:r>
        <w:t xml:space="preserve">Non Arkaraprasertkul, PhD — Senior Expert, Smart City Promotion, DEPA Thailand</w:t>
      </w:r>
      <w:r>
        <w:br/>
      </w:r>
      <w:r>
        <w:rPr>
          <w:bCs/>
          <w:b/>
        </w:rPr>
        <w:t xml:space="preserve">Report prepared:</w:t>
      </w:r>
      <w:r>
        <w:t xml:space="preserve"> </w:t>
      </w:r>
      <w:r>
        <w:t xml:space="preserve">June 2026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2026-06-22T17:35:19Z</dcterms:created>
  <dcterms:modified xsi:type="dcterms:W3CDTF">2026-06-22T17:35:19Z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