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s2s5m7unyos3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Detailed Action Plan and Timeline for ASEAN Digital Capacity Building for Smart Cities: ASEAN Chief Smart City Officers (ASEAN-CSCOs)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fyu67h1428t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1. Detailed Action Plan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4kqtpvhfuzz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1.1 Management Arrangements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Establish a robust project management framework to ensure alignment with goals and timelines.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Formation of Project Team</w:t>
      </w:r>
      <w:r w:rsidDel="00000000" w:rsidR="00000000" w:rsidRPr="00000000">
        <w:rPr>
          <w:rtl w:val="0"/>
        </w:rPr>
        <w:t xml:space="preserve"> (Feb 2025): A team comprising a project manager, technical experts in smart city technologies, and administrative staff will be established. The project manager will oversee coordination, budgeting, and reporting.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Bi-Weekly Coordination Meetings</w:t>
      </w:r>
      <w:r w:rsidDel="00000000" w:rsidR="00000000" w:rsidRPr="00000000">
        <w:rPr>
          <w:rtl w:val="0"/>
        </w:rPr>
        <w:t xml:space="preserve"> (Feb–Dec 2025): Held virtually with representatives from ADSOM, ASCN, and MPAC Sectoral Body. Agenda includes progress updates, issue resolution, and activity planning. Minutes will be circulated within 3 days post-meeting.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Quarterly Review Meetings</w:t>
      </w:r>
      <w:r w:rsidDel="00000000" w:rsidR="00000000" w:rsidRPr="00000000">
        <w:rPr>
          <w:rtl w:val="0"/>
        </w:rPr>
        <w:t xml:space="preserve"> (Apr, Jul, Oct, Dec 2025): Conducted with ASEAN member state representatives to review milestones, gather feedback, and adjust plans. Reports submitted to ADGSOM within 7 days post-meeting.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Project team, ADSOM, ASCN, MPAC representatives, and selected ASEAN member state officials (approx. 15–20 per meeting).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Transparent project execution, stakeholder alignment, and timely issue resolution.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Monthly progress reports submitted to ADGSOM, with actionable feedback incorporated into subsequent plans.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70qsiyi3jec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1.2 Online Preparatory Engagements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Customize workshop content to address specific urban challenges and set clear learning objectives.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Webinar Series</w:t>
      </w:r>
      <w:r w:rsidDel="00000000" w:rsidR="00000000" w:rsidRPr="00000000">
        <w:rPr>
          <w:rtl w:val="0"/>
        </w:rPr>
        <w:t xml:space="preserve"> (Mar–May 2025, 3 sessions):</w:t>
      </w:r>
    </w:p>
    <w:p w:rsidR="00000000" w:rsidDel="00000000" w:rsidP="00000000" w:rsidRDefault="00000000" w:rsidRPr="00000000" w14:paraId="00000010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30–35 policymakers, urban planners, and technologists from ASEAN member states. Selection criteria include:</w:t>
      </w:r>
    </w:p>
    <w:p w:rsidR="00000000" w:rsidDel="00000000" w:rsidP="00000000" w:rsidRDefault="00000000" w:rsidRPr="00000000" w14:paraId="00000011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Role in smart city planning or implementation.</w:t>
      </w:r>
    </w:p>
    <w:p w:rsidR="00000000" w:rsidDel="00000000" w:rsidP="00000000" w:rsidRDefault="00000000" w:rsidRPr="00000000" w14:paraId="00000012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Representation from diverse ASEAN cities (urban/rural, ASCN/non-ASCN).</w:t>
      </w:r>
    </w:p>
    <w:p w:rsidR="00000000" w:rsidDel="00000000" w:rsidP="00000000" w:rsidRDefault="00000000" w:rsidRPr="00000000" w14:paraId="00000013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Commitment to attend follow-up workshops.</w:t>
      </w:r>
    </w:p>
    <w:p w:rsidR="00000000" w:rsidDel="00000000" w:rsidP="00000000" w:rsidRDefault="00000000" w:rsidRPr="00000000" w14:paraId="00000014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External Invitees</w:t>
      </w:r>
      <w:r w:rsidDel="00000000" w:rsidR="00000000" w:rsidRPr="00000000">
        <w:rPr>
          <w:rtl w:val="0"/>
        </w:rPr>
        <w:t xml:space="preserve">: Private sector experts from Thailand Digital Catalog (e.g., tech firms specializing in IoT, e-governance) and ASEAN Smart Cities Network mentors (2–3 per session).</w:t>
      </w:r>
    </w:p>
    <w:p w:rsidR="00000000" w:rsidDel="00000000" w:rsidP="00000000" w:rsidRDefault="00000000" w:rsidRPr="00000000" w14:paraId="00000015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Preparation</w:t>
      </w:r>
      <w:r w:rsidDel="00000000" w:rsidR="00000000" w:rsidRPr="00000000">
        <w:rPr>
          <w:rtl w:val="0"/>
        </w:rPr>
        <w:t xml:space="preserve">: Participants submit a 1-page brief on their city’s smart city challenges (e.g., digital infrastructure gaps, citizen engagement issues) 10 days prior.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Session 1 (Mar): Smart city frameworks and regional challenges.</w:t>
      </w:r>
    </w:p>
    <w:p w:rsidR="00000000" w:rsidDel="00000000" w:rsidP="00000000" w:rsidRDefault="00000000" w:rsidRPr="00000000" w14:paraId="00000018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Session 2 (Apr): Technology integration and public-private partnerships.</w:t>
      </w:r>
    </w:p>
    <w:p w:rsidR="00000000" w:rsidDel="00000000" w:rsidP="00000000" w:rsidRDefault="00000000" w:rsidRPr="00000000" w14:paraId="00000019">
      <w:pPr>
        <w:numPr>
          <w:ilvl w:val="3"/>
          <w:numId w:val="5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Session 3 (May): Needs assessment results and workshop preview.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Format</w:t>
      </w:r>
      <w:r w:rsidDel="00000000" w:rsidR="00000000" w:rsidRPr="00000000">
        <w:rPr>
          <w:rtl w:val="0"/>
        </w:rPr>
        <w:t xml:space="preserve">: 2-hour virtual sessions via Zoom, with breakout rooms for focused discussions.</w:t>
      </w:r>
    </w:p>
    <w:p w:rsidR="00000000" w:rsidDel="00000000" w:rsidP="00000000" w:rsidRDefault="00000000" w:rsidRPr="00000000" w14:paraId="0000001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Needs Assessment Surveys</w:t>
      </w:r>
      <w:r w:rsidDel="00000000" w:rsidR="00000000" w:rsidRPr="00000000">
        <w:rPr>
          <w:rtl w:val="0"/>
        </w:rPr>
        <w:t xml:space="preserve"> (Mar 2025): Online surveys sent to participants post-Session 1 to identify priority areas (e.g., e-services, flood management).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Tailored workshop content, stakeholder buy-in, and baseline data for capacity gaps.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Summary report circulated within 5 days post-webinar. Feedback integrated into workshop design.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cqqf9vec2ul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1.3 Experimental Workshop in Nakhon Si Thammarat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Provide hands-on exposure to successful smart city initiatives.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On-Site Workshop</w:t>
      </w:r>
      <w:r w:rsidDel="00000000" w:rsidR="00000000" w:rsidRPr="00000000">
        <w:rPr>
          <w:rtl w:val="0"/>
        </w:rPr>
        <w:t xml:space="preserve"> (Jul 2025, 3 days):</w:t>
      </w:r>
    </w:p>
    <w:p w:rsidR="00000000" w:rsidDel="00000000" w:rsidP="00000000" w:rsidRDefault="00000000" w:rsidRPr="00000000" w14:paraId="00000022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Same 30–35 policymakers/planners from webinars, plus 5 local officials from Nakhon Si Thammarat.</w:t>
      </w:r>
    </w:p>
    <w:p w:rsidR="00000000" w:rsidDel="00000000" w:rsidP="00000000" w:rsidRDefault="00000000" w:rsidRPr="00000000" w14:paraId="00000023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Selection Criteria</w:t>
      </w:r>
      <w:r w:rsidDel="00000000" w:rsidR="00000000" w:rsidRPr="00000000">
        <w:rPr>
          <w:rtl w:val="0"/>
        </w:rPr>
        <w:t xml:space="preserve">: Confirmed attendance from webinar series and submission of city challenge brief.</w:t>
      </w:r>
    </w:p>
    <w:p w:rsidR="00000000" w:rsidDel="00000000" w:rsidP="00000000" w:rsidRDefault="00000000" w:rsidRPr="00000000" w14:paraId="00000024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External Invitees</w:t>
      </w:r>
      <w:r w:rsidDel="00000000" w:rsidR="00000000" w:rsidRPr="00000000">
        <w:rPr>
          <w:rtl w:val="0"/>
        </w:rPr>
        <w:t xml:space="preserve">: 2–3 private sector speakers (e.g., developers of Nakhon’s e-service platform) and 1 ASEAN Secretariat representative.</w:t>
      </w:r>
    </w:p>
    <w:p w:rsidR="00000000" w:rsidDel="00000000" w:rsidP="00000000" w:rsidRDefault="00000000" w:rsidRPr="00000000" w14:paraId="00000025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Agenda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6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Day 1: Presentations on Nakhon Si Thammarat’s smart city model (citizen e-services, flood prevention).</w:t>
      </w:r>
    </w:p>
    <w:p w:rsidR="00000000" w:rsidDel="00000000" w:rsidP="00000000" w:rsidRDefault="00000000" w:rsidRPr="00000000" w14:paraId="00000027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Day 2: Field visits to smart city projects (e.g., flood monitoring systems, digital service kiosks).</w:t>
      </w:r>
    </w:p>
    <w:p w:rsidR="00000000" w:rsidDel="00000000" w:rsidP="00000000" w:rsidRDefault="00000000" w:rsidRPr="00000000" w14:paraId="00000028">
      <w:pPr>
        <w:numPr>
          <w:ilvl w:val="3"/>
          <w:numId w:val="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Day 3: Group exercises to draft city-specific smart city plans, facilitated by technical experts.</w:t>
      </w:r>
    </w:p>
    <w:p w:rsidR="00000000" w:rsidDel="00000000" w:rsidP="00000000" w:rsidRDefault="00000000" w:rsidRPr="00000000" w14:paraId="00000029">
      <w:pPr>
        <w:numPr>
          <w:ilvl w:val="2"/>
          <w:numId w:val="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Preparation</w:t>
      </w:r>
      <w:r w:rsidDel="00000000" w:rsidR="00000000" w:rsidRPr="00000000">
        <w:rPr>
          <w:rtl w:val="0"/>
        </w:rPr>
        <w:t xml:space="preserve">: Participants receive a pre-workshop handbook draft and case study summaries 2 weeks prior.</w:t>
      </w:r>
    </w:p>
    <w:p w:rsidR="00000000" w:rsidDel="00000000" w:rsidP="00000000" w:rsidRDefault="00000000" w:rsidRPr="00000000" w14:paraId="0000002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Logistics</w:t>
      </w:r>
      <w:r w:rsidDel="00000000" w:rsidR="00000000" w:rsidRPr="00000000">
        <w:rPr>
          <w:rtl w:val="0"/>
        </w:rPr>
        <w:t xml:space="preserve">: Venue, meals, and materials funded by Thailand (USD 5,000). Travel/per diem for 9 participants and 1 speaker funded by AICTF (USD 11,700).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Practical skills in smart city implementation, actionable city plans, and strengthened regional networks.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Post-workshop survey conducted on-site. Results summarized in a report to ADGSOM within 10 days.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ukb4xfm8and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1.4 Online Collaboration Platform and Handbook Production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Objective</w:t>
      </w:r>
      <w:r w:rsidDel="00000000" w:rsidR="00000000" w:rsidRPr="00000000">
        <w:rPr>
          <w:rtl w:val="0"/>
        </w:rPr>
        <w:t xml:space="preserve">: Sustain engagement and provide a lasting resource for smart city development.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Digital Forum Launch</w:t>
      </w:r>
      <w:r w:rsidDel="00000000" w:rsidR="00000000" w:rsidRPr="00000000">
        <w:rPr>
          <w:rtl w:val="0"/>
        </w:rPr>
        <w:t xml:space="preserve"> (Aug 2025): A cloud-based platform (e.g., Microsoft Teams) for participants to share updates, challenges, and solutions.</w:t>
      </w:r>
    </w:p>
    <w:p w:rsidR="00000000" w:rsidDel="00000000" w:rsidP="00000000" w:rsidRDefault="00000000" w:rsidRPr="00000000" w14:paraId="00000031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Participants</w:t>
      </w:r>
      <w:r w:rsidDel="00000000" w:rsidR="00000000" w:rsidRPr="00000000">
        <w:rPr>
          <w:rtl w:val="0"/>
        </w:rPr>
        <w:t xml:space="preserve">: Open to workshop attendees, with invitations extended to ASCN cities and Thailand Digital Catalog firms.</w:t>
      </w:r>
    </w:p>
    <w:p w:rsidR="00000000" w:rsidDel="00000000" w:rsidP="00000000" w:rsidRDefault="00000000" w:rsidRPr="00000000" w14:paraId="0000003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Moderation</w:t>
      </w:r>
      <w:r w:rsidDel="00000000" w:rsidR="00000000" w:rsidRPr="00000000">
        <w:rPr>
          <w:rtl w:val="0"/>
        </w:rPr>
        <w:t xml:space="preserve">: Managed by depa’s technical team, with monthly discussion prompts (e.g., scaling e-services).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Handbook Development</w:t>
      </w:r>
      <w:r w:rsidDel="00000000" w:rsidR="00000000" w:rsidRPr="00000000">
        <w:rPr>
          <w:rtl w:val="0"/>
        </w:rPr>
        <w:t xml:space="preserve"> (Mar–Sep 2025):</w:t>
      </w:r>
    </w:p>
    <w:p w:rsidR="00000000" w:rsidDel="00000000" w:rsidP="00000000" w:rsidRDefault="00000000" w:rsidRPr="00000000" w14:paraId="0000003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Content includes best practices (e.g., Nakhon Si Thammarat case), frameworks for citizen-centric design, and financing models.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Draft reviewed by ASCN experts in Jun 2025; finalized by Sep 2025.</w:t>
      </w:r>
    </w:p>
    <w:p w:rsidR="00000000" w:rsidDel="00000000" w:rsidP="00000000" w:rsidRDefault="00000000" w:rsidRPr="00000000" w14:paraId="0000003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Distributed digitally to all ASEAN member states and promoted at regional events.</w:t>
      </w:r>
    </w:p>
    <w:p w:rsidR="00000000" w:rsidDel="00000000" w:rsidP="00000000" w:rsidRDefault="00000000" w:rsidRPr="00000000" w14:paraId="0000003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Monthly Progress Reports</w:t>
      </w:r>
      <w:r w:rsidDel="00000000" w:rsidR="00000000" w:rsidRPr="00000000">
        <w:rPr>
          <w:rtl w:val="0"/>
        </w:rPr>
        <w:t xml:space="preserve"> (Feb–Dec 2025): Detail activities, challenges, and next steps. Submitted to ADGSOM within 5 days of month-end.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Continuous knowledge exchange, a widely adopted handbook, and sustained regional collaboration.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Follow-Up</w:t>
      </w:r>
      <w:r w:rsidDel="00000000" w:rsidR="00000000" w:rsidRPr="00000000">
        <w:rPr>
          <w:rtl w:val="0"/>
        </w:rPr>
        <w:t xml:space="preserve">: Platform usage analytics reported quarterly. Handbook feedback collected via surveys in Nov 2025.</w:t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z0zw6ixdzyl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2. Detailed Timeline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5.600624024961"/>
        <w:gridCol w:w="3684.6177847113886"/>
        <w:gridCol w:w="4779.781591263651"/>
        <w:tblGridChange w:id="0">
          <w:tblGrid>
            <w:gridCol w:w="895.600624024961"/>
            <w:gridCol w:w="3684.6177847113886"/>
            <w:gridCol w:w="4779.78159126365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Pre-Planning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Finalize project team roles, secure approvals, and set up platforms.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Management Arrangements, Online Engagements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Form project team, hold first coordination meeting, launch webinar invites.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Online Engagements, Handbook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Webinar 1, needs assessment surveys, start handbook drafting.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Management Arrangements, Online Engagements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Webinar 2, quarterly review meeting, continue handbook work.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Online Engagements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Webinar 3, finalize workshop agenda based on survey results.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Management Arrangements, Handbook Development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Coordination meeting, handbook draft review with ASCN experts.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Jul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Nakhon Si Thammarat Workshop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Conduct 3-day workshop, field visits, and group exercises.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Online Collaboration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Launch digital forum, share workshop outcomes, continue handbook.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Handbook Production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Finalize and distribute handbook, coordination meeting.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Management Arrangements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Quarterly review meeting, platform moderation, progress report.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Online Collaboration 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Collect handbook feedback, share platform analytics.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Project Wrap-Up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Final evaluation, submit completion report to ASEAN Secretariat.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9wldstkioxp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Notes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PPT Submission</w:t>
      </w:r>
      <w:r w:rsidDel="00000000" w:rsidR="00000000" w:rsidRPr="00000000">
        <w:rPr>
          <w:rtl w:val="0"/>
        </w:rPr>
        <w:t xml:space="preserve">: A PowerPoint presentation summarizing the action plan, timeline, and expected outcomes will be prepared by late March 2025, as requested.</w:t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Budget Alignment</w:t>
      </w:r>
      <w:r w:rsidDel="00000000" w:rsidR="00000000" w:rsidRPr="00000000">
        <w:rPr>
          <w:rtl w:val="0"/>
        </w:rPr>
        <w:t xml:space="preserve">: Activities align with the proposed budget (USD 14,800 AICTF, USD 5,000 Thailand).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Sustainability</w:t>
      </w:r>
      <w:r w:rsidDel="00000000" w:rsidR="00000000" w:rsidRPr="00000000">
        <w:rPr>
          <w:rtl w:val="0"/>
        </w:rPr>
        <w:t xml:space="preserve">: The digital forum and handbook ensure long-term impact, with ASCN networks fostering ongoing collaboration.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