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citi-2026-critical-audit-report"/>
    <w:p>
      <w:pPr>
        <w:pStyle w:val="Heading1"/>
      </w:pPr>
      <w:r>
        <w:t xml:space="preserve">SCITI 2026 Critical Audit Report</w:t>
      </w:r>
    </w:p>
    <w:bookmarkEnd w:id="20"/>
    <w:bookmarkStart w:id="21" w:name="from-reality-check-to-global-bible"/>
    <w:p>
      <w:pPr>
        <w:pStyle w:val="Heading1"/>
      </w:pPr>
      <w:r>
        <w:t xml:space="preserve">From Reality Check to Global Bible</w:t>
      </w:r>
    </w:p>
    <w:p>
      <w:pPr>
        <w:pStyle w:val="BlockText"/>
      </w:pPr>
      <w:r>
        <w:rPr>
          <w:bCs/>
          <w:b/>
        </w:rPr>
        <w:t xml:space="preserve">Prepared for:</w:t>
      </w:r>
      <w:r>
        <w:t xml:space="preserve"> </w:t>
      </w:r>
      <w:r>
        <w:t xml:space="preserve">Dr. Non Arkaraprasertkul, depa Smart City Promotion Department</w:t>
      </w:r>
      <w:r>
        <w:t xml:space="preserve"> </w:t>
      </w:r>
      <w:r>
        <w:rPr>
          <w:bCs/>
          <w:b/>
        </w:rPr>
        <w:t xml:space="preserve">Date:</w:t>
      </w:r>
      <w:r>
        <w:t xml:space="preserve"> </w:t>
      </w:r>
      <w:r>
        <w:t xml:space="preserve">June 14, 2026</w:t>
      </w:r>
      <w:r>
        <w:t xml:space="preserve"> </w:t>
      </w:r>
      <w:r>
        <w:rPr>
          <w:bCs/>
          <w:b/>
        </w:rPr>
        <w:t xml:space="preserve">Scope:</w:t>
      </w:r>
      <w:r>
        <w:t xml:space="preserve"> </w:t>
      </w:r>
      <w:r>
        <w:t xml:space="preserve">Full frontend-to-backend audit of https://sciti.nonarkara.org</w:t>
      </w:r>
      <w:r>
        <w:t xml:space="preserve"> </w:t>
      </w:r>
      <w:r>
        <w:rPr>
          <w:bCs/>
          <w:b/>
        </w:rPr>
        <w:t xml:space="preserve">Method:</w:t>
      </w:r>
      <w:r>
        <w:t xml:space="preserve"> </w:t>
      </w:r>
      <w:r>
        <w:t xml:space="preserve">Manual testing (all pages, all languages), technical analysis (curl/headers), research swarm (4 agents, 40+ searches)</w:t>
      </w:r>
    </w:p>
    <w:p>
      <w:r>
        <w:pict>
          <v:rect style="width:0;height:1.5pt" o:hralign="center" o:hrstd="t" o:hr="t"/>
        </w:pict>
      </w:r>
    </w:p>
    <w:bookmarkEnd w:id="21"/>
    <w:bookmarkStart w:id="26" w:name="executive-summary"/>
    <w:p>
      <w:pPr>
        <w:pStyle w:val="Heading1"/>
      </w:pPr>
      <w:r>
        <w:t xml:space="preserve">Executive Summary</w:t>
      </w:r>
    </w:p>
    <w:p>
      <w:pPr>
        <w:pStyle w:val="FirstParagraph"/>
      </w:pPr>
      <w:r>
        <w:t xml:space="preserve">The SCITI 2026 Critical Audit is a systematic, evidence-based assessment of the Smart City Thailand Index (SCITI) across six dimensions: frontend quality, backend infrastructure, critical bugs, global benchmarking, content gaps, and award readiness. This report is not a promotional review. It is an audit — commissioned to identify what works, what breaks, and what must change before SCITI can credibly claim a place among the world’s leading smart city intelligence platforms.</w:t>
      </w:r>
    </w:p>
    <w:p>
      <w:pPr>
        <w:pStyle w:val="BodyText"/>
      </w:pPr>
      <w:r>
        <w:t xml:space="preserve">The findings are stark: SCITI’s visual design and interactive features are award-calibre, but its backend infrastructure, language support, and document delivery are incomplete. Three show-stopping bugs — each fixable within a single development day — currently prevent the platform from meeting the baseline credibility threshold expected of a Thai government-backed digital product. The good news: the gap between</w:t>
      </w:r>
      <w:r>
        <w:t xml:space="preserve"> </w:t>
      </w:r>
      <w:r>
        <w:t xml:space="preserve">“</w:t>
      </w:r>
      <w:r>
        <w:t xml:space="preserve">audit findings</w:t>
      </w:r>
      <w:r>
        <w:t xml:space="preserve">”</w:t>
      </w:r>
      <w:r>
        <w:t xml:space="preserve"> </w:t>
      </w:r>
      <w:r>
        <w:t xml:space="preserve">and</w:t>
      </w:r>
      <w:r>
        <w:t xml:space="preserve"> </w:t>
      </w:r>
      <w:r>
        <w:t xml:space="preserve">“</w:t>
      </w:r>
      <w:r>
        <w:t xml:space="preserve">submission-ready</w:t>
      </w:r>
      <w:r>
        <w:t xml:space="preserve">”</w:t>
      </w:r>
      <w:r>
        <w:t xml:space="preserve"> </w:t>
      </w:r>
      <w:r>
        <w:t xml:space="preserve">is narrow, measurable, and closeable within 90 days.</w:t>
      </w:r>
    </w:p>
    <w:p>
      <w:r>
        <w:pict>
          <v:rect style="width:0;height:1.5pt" o:hralign="center" o:hrstd="t" o:hr="t"/>
        </w:pict>
      </w:r>
    </w:p>
    <w:bookmarkStart w:id="22" w:name="key-findings"/>
    <w:p>
      <w:pPr>
        <w:pStyle w:val="Heading2"/>
      </w:pPr>
      <w:r>
        <w:t xml:space="preserve">Key Findings</w:t>
      </w:r>
    </w:p>
    <w:p>
      <w:pPr>
        <w:pStyle w:val="FirstParagraph"/>
      </w:pPr>
      <w:r>
        <w:rPr>
          <w:bCs/>
          <w:b/>
        </w:rPr>
        <w:t xml:space="preserve">Finding 1: The frontend is genuinely impressive — and then it breaks.</w:t>
      </w:r>
      <w:r>
        <w:t xml:space="preserve"> </w:t>
      </w:r>
      <w:r>
        <w:t xml:space="preserve">SCITI delivers a polished React 19 + TypeScript + Vite 6 experience with a distinctive navy-and-gold visual identity, seven-pillar spider charts, an innovative</w:t>
      </w:r>
      <w:r>
        <w:t xml:space="preserve"> </w:t>
      </w:r>
      <w:r>
        <w:t xml:space="preserve">“</w:t>
      </w:r>
      <w:r>
        <w:t xml:space="preserve">Your City</w:t>
      </w:r>
      <w:r>
        <w:t xml:space="preserve">”</w:t>
      </w:r>
      <w:r>
        <w:t xml:space="preserve"> </w:t>
      </w:r>
      <w:r>
        <w:t xml:space="preserve">matcher with live A→B→C priority cycling, and a side-by-side comparison tool for up to five cities</w:t>
      </w:r>
      <w:r>
        <w:t xml:space="preserve"> </w:t>
      </w:r>
      <w:r>
        <w:rPr>
          <w:vertAlign w:val="superscript"/>
        </w:rPr>
        <w:footnoteReference w:id="1"/>
      </w:r>
      <w:r>
        <w:t xml:space="preserve">. The Partners page marks international partnerships as</w:t>
      </w:r>
      <w:r>
        <w:t xml:space="preserve"> </w:t>
      </w:r>
      <w:r>
        <w:t xml:space="preserve">“</w:t>
      </w:r>
      <w:r>
        <w:t xml:space="preserve">Stalled</w:t>
      </w:r>
      <w:r>
        <w:t xml:space="preserve">”</w:t>
      </w:r>
      <w:r>
        <w:t xml:space="preserve"> </w:t>
      </w:r>
      <w:r>
        <w:t xml:space="preserve">and</w:t>
      </w:r>
      <w:r>
        <w:t xml:space="preserve"> </w:t>
      </w:r>
      <w:r>
        <w:t xml:space="preserve">“</w:t>
      </w:r>
      <w:r>
        <w:t xml:space="preserve">Early Stage</w:t>
      </w:r>
      <w:r>
        <w:t xml:space="preserve">”</w:t>
      </w:r>
      <w:r>
        <w:t xml:space="preserve"> </w:t>
      </w:r>
      <w:r>
        <w:t xml:space="preserve">alongside</w:t>
      </w:r>
      <w:r>
        <w:t xml:space="preserve"> </w:t>
      </w:r>
      <w:r>
        <w:t xml:space="preserve">“</w:t>
      </w:r>
      <w:r>
        <w:t xml:space="preserve">Active</w:t>
      </w:r>
      <w:r>
        <w:t xml:space="preserve">”</w:t>
      </w:r>
      <w:r>
        <w:t xml:space="preserve"> </w:t>
      </w:r>
      <w:r>
        <w:t xml:space="preserve">and</w:t>
      </w:r>
      <w:r>
        <w:t xml:space="preserve"> </w:t>
      </w:r>
      <w:r>
        <w:t xml:space="preserve">“</w:t>
      </w:r>
      <w:r>
        <w:t xml:space="preserve">Completed</w:t>
      </w:r>
      <w:r>
        <w:t xml:space="preserve">”</w:t>
      </w:r>
      <w:r>
        <w:t xml:space="preserve"> </w:t>
      </w:r>
      <w:r>
        <w:t xml:space="preserve">— a level of transparency virtually unheard of in government digital products</w:t>
      </w:r>
      <w:r>
        <w:t xml:space="preserve"> </w:t>
      </w:r>
      <w:fldSimple w:instr="NOTEREF _Ref_Footnote_1 \h \f">
        <w:r>
          <w:rPr>
            <w:vertAlign w:val="superscript"/>
          </w:rPr>
          <w:t>1</w:t>
        </w:r>
      </w:fldSimple>
      <w:r>
        <w:t xml:space="preserve">. City dossiers open with narrative depth that reads like quality research:</w:t>
      </w:r>
      <w:r>
        <w:t xml:space="preserve"> </w:t>
      </w:r>
      <w:r>
        <w:t xml:space="preserve">“</w:t>
      </w:r>
      <w:r>
        <w:t xml:space="preserve">Bangkok’s CBD corridor — where smart infrastructure investment and climate adaptation are converging</w:t>
      </w:r>
      <w:r>
        <w:t xml:space="preserve">”</w:t>
      </w:r>
      <w:r>
        <w:t xml:space="preserve"> </w:t>
      </w:r>
      <w:fldSimple w:instr="NOTEREF _Ref_Footnote_1 \h \f">
        <w:r>
          <w:rPr>
            <w:vertAlign w:val="superscript"/>
          </w:rPr>
          <w:t>1</w:t>
        </w:r>
      </w:fldSimple>
      <w:r>
        <w:t xml:space="preserve">. Then the cracks appear. The top-right</w:t>
      </w:r>
      <w:r>
        <w:t xml:space="preserve"> </w:t>
      </w:r>
      <w:r>
        <w:t xml:space="preserve">“</w:t>
      </w:r>
      <w:r>
        <w:t xml:space="preserve">TH</w:t>
      </w:r>
      <w:r>
        <w:t xml:space="preserve">”</w:t>
      </w:r>
      <w:r>
        <w:t xml:space="preserve"> </w:t>
      </w:r>
      <w:r>
        <w:t xml:space="preserve">language button — ISO country code for Thailand — renders the entire site in Simplified Chinese (四世皇路智慧城市, 概览, 分析)</w:t>
      </w:r>
      <w:r>
        <w:t xml:space="preserve"> </w:t>
      </w:r>
      <w:r>
        <w:rPr>
          <w:vertAlign w:val="superscript"/>
        </w:rPr>
        <w:footnoteReference w:id="2"/>
      </w:r>
      <w:r>
        <w:t xml:space="preserve">. No Thai-language content exists anywhere in the application, despite the domain being</w:t>
      </w:r>
      <w:r>
        <w:t xml:space="preserve"> </w:t>
      </w:r>
      <w:r>
        <w:rPr>
          <w:rStyle w:val="VerbatimChar"/>
        </w:rPr>
        <w:t xml:space="preserve">dopa.go.th</w:t>
      </w:r>
      <w:r>
        <w:t xml:space="preserve"> </w:t>
      </w:r>
      <w:r>
        <w:t xml:space="preserve">and the project’s phonetic guide referencing Thai script (</w:t>
      </w:r>
      <w:r>
        <w:t xml:space="preserve">“</w:t>
      </w:r>
      <w:r>
        <w:t xml:space="preserve">Samastiti ≈ สมาร์ทซิตี้</w:t>
      </w:r>
      <w:r>
        <w:t xml:space="preserve">”</w:t>
      </w:r>
      <w:r>
        <w:t xml:space="preserve">)</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For a Thai government platform, a language selector that lies about what it delivers is not a UI bug — it is a credibility collapse.</w:t>
      </w:r>
    </w:p>
    <w:p>
      <w:pPr>
        <w:pStyle w:val="BodyText"/>
      </w:pPr>
      <w:r>
        <w:rPr>
          <w:bCs/>
          <w:b/>
        </w:rPr>
        <w:t xml:space="preserve">Finding 2: Routing failures block access to the platform’s core content.</w:t>
      </w:r>
      <w:r>
        <w:t xml:space="preserve"> </w:t>
      </w:r>
      <w:r>
        <w:t xml:space="preserve">Three show-stopping routing bugs were confirmed:</w:t>
      </w:r>
      <w:r>
        <w:t xml:space="preserve"> </w:t>
      </w:r>
      <w:r>
        <w:rPr>
          <w:rStyle w:val="VerbatimChar"/>
        </w:rPr>
        <w:t xml:space="preserve">/rankings</w:t>
      </w:r>
      <w:r>
        <w:t xml:space="preserve"> </w:t>
      </w:r>
      <w:r>
        <w:t xml:space="preserve">(no trailing slash) returns HTTP 404 while</w:t>
      </w:r>
      <w:r>
        <w:t xml:space="preserve"> </w:t>
      </w:r>
      <w:r>
        <w:rPr>
          <w:rStyle w:val="VerbatimChar"/>
        </w:rPr>
        <w:t xml:space="preserve">/rankings/</w:t>
      </w:r>
      <w:r>
        <w:t xml:space="preserve"> </w:t>
      </w:r>
      <w:r>
        <w:t xml:space="preserve">works — the natural URL form fails</w:t>
      </w:r>
      <w:r>
        <w:t xml:space="preserve"> </w:t>
      </w:r>
      <w:fldSimple w:instr="NOTEREF _Ref_Footnote_2 \h \f">
        <w:r>
          <w:rPr>
            <w:vertAlign w:val="superscript"/>
          </w:rPr>
          <w:t>2</w:t>
        </w:r>
      </w:fldSimple>
      <w:r>
        <w:t xml:space="preserve">;</w:t>
      </w:r>
      <w:r>
        <w:t xml:space="preserve"> </w:t>
      </w:r>
      <w:r>
        <w:rPr>
          <w:rStyle w:val="VerbatimChar"/>
        </w:rPr>
        <w:t xml:space="preserve">/city/phuket</w:t>
      </w:r>
      <w:r>
        <w:t xml:space="preserve"> </w:t>
      </w:r>
      <w:r>
        <w:t xml:space="preserve">returns 404 while the actual slug is likely</w:t>
      </w:r>
      <w:r>
        <w:t xml:space="preserve"> </w:t>
      </w:r>
      <w:r>
        <w:rPr>
          <w:rStyle w:val="VerbatimChar"/>
        </w:rPr>
        <w:t xml:space="preserve">/city/phuket-smart-city</w:t>
      </w:r>
      <w:r>
        <w:t xml:space="preserve"> </w:t>
      </w:r>
      <w:r>
        <w:t xml:space="preserve">— Thailand’s #1 ranked city is unreachable by its common name</w:t>
      </w:r>
      <w:r>
        <w:t xml:space="preserve"> </w:t>
      </w:r>
      <w:fldSimple w:instr="NOTEREF _Ref_Footnote_2 \h \f">
        <w:r>
          <w:rPr>
            <w:vertAlign w:val="superscript"/>
          </w:rPr>
          <w:t>2</w:t>
        </w:r>
      </w:fldSimple>
      <w:r>
        <w:t xml:space="preserve">; and the PDF download buttons deliver files of approximately 5 KB each, suggesting empty shells rather than real documents</w:t>
      </w:r>
      <w:r>
        <w:t xml:space="preserve"> </w:t>
      </w:r>
      <w:fldSimple w:instr="NOTEREF _Ref_Footnote_1 \h \f">
        <w:r>
          <w:rPr>
            <w:vertAlign w:val="superscript"/>
          </w:rPr>
          <w:t>1</w:t>
        </w:r>
      </w:fldSimple>
      <w:r>
        <w:t xml:space="preserve">. A genuine methodology paper for a 118-city index would exceed 1 MB. These are not cosmetic issues: they erode the very transparency claims the platform is built on.</w:t>
      </w:r>
    </w:p>
    <w:p>
      <w:pPr>
        <w:pStyle w:val="BodyText"/>
      </w:pPr>
      <w:r>
        <w:rPr>
          <w:bCs/>
          <w:b/>
        </w:rPr>
        <w:t xml:space="preserve">Finding 3: The technical foundation is sound; the edge configuration is not.</w:t>
      </w:r>
      <w:r>
        <w:t xml:space="preserve"> </w:t>
      </w:r>
      <w:r>
        <w:t xml:space="preserve">SCITI runs on Cloudflare CDN + GitHub Pages with HTTP/2, LCP preloading, async fonts, and modulepreload directives — all best-practice frontend performance techniques</w:t>
      </w:r>
      <w:r>
        <w:t xml:space="preserve"> </w:t>
      </w:r>
      <w:fldSimple w:instr="NOTEREF _Ref_Footnote_1 \h \f">
        <w:r>
          <w:rPr>
            <w:vertAlign w:val="superscript"/>
          </w:rPr>
          <w:t>1</w:t>
        </w:r>
      </w:fldSimple>
      <w:r>
        <w:t xml:space="preserve">. Yet three critical security headers are entirely absent (HSTS, CSP, X-Frame-Options)</w:t>
      </w:r>
      <w:r>
        <w:t xml:space="preserve"> </w:t>
      </w:r>
      <w:fldSimple w:instr="NOTEREF _Ref_Footnote_1 \h \f">
        <w:r>
          <w:rPr>
            <w:vertAlign w:val="superscript"/>
          </w:rPr>
          <w:t>1</w:t>
        </w:r>
      </w:fldSimple>
      <w:r>
        <w:t xml:space="preserve">, the</w:t>
      </w:r>
      <w:r>
        <w:t xml:space="preserve"> </w:t>
      </w:r>
      <w:r>
        <w:rPr>
          <w:rStyle w:val="VerbatimChar"/>
        </w:rPr>
        <w:t xml:space="preserve">Cache-Control: max-age=0</w:t>
      </w:r>
      <w:r>
        <w:t xml:space="preserve"> </w:t>
      </w:r>
      <w:r>
        <w:t xml:space="preserve">header forces full round-trips on every visit, and</w:t>
      </w:r>
      <w:r>
        <w:t xml:space="preserve"> </w:t>
      </w:r>
      <w:r>
        <w:rPr>
          <w:rStyle w:val="VerbatimChar"/>
        </w:rPr>
        <w:t xml:space="preserve">CF-Cache-Status: DYNAMIC</w:t>
      </w:r>
      <w:r>
        <w:t xml:space="preserve"> </w:t>
      </w:r>
      <w:r>
        <w:t xml:space="preserve">confirms Cloudflare is not caching HTML at the edge</w:t>
      </w:r>
      <w:r>
        <w:t xml:space="preserve"> </w:t>
      </w:r>
      <w:fldSimple w:instr="NOTEREF _Ref_Footnote_1 \h \f">
        <w:r>
          <w:rPr>
            <w:vertAlign w:val="superscript"/>
          </w:rPr>
          <w:t>1</w:t>
        </w:r>
      </w:fldSimple>
      <w:r>
        <w:t xml:space="preserve">. The frontend team did everything right; the infrastructure configuration undermines it all. Most critically, the footer claims</w:t>
      </w:r>
      <w:r>
        <w:t xml:space="preserve"> </w:t>
      </w:r>
      <w:r>
        <w:t xml:space="preserve">“</w:t>
      </w:r>
      <w:r>
        <w:t xml:space="preserve">No personal data collected. No cookies. No trackers</w:t>
      </w:r>
      <w:r>
        <w:t xml:space="preserve">”</w:t>
      </w:r>
      <w:r>
        <w:t xml:space="preserve"> </w:t>
      </w:r>
      <w:r>
        <w:t xml:space="preserve">while the Cloudflare Analytics beacon (</w:t>
      </w:r>
      <w:r>
        <w:rPr>
          <w:rStyle w:val="VerbatimChar"/>
        </w:rPr>
        <w:t xml:space="preserve">cloudflareinsights.com</w:t>
      </w:r>
      <w:r>
        <w:t xml:space="preserve">) is actively collecting visitor IP addresses and browsing patterns — data classified as personal under Thailand’s PDPA B.E. 2562</w:t>
      </w:r>
      <w:r>
        <w:t xml:space="preserve"> </w:t>
      </w:r>
      <w:fldSimple w:instr="NOTEREF _Ref_Footnote_1 \h \f">
        <w:r>
          <w:rPr>
            <w:vertAlign w:val="superscript"/>
          </w:rPr>
          <w:t>1</w:t>
        </w:r>
      </w:fldSimple>
      <w:r>
        <w:t xml:space="preserve"> </w:t>
      </w:r>
      <w:r>
        <w:rPr>
          <w:vertAlign w:val="superscript"/>
        </w:rPr>
        <w:footnoteReference w:id="3"/>
      </w:r>
      <w:r>
        <w:t xml:space="preserve">.</w:t>
      </w:r>
    </w:p>
    <w:p>
      <w:pPr>
        <w:pStyle w:val="BodyText"/>
      </w:pPr>
      <w:r>
        <w:rPr>
          <w:bCs/>
          <w:b/>
        </w:rPr>
        <w:t xml:space="preserve">Finding 4: The gap between SCITI and global benchmarks is content, not code.</w:t>
      </w:r>
      <w:r>
        <w:t xml:space="preserve"> </w:t>
      </w:r>
      <w:r>
        <w:t xml:space="preserve">Against IMD’s 146-city citizen-perception survey (120 residents per city), IESE’s 183-city statistically rigorous DP2 methodology, and Copenhagenize’s per-city policy recommendations, SCITI competes well on visualisation but lacks the content infrastructure that makes an index a</w:t>
      </w:r>
      <w:r>
        <w:t xml:space="preserve"> </w:t>
      </w:r>
      <w:r>
        <w:t xml:space="preserve">“</w:t>
      </w:r>
      <w:r>
        <w:t xml:space="preserve">bible</w:t>
      </w:r>
      <w:r>
        <w:t xml:space="preserve">”</w:t>
      </w:r>
      <w:r>
        <w:t xml:space="preserve"> </w:t>
      </w:r>
      <w:r>
        <w:rPr>
          <w:vertAlign w:val="superscript"/>
        </w:rPr>
        <w:footnoteReference w:id="4"/>
      </w:r>
      <w:r>
        <w:t xml:space="preserve"> </w:t>
      </w:r>
      <w:r>
        <w:rPr>
          <w:vertAlign w:val="superscript"/>
        </w:rPr>
        <w:footnoteReference w:id="5"/>
      </w:r>
      <w:r>
        <w:t xml:space="preserve"> </w:t>
      </w:r>
      <w:r>
        <w:rPr>
          <w:vertAlign w:val="superscript"/>
        </w:rPr>
        <w:footnoteReference w:id="6"/>
      </w:r>
      <w:r>
        <w:t xml:space="preserve">. There is no citizen perception survey, no self-assessment tool, no financing guidance, no case study library, no procurement guide, and no Thai-language content for 67 million speakers</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Every one of these gaps is addressable within 90 days with existing models to follow.</w:t>
      </w:r>
    </w:p>
    <w:p>
      <w:r>
        <w:pict>
          <v:rect style="width:0;height:1.5pt" o:hralign="center" o:hrstd="t" o:hr="t"/>
        </w:pict>
      </w:r>
    </w:p>
    <w:bookmarkEnd w:id="22"/>
    <w:bookmarkStart w:id="23" w:name="verdict"/>
    <w:p>
      <w:pPr>
        <w:pStyle w:val="Heading2"/>
      </w:pPr>
      <w:r>
        <w:t xml:space="preserve">Verdict</w:t>
      </w:r>
    </w:p>
    <w:p>
      <w:pPr>
        <w:pStyle w:val="FirstParagraph"/>
      </w:pPr>
      <w:r>
        <w:rPr>
          <w:bCs/>
          <w:b/>
        </w:rPr>
        <w:t xml:space="preserve">SCITI is 65% award-ready with bug fixes, 80% with content additions, and 95% with community features.</w:t>
      </w:r>
    </w:p>
    <w:p>
      <w:pPr>
        <w:pStyle w:val="BodyText"/>
      </w:pPr>
      <w:r>
        <w:t xml:space="preserve">The breakdown: the frontend design team has delivered award-calibre work — data visualisation scores 8/10, interface design 8/10 — that is undermined by backend configuration gaps (routing 6/10, security 3/10, caching 4/10) and incomplete content infrastructure (PDFs 2/10, language 3/10, SEO 4/10)</w:t>
      </w:r>
      <w:r>
        <w:t xml:space="preserve"> </w:t>
      </w:r>
      <w:fldSimple w:instr="NOTEREF _Ref_Footnote_1 \h \f">
        <w:r>
          <w:rPr>
            <w:vertAlign w:val="superscript"/>
          </w:rPr>
          <w:t>1</w:t>
        </w:r>
      </w:fldSimple>
      <w:r>
        <w:t xml:space="preserve">. The show-stoppers are all fixable within two development days. The content additions — a readiness self-assessment, a financing guide, a case study library, and Thai-language translation — require four to six weeks but transform the platform from a ranking table into a decision-support tool. The community layer — training programs, city twinning, an expert directory, and an annual summit — builds the institutional ecosystem that turns a website into a movement.</w:t>
      </w:r>
    </w:p>
    <w:p>
      <w:pPr>
        <w:pStyle w:val="BodyText"/>
      </w:pPr>
      <w:r>
        <w:t xml:space="preserve">The foundation is strong. The execution needs polish. The path is clear.</w:t>
      </w:r>
    </w:p>
    <w:p>
      <w:r>
        <w:pict>
          <v:rect style="width:0;height:1.5pt" o:hralign="center" o:hrstd="t" o:hr="t"/>
        </w:pict>
      </w:r>
    </w:p>
    <w:bookmarkEnd w:id="23"/>
    <w:bookmarkStart w:id="24" w:name="top-3-priorities"/>
    <w:p>
      <w:pPr>
        <w:pStyle w:val="Heading2"/>
      </w:pPr>
      <w:r>
        <w:t xml:space="preserve">Top 3 Priorities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Fix</w:t>
            </w:r>
          </w:p>
        </w:tc>
        <w:tc>
          <w:tcPr/>
          <w:p>
            <w:pPr>
              <w:pStyle w:val="Compact"/>
              <w:jc w:val="left"/>
            </w:pPr>
            <w:r>
              <w:t xml:space="preserve">Why It Matters First</w:t>
            </w:r>
          </w:p>
        </w:tc>
        <w:tc>
          <w:tcPr/>
          <w:p>
            <w:pPr>
              <w:pStyle w:val="Compact"/>
              <w:jc w:val="left"/>
            </w:pPr>
            <w:r>
              <w:t xml:space="preserve">Effort</w:t>
            </w:r>
          </w:p>
        </w:tc>
      </w:tr>
      <w:tr>
        <w:tc>
          <w:tcPr/>
          <w:p>
            <w:pPr>
              <w:pStyle w:val="Compact"/>
              <w:jc w:val="left"/>
            </w:pPr>
            <w:r>
              <w:rPr>
                <w:bCs/>
                <w:b/>
              </w:rPr>
              <w:t xml:space="preserve">1. Fix the</w:t>
            </w:r>
            <w:r>
              <w:rPr>
                <w:bCs/>
                <w:b/>
              </w:rPr>
              <w:t xml:space="preserve"> </w:t>
            </w:r>
            <w:r>
              <w:rPr>
                <w:bCs/>
                <w:b/>
              </w:rPr>
              <w:t xml:space="preserve">“</w:t>
            </w:r>
            <w:r>
              <w:rPr>
                <w:bCs/>
                <w:b/>
              </w:rPr>
              <w:t xml:space="preserve">TH</w:t>
            </w:r>
            <w:r>
              <w:rPr>
                <w:bCs/>
                <w:b/>
              </w:rPr>
              <w:t xml:space="preserve">”</w:t>
            </w:r>
            <w:r>
              <w:rPr>
                <w:bCs/>
                <w:b/>
              </w:rPr>
              <w:t xml:space="preserve"> </w:t>
            </w:r>
            <w:r>
              <w:rPr>
                <w:bCs/>
                <w:b/>
              </w:rPr>
              <w:t xml:space="preserve">button</w:t>
            </w:r>
          </w:p>
        </w:tc>
        <w:tc>
          <w:tcPr/>
          <w:p>
            <w:pPr>
              <w:pStyle w:val="Compact"/>
              <w:jc w:val="left"/>
            </w:pPr>
            <w:r>
              <w:t xml:space="preserve">Relabel to</w:t>
            </w:r>
            <w:r>
              <w:t xml:space="preserve"> </w:t>
            </w:r>
            <w:r>
              <w:t xml:space="preserve">“</w:t>
            </w:r>
            <w:r>
              <w:t xml:space="preserve">CN</w:t>
            </w:r>
            <w:r>
              <w:t xml:space="preserve">”</w:t>
            </w:r>
            <w:r>
              <w:t xml:space="preserve">/</w:t>
            </w:r>
            <w:r>
              <w:t xml:space="preserve">“</w:t>
            </w:r>
            <w:r>
              <w:t xml:space="preserve">中文</w:t>
            </w:r>
            <w:r>
              <w:t xml:space="preserve">”</w:t>
            </w:r>
            <w:r>
              <w:t xml:space="preserve"> </w:t>
            </w:r>
            <w:r>
              <w:t xml:space="preserve">immediately; if Thai translations exist, map correctly; if not, commission them for the next sprint</w:t>
            </w:r>
          </w:p>
        </w:tc>
        <w:tc>
          <w:tcPr/>
          <w:p>
            <w:pPr>
              <w:pStyle w:val="Compact"/>
              <w:jc w:val="left"/>
            </w:pPr>
            <w:r>
              <w:t xml:space="preserve">A Thai government site that cannot correctly label its own national language is a political liability before it is a technical bug. Every other fix is wasted if a Thai official’s first click destroys trust</w:t>
            </w:r>
            <w:r>
              <w:t xml:space="preserve"> </w:t>
            </w:r>
            <w:fldSimple w:instr="NOTEREF _Ref_Footnote_2 \h \f">
              <w:r>
                <w:rPr>
                  <w:vertAlign w:val="superscript"/>
                </w:rPr>
                <w:t>2</w:t>
              </w:r>
            </w:fldSimple>
            <w:r>
              <w:t xml:space="preserve">.</w:t>
            </w:r>
          </w:p>
        </w:tc>
        <w:tc>
          <w:tcPr/>
          <w:p>
            <w:pPr>
              <w:pStyle w:val="Compact"/>
              <w:jc w:val="left"/>
            </w:pPr>
            <w:r>
              <w:t xml:space="preserve">1 hour (relabel) / 1–2 weeks (Thai content)</w:t>
            </w:r>
          </w:p>
        </w:tc>
      </w:tr>
      <w:tr>
        <w:tc>
          <w:tcPr/>
          <w:p>
            <w:pPr>
              <w:pStyle w:val="Compact"/>
              <w:jc w:val="left"/>
            </w:pPr>
            <w:r>
              <w:rPr>
                <w:bCs/>
                <w:b/>
              </w:rPr>
              <w:t xml:space="preserve">2. Fix routing and slugs</w:t>
            </w:r>
          </w:p>
        </w:tc>
        <w:tc>
          <w:tcPr/>
          <w:p>
            <w:pPr>
              <w:pStyle w:val="Compact"/>
              <w:jc w:val="left"/>
            </w:pPr>
            <w:r>
              <w:t xml:space="preserve">Implement slug aliases (</w:t>
            </w:r>
            <w:r>
              <w:rPr>
                <w:rStyle w:val="VerbatimChar"/>
              </w:rPr>
              <w:t xml:space="preserve">/city/phuket</w:t>
            </w:r>
            <w:r>
              <w:t xml:space="preserve"> </w:t>
            </w:r>
            <w:r>
              <w:t xml:space="preserve">→</w:t>
            </w:r>
            <w:r>
              <w:t xml:space="preserve"> </w:t>
            </w:r>
            <w:r>
              <w:rPr>
                <w:rStyle w:val="VerbatimChar"/>
              </w:rPr>
              <w:t xml:space="preserve">/city/phuket-smart-city</w:t>
            </w:r>
            <w:r>
              <w:t xml:space="preserve">); add 404.html redirect trick for GitHub Pages SPA; test all 118 city routes</w:t>
            </w:r>
          </w:p>
        </w:tc>
        <w:tc>
          <w:tcPr/>
          <w:p>
            <w:pPr>
              <w:pStyle w:val="Compact"/>
              <w:jc w:val="left"/>
            </w:pPr>
            <w:r>
              <w:t xml:space="preserve">Award reviewers, journalists, and evaluators type URLs directly. A 404 on the #1 city or the rankings page suggests the product is unfinished</w:t>
            </w:r>
            <w:r>
              <w:t xml:space="preserve"> </w:t>
            </w:r>
            <w:fldSimple w:instr="NOTEREF _Ref_Footnote_2 \h \f">
              <w:r>
                <w:rPr>
                  <w:vertAlign w:val="superscript"/>
                </w:rPr>
                <w:t>2</w:t>
              </w:r>
            </w:fldSimple>
            <w:r>
              <w:t xml:space="preserve">.</w:t>
            </w:r>
          </w:p>
        </w:tc>
        <w:tc>
          <w:tcPr/>
          <w:p>
            <w:pPr>
              <w:pStyle w:val="Compact"/>
              <w:jc w:val="left"/>
            </w:pPr>
            <w:r>
              <w:t xml:space="preserve">1–2 days</w:t>
            </w:r>
          </w:p>
        </w:tc>
      </w:tr>
      <w:tr>
        <w:tc>
          <w:tcPr/>
          <w:p>
            <w:pPr>
              <w:pStyle w:val="Compact"/>
              <w:jc w:val="left"/>
            </w:pPr>
            <w:r>
              <w:rPr>
                <w:bCs/>
                <w:b/>
              </w:rPr>
              <w:t xml:space="preserve">3. Generate real PDFs</w:t>
            </w:r>
          </w:p>
        </w:tc>
        <w:tc>
          <w:tcPr/>
          <w:p>
            <w:pPr>
              <w:pStyle w:val="Compact"/>
              <w:jc w:val="left"/>
            </w:pPr>
            <w:r>
              <w:t xml:space="preserve">Export methodology page content to PDF; compile city dossier data into Full Report; write Executive Summary and Performance Audit; or replace buttons with</w:t>
            </w:r>
            <w:r>
              <w:t xml:space="preserve"> </w:t>
            </w:r>
            <w:r>
              <w:t xml:space="preserve">“</w:t>
            </w:r>
            <w:r>
              <w:t xml:space="preserve">Coming Soon</w:t>
            </w:r>
            <w:r>
              <w:t xml:space="preserve">”</w:t>
            </w:r>
          </w:p>
        </w:tc>
        <w:tc>
          <w:tcPr/>
          <w:p>
            <w:pPr>
              <w:pStyle w:val="Compact"/>
              <w:jc w:val="left"/>
            </w:pPr>
            <w:r>
              <w:t xml:space="preserve">Transparency is SCITI’s brand promise. Offering 5 KB placeholder downloads undermines every claim about evidence-based scoring and auditability</w:t>
            </w:r>
            <w:r>
              <w:t xml:space="preserve"> </w:t>
            </w:r>
            <w:fldSimple w:instr="NOTEREF _Ref_Footnote_1 \h \f">
              <w:r>
                <w:rPr>
                  <w:vertAlign w:val="superscript"/>
                </w:rPr>
                <w:t>1</w:t>
              </w:r>
            </w:fldSimple>
            <w:r>
              <w:t xml:space="preserve">. Broken downloads are worse than no downloads.</w:t>
            </w:r>
          </w:p>
        </w:tc>
        <w:tc>
          <w:tcPr/>
          <w:p>
            <w:pPr>
              <w:pStyle w:val="Compact"/>
              <w:jc w:val="left"/>
            </w:pPr>
            <w:r>
              <w:t xml:space="preserve">3–5 days</w:t>
            </w:r>
          </w:p>
        </w:tc>
      </w:tr>
    </w:tbl>
    <w:p>
      <w:r>
        <w:pict>
          <v:rect style="width:0;height:1.5pt" o:hralign="center" o:hrstd="t" o:hr="t"/>
        </w:pict>
      </w:r>
    </w:p>
    <w:bookmarkEnd w:id="24"/>
    <w:bookmarkStart w:id="25" w:name="the-vision"/>
    <w:p>
      <w:pPr>
        <w:pStyle w:val="Heading2"/>
      </w:pPr>
      <w:r>
        <w:t xml:space="preserve">The Vision</w:t>
      </w:r>
    </w:p>
    <w:p>
      <w:pPr>
        <w:pStyle w:val="FirstParagraph"/>
      </w:pPr>
      <w:r>
        <w:t xml:space="preserve">SCITI’s trajectory is not a single website launch — it is a three-phase transformation from</w:t>
      </w:r>
      <w:r>
        <w:t xml:space="preserve"> </w:t>
      </w:r>
      <w:r>
        <w:rPr>
          <w:bCs/>
          <w:b/>
        </w:rPr>
        <w:t xml:space="preserve">Thai index</w:t>
      </w:r>
      <w:r>
        <w:t xml:space="preserve"> </w:t>
      </w:r>
      <w:r>
        <w:t xml:space="preserve">to</w:t>
      </w:r>
      <w:r>
        <w:t xml:space="preserve"> </w:t>
      </w:r>
      <w:r>
        <w:rPr>
          <w:bCs/>
          <w:b/>
        </w:rPr>
        <w:t xml:space="preserve">ASEAN platform</w:t>
      </w:r>
      <w:r>
        <w:t xml:space="preserve"> </w:t>
      </w:r>
      <w:r>
        <w:t xml:space="preserve">to</w:t>
      </w:r>
      <w:r>
        <w:t xml:space="preserve"> </w:t>
      </w:r>
      <w:r>
        <w:rPr>
          <w:bCs/>
          <w:b/>
        </w:rPr>
        <w:t xml:space="preserve">global movement</w:t>
      </w:r>
      <w:r>
        <w:t xml:space="preserve">. In Phase 1 (2026), the 90-day action plan clears the show-stoppers, adds the four quick-win content pieces (readiness self-assessment, financing guide, case study library, procurement guide), and submits to three Red Dot Design Award categories. In Phase 2 (2027), SCITI expands from 118 Thai cities to include all 26 ASEAN Smart Cities Network pilot cities across 10 member states, using IMD’s HDI-based peer grouping to ensure fair comparison between Singapore and Phnom Penh</w:t>
      </w:r>
      <w:r>
        <w:t xml:space="preserve"> </w:t>
      </w:r>
      <w:r>
        <w:rPr>
          <w:vertAlign w:val="superscript"/>
        </w:rPr>
        <w:footnoteReference w:id="7"/>
      </w:r>
      <w:r>
        <w:t xml:space="preserve"> </w:t>
      </w:r>
      <w:r>
        <w:rPr>
          <w:vertAlign w:val="superscript"/>
        </w:rPr>
        <w:footnoteReference w:id="8"/>
      </w:r>
      <w:r>
        <w:t xml:space="preserve">. The Digital Twin Playbook and Climate Adaptation Toolkit address the fastest-growing investment segments in Southeast Asian urban development</w:t>
      </w:r>
      <w:r>
        <w:t xml:space="preserve"> </w:t>
      </w:r>
      <w:r>
        <w:rPr>
          <w:vertAlign w:val="superscript"/>
        </w:rPr>
        <w:footnoteReference w:id="9"/>
      </w:r>
      <w:r>
        <w:t xml:space="preserve"> </w:t>
      </w:r>
      <w:r>
        <w:rPr>
          <w:vertAlign w:val="superscript"/>
        </w:rPr>
        <w:footnoteReference w:id="10"/>
      </w:r>
      <w:r>
        <w:t xml:space="preserve">. In Phase 3 (2028+), the annual SCITI Summit rotates between Bangkok, Chiang Mai, and Khon Kaen; research partnerships with Thai universities validate methodology through peer-reviewed sensitivity analysis; and the composite scores feed directly into DEPA certification, BOI incentive allocation, and municipal performance evaluation. The measure of SCITI’s ultimate success is not pageviews — it is whether a mayor in Nakhon Sawan can cite her city’s Environment score to justify a flood-management budget, or whether a city manager in Hat Yai can point to a Hospitality score to attract tourism investment. When that happens, SCITI is no longer a website. It is infrastructure.</w:t>
      </w:r>
    </w:p>
    <w:p>
      <w:r>
        <w:pict>
          <v:rect style="width:0;height:1.5pt" o:hralign="center" o:hrstd="t" o:hr="t"/>
        </w:pict>
      </w:r>
    </w:p>
    <w:bookmarkEnd w:id="25"/>
    <w:bookmarkEnd w:id="26"/>
    <w:bookmarkStart w:id="135" w:name="frontend-audit-every-page-tested"/>
    <w:p>
      <w:pPr>
        <w:pStyle w:val="Heading1"/>
      </w:pPr>
      <w:r>
        <w:t xml:space="preserve">1. Frontend Audit: Every Page Tested</w:t>
      </w:r>
    </w:p>
    <w:p>
      <w:pPr>
        <w:pStyle w:val="FirstParagraph"/>
      </w:pPr>
      <w:r>
        <w:t xml:space="preserve">The SCITI frontend is a polished React 19 + TypeScript + Vite 6 single-page application with a cohesive visual identity anchored in deep navy, gold accents, and full-bleed Thai city photography. This chapter documents systematic testing of every reachable page, interactive feature, and language mode — praising what works, documenting exact failure modes where it breaks.</w:t>
      </w:r>
    </w:p>
    <w:p>
      <w:r>
        <w:pict>
          <v:rect style="width:0;height:1.5pt" o:hralign="center" o:hrstd="t" o:hr="t"/>
        </w:pict>
      </w:r>
    </w:p>
    <w:bookmarkStart w:id="35" w:name="homepage-analysis"/>
    <w:p>
      <w:pPr>
        <w:pStyle w:val="Heading2"/>
      </w:pPr>
      <w:r>
        <w:t xml:space="preserve">1.1 Homepage Analysis</w:t>
      </w:r>
    </w:p>
    <w:p>
      <w:pPr>
        <w:pStyle w:val="FirstParagraph"/>
      </w:pPr>
      <w:r>
        <w:t xml:space="preserve">The homepage (</w:t>
      </w:r>
      <w:r>
        <w:rPr>
          <w:rStyle w:val="VerbatimChar"/>
        </w:rPr>
        <w:t xml:space="preserve">/</w:t>
      </w:r>
      <w:r>
        <w:t xml:space="preserve">) is the richest page in the application. It functions as both a landing experience and a dashboard, packing eight distinct content sections into a vertically scrolling narrative that takes the user from an emotional hook to hard data to actionable exports. Our testing confirms all sections render correctly across repeated loads.</w:t>
      </w:r>
    </w:p>
    <w:bookmarkStart w:id="27" w:name="hero-section-reality-not-ribbon-cutting"/>
    <w:p>
      <w:pPr>
        <w:pStyle w:val="Heading3"/>
      </w:pPr>
      <w:r>
        <w:t xml:space="preserve">1.1.1 Hero Section:</w:t>
      </w:r>
      <w:r>
        <w:t xml:space="preserve"> </w:t>
      </w:r>
      <w:r>
        <w:t xml:space="preserve">“</w:t>
      </w:r>
      <w:r>
        <w:t xml:space="preserve">Reality, not ribbon-cutting</w:t>
      </w:r>
      <w:r>
        <w:t xml:space="preserve">”</w:t>
      </w:r>
    </w:p>
    <w:p>
      <w:pPr>
        <w:pStyle w:val="FirstParagraph"/>
      </w:pPr>
      <w:r>
        <w:t xml:space="preserve">The hero makes an excellent first impression. A full-viewport Wat Arun photograph with a dark overlay carries the headline</w:t>
      </w:r>
      <w:r>
        <w:t xml:space="preserve"> </w:t>
      </w:r>
      <w:r>
        <w:t xml:space="preserve">“</w:t>
      </w:r>
      <w:r>
        <w:t xml:space="preserve">Reality, not ribbon-cutting</w:t>
      </w:r>
      <w:r>
        <w:t xml:space="preserve">”</w:t>
      </w:r>
      <w:r>
        <w:t xml:space="preserve"> </w:t>
      </w:r>
      <w:r>
        <w:t xml:space="preserve">in bold white sans-serif, immediately establishing the site’s critical stance toward ceremonial smart-city announcements. A gold sub-header clarifies:</w:t>
      </w:r>
      <w:r>
        <w:t xml:space="preserve"> </w:t>
      </w:r>
      <w:r>
        <w:t xml:space="preserve">“</w:t>
      </w:r>
      <w:r>
        <w:t xml:space="preserve">SCITI 2026 — pronounced</w:t>
      </w:r>
      <w:r>
        <w:t xml:space="preserve"> </w:t>
      </w:r>
      <w:r>
        <w:t xml:space="preserve">‘</w:t>
      </w:r>
      <w:r>
        <w:t xml:space="preserve">City</w:t>
      </w:r>
      <w:r>
        <w:t xml:space="preserve">’</w:t>
      </w:r>
      <w:r>
        <w:t xml:space="preserve"> </w:t>
      </w:r>
      <w:r>
        <w:t xml:space="preserve">· SmaSCITI = Samastiti.</w:t>
      </w:r>
      <w:r>
        <w:t xml:space="preserve">”</w:t>
      </w:r>
      <w:r>
        <w:t xml:space="preserve"> </w:t>
      </w:r>
      <w:r>
        <w:t xml:space="preserve">The value proposition below is equally direct:</w:t>
      </w:r>
      <w:r>
        <w:t xml:space="preserve"> </w:t>
      </w:r>
      <w:r>
        <w:t xml:space="preserve">“</w:t>
      </w:r>
      <w:r>
        <w:t xml:space="preserve">Thailand has certified 37 smart cities. But how many of them actually work? This index exists because the gap between announcements and outcomes needed measuring.</w:t>
      </w:r>
      <w:r>
        <w:t xml:space="preserve">”</w:t>
      </w:r>
      <w:r>
        <w:t xml:space="preserve"> </w:t>
      </w:r>
      <w:r>
        <w:t xml:space="preserve">Two CTAs —</w:t>
      </w:r>
      <w:r>
        <w:t xml:space="preserve"> </w:t>
      </w:r>
      <w:r>
        <w:t xml:space="preserve">“</w:t>
      </w:r>
      <w:r>
        <w:t xml:space="preserve">Get Rankings</w:t>
      </w:r>
      <w:r>
        <w:t xml:space="preserve">”</w:t>
      </w:r>
      <w:r>
        <w:t xml:space="preserve"> </w:t>
      </w:r>
      <w:r>
        <w:t xml:space="preserve">(gold primary) and</w:t>
      </w:r>
      <w:r>
        <w:t xml:space="preserve"> </w:t>
      </w:r>
      <w:r>
        <w:t xml:space="preserve">“</w:t>
      </w:r>
      <w:r>
        <w:t xml:space="preserve">Methodology</w:t>
      </w:r>
      <w:r>
        <w:t xml:space="preserve">”</w:t>
      </w:r>
      <w:r>
        <w:t xml:space="preserve"> </w:t>
      </w:r>
      <w:r>
        <w:t xml:space="preserve">(outlined secondary) — set the editorial tone: evidence over aesthetics, outcomes over announcements.</w:t>
      </w:r>
    </w:p>
    <w:bookmarkEnd w:id="27"/>
    <w:bookmarkStart w:id="28" w:name="X875fe463c95043301136a84c8209c1163f28398"/>
    <w:p>
      <w:pPr>
        <w:pStyle w:val="Heading3"/>
      </w:pPr>
      <w:r>
        <w:t xml:space="preserve">1.1.2 Stats Bar: The Quantitative Value Proposition</w:t>
      </w:r>
    </w:p>
    <w:p>
      <w:pPr>
        <w:pStyle w:val="FirstParagraph"/>
      </w:pPr>
      <w:r>
        <w:t xml:space="preserve">A dark navy stats bar presents six metrics in gold monospace type: 118 cities indexed, 37 DEPA-certified, 77 provinces covered, 7 pillars measured, SCITI 2026 edition, and</w:t>
      </w:r>
      <w:r>
        <w:t xml:space="preserve"> </w:t>
      </w:r>
      <w:r>
        <w:t xml:space="preserve">“</w:t>
      </w:r>
      <w:r>
        <w:t xml:space="preserve">Updated 5 days ago.</w:t>
      </w:r>
      <w:r>
        <w:t xml:space="preserve">”</w:t>
      </w:r>
      <w:r>
        <w:t xml:space="preserve"> </w:t>
      </w:r>
      <w:r>
        <w:t xml:space="preserve">Fine-print adds:</w:t>
      </w:r>
      <w:r>
        <w:t xml:space="preserve"> </w:t>
      </w:r>
      <w:r>
        <w:t xml:space="preserve">“</w:t>
      </w:r>
      <w:r>
        <w:t xml:space="preserve">15 evidence source families · 12 public endpoints.</w:t>
      </w:r>
      <w:r>
        <w:t xml:space="preserve">”</w:t>
      </w:r>
      <w:r>
        <w:t xml:space="preserve"> </w:t>
      </w:r>
      <w:r>
        <w:t xml:space="preserve">This bar answers the three questions any smart-city director asks first — how many, how certified, how current — before a single scroll. The freshness indicator signals a living index, not a static annual report.</w:t>
      </w:r>
    </w:p>
    <w:bookmarkEnd w:id="28"/>
    <w:bookmarkStart w:id="29" w:name="X648b77951a8db75b605b6853f1eca1997fe0abd"/>
    <w:p>
      <w:pPr>
        <w:pStyle w:val="Heading3"/>
      </w:pPr>
      <w:r>
        <w:t xml:space="preserve">1.1.3 Opening Argument Section: Framing with Data Transparency Claims</w:t>
      </w:r>
    </w:p>
    <w:p>
      <w:pPr>
        <w:pStyle w:val="FirstParagraph"/>
      </w:pPr>
      <w:r>
        <w:t xml:space="preserve">The</w:t>
      </w:r>
      <w:r>
        <w:t xml:space="preserve"> </w:t>
      </w:r>
      <w:r>
        <w:t xml:space="preserve">“</w:t>
      </w:r>
      <w:r>
        <w:t xml:space="preserve">Opening Argument</w:t>
      </w:r>
      <w:r>
        <w:t xml:space="preserve">”</w:t>
      </w:r>
      <w:r>
        <w:t xml:space="preserve"> </w:t>
      </w:r>
      <w:r>
        <w:t xml:space="preserve">section uses a deep navy background with gold uppercase tracking. The headline —</w:t>
      </w:r>
      <w:r>
        <w:t xml:space="preserve"> </w:t>
      </w:r>
      <w:r>
        <w:t xml:space="preserve">“</w:t>
      </w:r>
      <w:r>
        <w:t xml:space="preserve">118 cities, 37 certified. Here is what separates them.</w:t>
      </w:r>
      <w:r>
        <w:t xml:space="preserve">”</w:t>
      </w:r>
      <w:r>
        <w:t xml:space="preserve"> </w:t>
      </w:r>
      <w:r>
        <w:t xml:space="preserve">— is followed by three large numerals (118, 37, 7) with paragraphs that read as a data-integrity manifesto. The text names its sources explicitly:</w:t>
      </w:r>
      <w:r>
        <w:t xml:space="preserve"> </w:t>
      </w:r>
      <w:r>
        <w:t xml:space="preserve">“</w:t>
      </w:r>
      <w:r>
        <w:t xml:space="preserve">Road fatalities from thairsc.com. Flood frequency from GISTDA 2005–2016. PM2.5 from live stations. No proxies. No interpolation. No null treated as zero.</w:t>
      </w:r>
      <w:r>
        <w:t xml:space="preserve">”</w:t>
      </w:r>
      <w:r>
        <w:t xml:space="preserve"> </w:t>
      </w:r>
      <w:r>
        <w:t xml:space="preserve">This source transparency is rare in government-adjacent products. A pull-quote drives the point home:</w:t>
      </w:r>
      <w:r>
        <w:t xml:space="preserve"> </w:t>
      </w:r>
      <w:r>
        <w:t xml:space="preserve">“</w:t>
      </w:r>
      <w:r>
        <w:t xml:space="preserve">The city that buys hardware and cuts the ribbon scores the same as the city that never bothers — unless the data says otherwise.</w:t>
      </w:r>
      <w:r>
        <w:t xml:space="preserve">”</w:t>
      </w:r>
    </w:p>
    <w:bookmarkEnd w:id="29"/>
    <w:bookmarkStart w:id="30" w:name="X6cdf850b54f42a8e169dced227e3cf5b7df8c8f"/>
    <w:p>
      <w:pPr>
        <w:pStyle w:val="Heading3"/>
      </w:pPr>
      <w:r>
        <w:t xml:space="preserve">1.1.4 Seven Pillars Champions: Unique Per-Pillar City Showcase</w:t>
      </w:r>
    </w:p>
    <w:p>
      <w:pPr>
        <w:pStyle w:val="FirstParagraph"/>
      </w:pPr>
      <w:r>
        <w:t xml:space="preserve">The</w:t>
      </w:r>
      <w:r>
        <w:t xml:space="preserve"> </w:t>
      </w:r>
      <w:r>
        <w:t xml:space="preserve">“</w:t>
      </w:r>
      <w:r>
        <w:t xml:space="preserve">Seven Pillars, by Champion</w:t>
      </w:r>
      <w:r>
        <w:t xml:space="preserve">”</w:t>
      </w:r>
      <w:r>
        <w:t xml:space="preserve"> </w:t>
      </w:r>
      <w:r>
        <w:t xml:space="preserve">section introduces a novel way to surface city excellence. Rather than ranking cities by a single composite score, it identifies the top-performing city for each of the seven smart-city pillars. The visible champions include Phuket Smart City for Livability (score 76), Samyan Smart City for Economy (82) and Safety (70), and CMU Smart City for Wellbeing (75). Each champion appears as a compact card with a colored dot indicator, city name, and score. This per-pillar breakdown is a genuinely useful feature for stakeholders who care about specific dimensions — an environmental officer can immediately see which city leads on Environment, while an economic development board can spot the Economy champion. It is a design choice that prioritizes actionable specificity over aggregated simplicity.</w:t>
      </w:r>
    </w:p>
    <w:bookmarkEnd w:id="30"/>
    <w:bookmarkStart w:id="31" w:name="regional-champions-geographic-breakdown"/>
    <w:p>
      <w:pPr>
        <w:pStyle w:val="Heading3"/>
      </w:pPr>
      <w:r>
        <w:t xml:space="preserve">1.1.5 Regional Champions: Geographic Breakdown</w:t>
      </w:r>
    </w:p>
    <w:p>
      <w:pPr>
        <w:pStyle w:val="FirstParagraph"/>
      </w:pPr>
      <w:r>
        <w:t xml:space="preserve">The homepage continues with a regional breakdown organized by Thailand’s major geographic divisions — North, Northeast, Central, Bangkok, East, and South — showcasing representative cities from each region. This section serves two audiences: domestic policymakers who think in regional terms, and international investors who need quick geographic orientation. Each region card links to its respective city dossier, enabling one-click deep dives.</w:t>
      </w:r>
    </w:p>
    <w:bookmarkEnd w:id="31"/>
    <w:bookmarkStart w:id="32" w:name="top-five-cards-rich-detail-at-a-glance"/>
    <w:p>
      <w:pPr>
        <w:pStyle w:val="Heading3"/>
      </w:pPr>
      <w:r>
        <w:t xml:space="preserve">1.1.6 Top Five Cards: Rich Detail at a Glance</w:t>
      </w:r>
    </w:p>
    <w:p>
      <w:pPr>
        <w:pStyle w:val="FirstParagraph"/>
      </w:pPr>
      <w:r>
        <w:t xml:space="preserve">The</w:t>
      </w:r>
      <w:r>
        <w:t xml:space="preserve"> </w:t>
      </w:r>
      <w:r>
        <w:t xml:space="preserve">“</w:t>
      </w:r>
      <w:r>
        <w:t xml:space="preserve">Top Five</w:t>
      </w:r>
      <w:r>
        <w:t xml:space="preserve">”</w:t>
      </w:r>
      <w:r>
        <w:t xml:space="preserve"> </w:t>
      </w:r>
      <w:r>
        <w:t xml:space="preserve">section is the homepage’s visual centerpiece. Five cards in an asymmetric grid show #1 Phuket (72.6) hero-left and #2–5 stacked right. Each card overlays a city photograph with a dark gradient, the composite score in gold type, and contextual data badges. Phuket displays GPP ฿492K/capita, PM2.5 18.2 µg/m³, 88% hospitality, 72% digital adoption,</w:t>
      </w:r>
      <w:r>
        <w:t xml:space="preserve"> </w:t>
      </w:r>
      <w:r>
        <w:t xml:space="preserve">“</w:t>
      </w:r>
      <w:r>
        <w:t xml:space="preserve">Tourism engine, real tech.</w:t>
      </w:r>
      <w:r>
        <w:t xml:space="preserve">”</w:t>
      </w:r>
      <w:r>
        <w:t xml:space="preserve"> </w:t>
      </w:r>
      <w:r>
        <w:t xml:space="preserve">Samyan (#2, 71.9) shows GPP ฿628K/capita and 200+ startups. Chiang Mai Old Town (#3, 67.0) highlights 300+ temple sensors. Each data point tells a story about what makes the city distinctive — sophisticated information design that prioritizes narrative over raw ranking.</w:t>
      </w:r>
      <w:r>
        <w:t xml:space="preserve"> </w:t>
      </w:r>
      <w:r>
        <w:t xml:space="preserve">“</w:t>
      </w:r>
      <w:r>
        <w:t xml:space="preserve">Real-time Data</w:t>
      </w:r>
      <w:r>
        <w:t xml:space="preserve">”</w:t>
      </w:r>
      <w:r>
        <w:t xml:space="preserve"> </w:t>
      </w:r>
      <w:r>
        <w:t xml:space="preserve">links suggest live feeds; freshness was not verified.</w:t>
      </w:r>
    </w:p>
    <w:bookmarkEnd w:id="32"/>
    <w:bookmarkStart w:id="33" w:name="X21b4f246ec54c1920ba4688f64a365f664af02f"/>
    <w:p>
      <w:pPr>
        <w:pStyle w:val="Heading3"/>
      </w:pPr>
      <w:r>
        <w:t xml:space="preserve">1.1.7 Open Data Section: CSV Exports, PDF Downloads, and CC BY 4.0 Licensing</w:t>
      </w:r>
    </w:p>
    <w:p>
      <w:pPr>
        <w:pStyle w:val="FirstParagraph"/>
      </w:pPr>
      <w:r>
        <w:t xml:space="preserve">The open-data section distinguishes SCITI from proprietary indices. Four PDF download buttons are offered — Executive Summary, Methodology Paper, Full Report, and Performance Audit — alongside CSV exports under a CC BY 4.0 license (</w:t>
      </w:r>
      <w:r>
        <w:t xml:space="preserve">“</w:t>
      </w:r>
      <w:r>
        <w:t xml:space="preserve">Take the data. Audit the method. Build on it.</w:t>
      </w:r>
      <w:r>
        <w:t xml:space="preserve">”</w:t>
      </w:r>
      <w:r>
        <w:t xml:space="preserve">). The footer carries four compliance badges: CC BY 4.0, PDPA B.E. 2562 (</w:t>
      </w:r>
      <w:r>
        <w:t xml:space="preserve">“</w:t>
      </w:r>
      <w:r>
        <w:t xml:space="preserve">No personal data collected. No cookies. No trackers</w:t>
      </w:r>
      <w:r>
        <w:t xml:space="preserve">”</w:t>
      </w:r>
      <w:r>
        <w:t xml:space="preserve">), a disclaimer that no city or investor paid for placement, and ISO 37122 alignment with UN-Habitat CPI and the ASEAN Smart Cities Framework.</w:t>
      </w:r>
    </w:p>
    <w:p>
      <w:pPr>
        <w:pStyle w:val="BodyText"/>
      </w:pPr>
      <w:r>
        <w:rPr>
          <w:bCs/>
          <w:b/>
        </w:rPr>
        <w:t xml:space="preserve">Critical finding:</w:t>
      </w:r>
      <w:r>
        <w:t xml:space="preserve"> </w:t>
      </w:r>
      <w:r>
        <w:t xml:space="preserve">The PDF files are approximately 5 KB each — strongly suggesting placeholders, not real documents. A genuine methodology paper would exceed 1 MB. This credibility gap must be addressed before the site is promoted to research audiences.</w:t>
      </w:r>
    </w:p>
    <w:bookmarkEnd w:id="33"/>
    <w:bookmarkStart w:id="34" w:name="beyond-bangkok-investor-section"/>
    <w:p>
      <w:pPr>
        <w:pStyle w:val="Heading3"/>
      </w:pPr>
      <w:r>
        <w:t xml:space="preserve">1.1.8</w:t>
      </w:r>
      <w:r>
        <w:t xml:space="preserve"> </w:t>
      </w:r>
      <w:r>
        <w:t xml:space="preserve">“</w:t>
      </w:r>
      <w:r>
        <w:t xml:space="preserve">Beyond Bangkok</w:t>
      </w:r>
      <w:r>
        <w:t xml:space="preserve">”</w:t>
      </w:r>
      <w:r>
        <w:t xml:space="preserve"> </w:t>
      </w:r>
      <w:r>
        <w:t xml:space="preserve">Investor Section</w:t>
      </w:r>
    </w:p>
    <w:p>
      <w:pPr>
        <w:pStyle w:val="FirstParagraph"/>
      </w:pPr>
      <w:r>
        <w:t xml:space="preserve">The homepage closes with</w:t>
      </w:r>
      <w:r>
        <w:t xml:space="preserve"> </w:t>
      </w:r>
      <w:r>
        <w:t xml:space="preserve">“</w:t>
      </w:r>
      <w:r>
        <w:t xml:space="preserve">Beyond Bangkok: where the real opportunity is</w:t>
      </w:r>
      <w:r>
        <w:t xml:space="preserve">”</w:t>
      </w:r>
      <w:r>
        <w:t xml:space="preserve"> </w:t>
      </w:r>
      <w:r>
        <w:t xml:space="preserve">— six secondary-city cards (Hat Yai 64.2, Koh Samui 63.4, Phang Nga 63.1, Chanthaburi 62.8, Nonthaburi 62.7, Chachoengsao 62.3) with taglines like</w:t>
      </w:r>
      <w:r>
        <w:t xml:space="preserve"> </w:t>
      </w:r>
      <w:r>
        <w:t xml:space="preserve">“</w:t>
      </w:r>
      <w:r>
        <w:t xml:space="preserve">Warm city, open doors.</w:t>
      </w:r>
      <w:r>
        <w:t xml:space="preserve">”</w:t>
      </w:r>
      <w:r>
        <w:t xml:space="preserve"> </w:t>
      </w:r>
      <w:r>
        <w:t xml:space="preserve">The copy explicitly makes the investment case:</w:t>
      </w:r>
      <w:r>
        <w:t xml:space="preserve"> </w:t>
      </w:r>
      <w:r>
        <w:t xml:space="preserve">“</w:t>
      </w:r>
      <w:r>
        <w:t xml:space="preserve">Thailand’s secondary cities offer BOI incentives, lower costs, better air, and less competition.</w:t>
      </w:r>
      <w:r>
        <w:t xml:space="preserve">”</w:t>
      </w:r>
      <w:r>
        <w:t xml:space="preserve"> </w:t>
      </w:r>
      <w:r>
        <w:t xml:space="preserve">This is one of the few sections speaking directly to capital allocators rather than policymakers — a signal that the SCITI team understands an index without an investment narrative is merely a scoreboard.</w:t>
      </w:r>
    </w:p>
    <w:p>
      <w:r>
        <w:pict>
          <v:rect style="width:0;height:1.5pt" o:hralign="center" o:hrstd="t" o:hr="t"/>
        </w:pict>
      </w:r>
    </w:p>
    <w:bookmarkEnd w:id="34"/>
    <w:bookmarkEnd w:id="35"/>
    <w:bookmarkStart w:id="40" w:name="rankings-page"/>
    <w:p>
      <w:pPr>
        <w:pStyle w:val="Heading2"/>
      </w:pPr>
      <w:r>
        <w:t xml:space="preserve">1.2 Rankings Page</w:t>
      </w:r>
    </w:p>
    <w:bookmarkStart w:id="36" w:name="X0f65b031f8428c3a9e3aa2141793cbc8a0622b7"/>
    <w:p>
      <w:pPr>
        <w:pStyle w:val="Heading3"/>
      </w:pPr>
      <w:r>
        <w:t xml:space="preserve">1.2.1</w:t>
      </w:r>
      <w:r>
        <w:t xml:space="preserve"> </w:t>
      </w:r>
      <w:r>
        <w:t xml:space="preserve">“</w:t>
      </w:r>
      <w:r>
        <w:t xml:space="preserve">Moneyball of Thai City Investment</w:t>
      </w:r>
      <w:r>
        <w:t xml:space="preserve">”</w:t>
      </w:r>
      <w:r>
        <w:t xml:space="preserve"> </w:t>
      </w:r>
      <w:r>
        <w:t xml:space="preserve">Framing</w:t>
      </w:r>
    </w:p>
    <w:p>
      <w:pPr>
        <w:pStyle w:val="FirstParagraph"/>
      </w:pPr>
      <w:r>
        <w:t xml:space="preserve">The Rankings page (</w:t>
      </w:r>
      <w:r>
        <w:rPr>
          <w:rStyle w:val="VerbatimChar"/>
        </w:rPr>
        <w:t xml:space="preserve">/rankings/</w:t>
      </w:r>
      <w:r>
        <w:t xml:space="preserve">) opens with a Khon Kaen cityscape hero — a deliberate non-Bangkok choice. The headline</w:t>
      </w:r>
      <w:r>
        <w:t xml:space="preserve"> </w:t>
      </w:r>
      <w:r>
        <w:t xml:space="preserve">“</w:t>
      </w:r>
      <w:r>
        <w:t xml:space="preserve">The Moneyball of Thai city investment</w:t>
      </w:r>
      <w:r>
        <w:t xml:space="preserve">”</w:t>
      </w:r>
      <w:r>
        <w:t xml:space="preserve"> </w:t>
      </w:r>
      <w:r>
        <w:t xml:space="preserve">positions SCITI as a data-driven alternative, with explanatory text clarifying the lens approach:</w:t>
      </w:r>
      <w:r>
        <w:t xml:space="preserve"> </w:t>
      </w:r>
      <w:r>
        <w:t xml:space="preserve">“</w:t>
      </w:r>
      <w:r>
        <w:t xml:space="preserve">Pick a lens and the directory re-ranks under that worldview — growth at all costs, retirement paradise, climate refuge.</w:t>
      </w:r>
      <w:r>
        <w:t xml:space="preserve">”</w:t>
      </w:r>
      <w:r>
        <w:t xml:space="preserve"> </w:t>
      </w:r>
      <w:r>
        <w:t xml:space="preserve">A</w:t>
      </w:r>
      <w:r>
        <w:t xml:space="preserve"> </w:t>
      </w:r>
      <w:r>
        <w:t xml:space="preserve">“</w:t>
      </w:r>
      <w:r>
        <w:t xml:space="preserve">Download Top 10 Canvas</w:t>
      </w:r>
      <w:r>
        <w:t xml:space="preserve">”</w:t>
      </w:r>
      <w:r>
        <w:t xml:space="preserve"> </w:t>
      </w:r>
      <w:r>
        <w:t xml:space="preserve">button and a dropdown menu (Rankings / Your City / Compare) complete the header. All dropdown routes tested successfully.</w:t>
      </w:r>
    </w:p>
    <w:bookmarkEnd w:id="36"/>
    <w:bookmarkStart w:id="37" w:name="X650847a126c5173d20162dadaf2f95d77ad9c9c"/>
    <w:p>
      <w:pPr>
        <w:pStyle w:val="Heading3"/>
      </w:pPr>
      <w:r>
        <w:t xml:space="preserve">1.2.2 Editor’s Picks: Seven Cities with Investment Thesis Labels</w:t>
      </w:r>
    </w:p>
    <w:p>
      <w:pPr>
        <w:pStyle w:val="FirstParagraph"/>
      </w:pPr>
      <w:r>
        <w:t xml:space="preserve">The</w:t>
      </w:r>
      <w:r>
        <w:t xml:space="preserve"> </w:t>
      </w:r>
      <w:r>
        <w:t xml:space="preserve">“</w:t>
      </w:r>
      <w:r>
        <w:t xml:space="preserve">Editor’s Picks</w:t>
      </w:r>
      <w:r>
        <w:t xml:space="preserve">”</w:t>
      </w:r>
      <w:r>
        <w:t xml:space="preserve"> </w:t>
      </w:r>
      <w:r>
        <w:t xml:space="preserve">section presents seven cities with investment-thesis labels: Nakhon Si Thammarat (</w:t>
      </w:r>
      <w:r>
        <w:t xml:space="preserve">“</w:t>
      </w:r>
      <w:r>
        <w:t xml:space="preserve">Climate Outperformer</w:t>
      </w:r>
      <w:r>
        <w:t xml:space="preserve">”</w:t>
      </w:r>
      <w:r>
        <w:t xml:space="preserve">), Yala (</w:t>
      </w:r>
      <w:r>
        <w:t xml:space="preserve">“</w:t>
      </w:r>
      <w:r>
        <w:t xml:space="preserve">Cleanest-Air Play,</w:t>
      </w:r>
      <w:r>
        <w:t xml:space="preserve">”</w:t>
      </w:r>
      <w:r>
        <w:t xml:space="preserve"> </w:t>
      </w:r>
      <w:r>
        <w:t xml:space="preserve">PM2.5 14.2 µg/m³, 58% green cover), Khon Kaen (</w:t>
      </w:r>
      <w:r>
        <w:t xml:space="preserve">“</w:t>
      </w:r>
      <w:r>
        <w:t xml:space="preserve">Momentum Play,</w:t>
      </w:r>
      <w:r>
        <w:t xml:space="preserve">”</w:t>
      </w:r>
      <w:r>
        <w:t xml:space="preserve"> </w:t>
      </w:r>
      <w:r>
        <w:t xml:space="preserve">GPP +3.5% YoY, FDI $2.8B), Nan (</w:t>
      </w:r>
      <w:r>
        <w:t xml:space="preserve">“</w:t>
      </w:r>
      <w:r>
        <w:t xml:space="preserve">Undervalued Gamma</w:t>
      </w:r>
      <w:r>
        <w:t xml:space="preserve">”</w:t>
      </w:r>
      <w:r>
        <w:t xml:space="preserve">), Rayong (</w:t>
      </w:r>
      <w:r>
        <w:t xml:space="preserve">“</w:t>
      </w:r>
      <w:r>
        <w:t xml:space="preserve">Wealth Per Head</w:t>
      </w:r>
      <w:r>
        <w:t xml:space="preserve">”</w:t>
      </w:r>
      <w:r>
        <w:t xml:space="preserve">), Phitsanulok (</w:t>
      </w:r>
      <w:r>
        <w:t xml:space="preserve">“</w:t>
      </w:r>
      <w:r>
        <w:t xml:space="preserve">Governance Dividend</w:t>
      </w:r>
      <w:r>
        <w:t xml:space="preserve">”</w:t>
      </w:r>
      <w:r>
        <w:t xml:space="preserve">), and Korat (</w:t>
      </w:r>
      <w:r>
        <w:t xml:space="preserve">“</w:t>
      </w:r>
      <w:r>
        <w:t xml:space="preserve">Logistics Hub Waiting</w:t>
      </w:r>
      <w:r>
        <w:t xml:space="preserve">”</w:t>
      </w:r>
      <w:r>
        <w:t xml:space="preserve">). Each card carries narrative context and two to three supporting metrics. This editorial framing is a genuine differentiator — most indices present rankings without narrative; SCITI tells you why a city matters.</w:t>
      </w:r>
    </w:p>
    <w:bookmarkEnd w:id="37"/>
    <w:bookmarkStart w:id="38" w:name="lens-based-filtering-seven-worldviews"/>
    <w:p>
      <w:pPr>
        <w:pStyle w:val="Heading3"/>
      </w:pPr>
      <w:r>
        <w:t xml:space="preserve">1.2.3 Lens-Based Filtering: Seven Worldviews</w:t>
      </w:r>
    </w:p>
    <w:p>
      <w:pPr>
        <w:pStyle w:val="FirstParagraph"/>
      </w:pPr>
      <w:r>
        <w:t xml:space="preserve">The Rankings page offers seven lens-based filters that re-sort the city directory according to different stakeholder priorities. The lenses correspond to the seven smart-city pillars — Livability, Economy, Safety, Wellbeing, Environment, Hospitality, and Digital — but the editorial framing makes them accessible to non-technical users. Selecting a lens updates the city ranking in real time and adjusts the spider chart to show how each city’s score profile shifts under that worldview. This is a sophisticated interaction pattern that acknowledges a fundamental truth about city indices: a retiree cares about different things than a venture capitalist, and both deserve a view optimized for their decision criteria.</w:t>
      </w:r>
    </w:p>
    <w:bookmarkEnd w:id="38"/>
    <w:bookmarkStart w:id="39" w:name="Xab6c3d3a60f1dab9ae4e8fb285e22c5d85be1ac"/>
    <w:p>
      <w:pPr>
        <w:pStyle w:val="Heading3"/>
      </w:pPr>
      <w:r>
        <w:t xml:space="preserve">1.2.4 Tier System (Alpha/Beta/Gamma) with Spider Charts</w:t>
      </w:r>
    </w:p>
    <w:p>
      <w:pPr>
        <w:pStyle w:val="FirstParagraph"/>
      </w:pPr>
      <w:r>
        <w:t xml:space="preserve">Every city in the rankings is assigned a tier — Alpha, Beta, or Gamma — displayed as a Greek letter badge on the city card and in the dossier header. The tier system appears to be auto-assigned based on composite score thresholds, with Alpha representing the highest tier. Spider charts (radar charts) visualize each city’s performance across all seven pillars, making it easy to spot strengths and weaknesses at a glance. The Phra Ram 4 dossier, for instance, shows a spider chart in the hero area alongside its composite score of 66.8 and Alpha tier badge. These visualizations are rendered cleanly and resize appropriately within their containers.</w:t>
      </w:r>
    </w:p>
    <w:p>
      <w:r>
        <w:pict>
          <v:rect style="width:0;height:1.5pt" o:hralign="center" o:hrstd="t" o:hr="t"/>
        </w:pict>
      </w:r>
    </w:p>
    <w:bookmarkEnd w:id="39"/>
    <w:bookmarkEnd w:id="40"/>
    <w:bookmarkStart w:id="44" w:name="interactive-features"/>
    <w:p>
      <w:pPr>
        <w:pStyle w:val="Heading2"/>
      </w:pPr>
      <w:r>
        <w:t xml:space="preserve">1.3 Interactive Features</w:t>
      </w:r>
    </w:p>
    <w:bookmarkStart w:id="41" w:name="X59eeae0c7eb3870d3f114c6347cf2e031d1833a"/>
    <w:p>
      <w:pPr>
        <w:pStyle w:val="Heading3"/>
      </w:pPr>
      <w:r>
        <w:t xml:space="preserve">1.3.1</w:t>
      </w:r>
      <w:r>
        <w:t xml:space="preserve"> </w:t>
      </w:r>
      <w:r>
        <w:t xml:space="preserve">“</w:t>
      </w:r>
      <w:r>
        <w:t xml:space="preserve">Your City</w:t>
      </w:r>
      <w:r>
        <w:t xml:space="preserve">”</w:t>
      </w:r>
      <w:r>
        <w:t xml:space="preserve"> </w:t>
      </w:r>
      <w:r>
        <w:t xml:space="preserve">Matcher: Pillar-Based A→B→C Cycling</w:t>
      </w:r>
    </w:p>
    <w:p>
      <w:pPr>
        <w:pStyle w:val="FirstParagraph"/>
      </w:pPr>
      <w:r>
        <w:t xml:space="preserve">The</w:t>
      </w:r>
      <w:r>
        <w:t xml:space="preserve"> </w:t>
      </w:r>
      <w:r>
        <w:t xml:space="preserve">“</w:t>
      </w:r>
      <w:r>
        <w:t xml:space="preserve">Your City</w:t>
      </w:r>
      <w:r>
        <w:t xml:space="preserve">”</w:t>
      </w:r>
      <w:r>
        <w:t xml:space="preserve"> </w:t>
      </w:r>
      <w:r>
        <w:t xml:space="preserve">matcher (</w:t>
      </w:r>
      <w:r>
        <w:rPr>
          <w:rStyle w:val="VerbatimChar"/>
        </w:rPr>
        <w:t xml:space="preserve">/discover</w:t>
      </w:r>
      <w:r>
        <w:t xml:space="preserve">) is a standout interactive feature. A Songkhla coastal hero introduces seven pillar selectors — Livability, Economy, Safety, Wellbeing, Environment, Hospitality, Digital — each defaulting to B (</w:t>
      </w:r>
      <w:r>
        <w:t xml:space="preserve">“</w:t>
      </w:r>
      <w:r>
        <w:t xml:space="preserve">Moderate,</w:t>
      </w:r>
      <w:r>
        <w:t xml:space="preserve">”</w:t>
      </w:r>
      <w:r>
        <w:t xml:space="preserve"> </w:t>
      </w:r>
      <w:r>
        <w:t xml:space="preserve">45–64). Users click to cycle A (</w:t>
      </w:r>
      <w:r>
        <w:t xml:space="preserve">“</w:t>
      </w:r>
      <w:r>
        <w:t xml:space="preserve">Strong,</w:t>
      </w:r>
      <w:r>
        <w:t xml:space="preserve">”</w:t>
      </w:r>
      <w:r>
        <w:t xml:space="preserve"> </w:t>
      </w:r>
      <w:r>
        <w:t xml:space="preserve">65+) → B → C (</w:t>
      </w:r>
      <w:r>
        <w:t xml:space="preserve">“</w:t>
      </w:r>
      <w:r>
        <w:t xml:space="preserve">Any</w:t>
      </w:r>
      <w:r>
        <w:t xml:space="preserve">”</w:t>
      </w:r>
      <w:r>
        <w:t xml:space="preserve">). A summary line tracks selections in real time (</w:t>
      </w:r>
      <w:r>
        <w:t xml:space="preserve">“</w:t>
      </w:r>
      <w:r>
        <w:t xml:space="preserve">0 A · 7 B · 0 C · 7 pillars, 3 levels each</w:t>
      </w:r>
      <w:r>
        <w:t xml:space="preserve">”</w:t>
      </w:r>
      <w:r>
        <w:t xml:space="preserve">). Below, a</w:t>
      </w:r>
      <w:r>
        <w:t xml:space="preserve"> </w:t>
      </w:r>
      <w:r>
        <w:t xml:space="preserve">“</w:t>
      </w:r>
      <w:r>
        <w:t xml:space="preserve">Your top 10 matches</w:t>
      </w:r>
      <w:r>
        <w:t xml:space="preserve">”</w:t>
      </w:r>
      <w:r>
        <w:t xml:space="preserve"> </w:t>
      </w:r>
      <w:r>
        <w:t xml:space="preserve">table updates dynamically with compatibility percentages and color-coded mini bar charts. Testing with all-B priorities returned Phuket, Samyan, and Chiang Mai Smart Old Town at 100%. Results update without perceptible delay; the color thread between selectors and result charts is a polished interaction detail.</w:t>
      </w:r>
    </w:p>
    <w:bookmarkEnd w:id="41"/>
    <w:bookmarkStart w:id="42" w:name="compare-tool-side-by-side-city-cards"/>
    <w:p>
      <w:pPr>
        <w:pStyle w:val="Heading3"/>
      </w:pPr>
      <w:r>
        <w:t xml:space="preserve">1.3.2 Compare Tool: Side-by-Side City Cards</w:t>
      </w:r>
    </w:p>
    <w:p>
      <w:pPr>
        <w:pStyle w:val="FirstParagraph"/>
      </w:pPr>
      <w:r>
        <w:t xml:space="preserve">The Compare tool (</w:t>
      </w:r>
      <w:r>
        <w:rPr>
          <w:rStyle w:val="VerbatimChar"/>
        </w:rPr>
        <w:t xml:space="preserve">/compare</w:t>
      </w:r>
      <w:r>
        <w:t xml:space="preserve">) lets users build a basket of up to five cities for side-by-side viewing. A</w:t>
      </w:r>
      <w:r>
        <w:t xml:space="preserve"> </w:t>
      </w:r>
      <w:r>
        <w:t xml:space="preserve">“</w:t>
      </w:r>
      <w:r>
        <w:t xml:space="preserve">YOUR COMPARE BASKET</w:t>
      </w:r>
      <w:r>
        <w:t xml:space="preserve">”</w:t>
      </w:r>
      <w:r>
        <w:t xml:space="preserve"> </w:t>
      </w:r>
      <w:r>
        <w:t xml:space="preserve">panel displays selected cities as removable pills with a counter (</w:t>
      </w:r>
      <w:r>
        <w:t xml:space="preserve">“</w:t>
      </w:r>
      <w:r>
        <w:t xml:space="preserve">3/5</w:t>
      </w:r>
      <w:r>
        <w:t xml:space="preserve">”</w:t>
      </w:r>
      <w:r>
        <w:t xml:space="preserve">) and an</w:t>
      </w:r>
      <w:r>
        <w:t xml:space="preserve"> </w:t>
      </w:r>
      <w:r>
        <w:t xml:space="preserve">“</w:t>
      </w:r>
      <w:r>
        <w:t xml:space="preserve">+ Add city</w:t>
      </w:r>
      <w:r>
        <w:t xml:space="preserve">”</w:t>
      </w:r>
      <w:r>
        <w:t xml:space="preserve"> </w:t>
      </w:r>
      <w:r>
        <w:t xml:space="preserve">button. City cards below show hero photographs, tier badges (ALPHA, SOUTH, PROVINCE), and composite scores. Adding Phuket, Samyan, and Chiang Mai Smart Old Town worked correctly; removing via × buttons updated the layout in real time. The promise —</w:t>
      </w:r>
      <w:r>
        <w:t xml:space="preserve"> </w:t>
      </w:r>
      <w:r>
        <w:t xml:space="preserve">“</w:t>
      </w:r>
      <w:r>
        <w:t xml:space="preserve">Hero photo, composite score, seven-pillar radar, and tier — all aligned for a fair read</w:t>
      </w:r>
      <w:r>
        <w:t xml:space="preserve">”</w:t>
      </w:r>
      <w:r>
        <w:t xml:space="preserve"> </w:t>
      </w:r>
      <w:r>
        <w:t xml:space="preserve">— is delivered.</w:t>
      </w:r>
    </w:p>
    <w:bookmarkEnd w:id="42"/>
    <w:bookmarkStart w:id="43" w:name="city-dossier-pages-five-tab-structure"/>
    <w:p>
      <w:pPr>
        <w:pStyle w:val="Heading3"/>
      </w:pPr>
      <w:r>
        <w:t xml:space="preserve">1.3.3 City Dossier Pages: Five-Tab Structure</w:t>
      </w:r>
    </w:p>
    <w:p>
      <w:pPr>
        <w:pStyle w:val="FirstParagraph"/>
      </w:pPr>
      <w:r>
        <w:t xml:space="preserve">The city dossier pages are the site’s deepest content layer. We tested</w:t>
      </w:r>
      <w:r>
        <w:t xml:space="preserve"> </w:t>
      </w:r>
      <w:r>
        <w:rPr>
          <w:rStyle w:val="VerbatimChar"/>
        </w:rPr>
        <w:t xml:space="preserve">/city/phra-ram-4</w:t>
      </w:r>
      <w:r>
        <w:t xml:space="preserve"> </w:t>
      </w:r>
      <w:r>
        <w:t xml:space="preserve">successfully;</w:t>
      </w:r>
      <w:r>
        <w:t xml:space="preserve"> </w:t>
      </w:r>
      <w:r>
        <w:rPr>
          <w:rStyle w:val="VerbatimChar"/>
        </w:rPr>
        <w:t xml:space="preserve">/city/phuket</w:t>
      </w:r>
      <w:r>
        <w:t xml:space="preserve"> </w:t>
      </w:r>
      <w:r>
        <w:t xml:space="preserve">returned 404 (slug likely</w:t>
      </w:r>
      <w:r>
        <w:t xml:space="preserve"> </w:t>
      </w:r>
      <w:r>
        <w:rPr>
          <w:rStyle w:val="VerbatimChar"/>
        </w:rPr>
        <w:t xml:space="preserve">phuket-smart-city</w:t>
      </w:r>
      <w:r>
        <w:t xml:space="preserve">). The Phra Ram 4 dossier opens with a Bangkok street hero overlaid with metadata (</w:t>
      </w:r>
      <w:r>
        <w:t xml:space="preserve">“</w:t>
      </w:r>
      <w:r>
        <w:t xml:space="preserve">Bangkok · Certified · Batch 1 · 3 smart dimensions</w:t>
      </w:r>
      <w:r>
        <w:t xml:space="preserve">”</w:t>
      </w:r>
      <w:r>
        <w:t xml:space="preserve">), composite 66.8, Alpha badge, and spider chart. Five tabs structure the content: Overview, Analysis, Execution, Evidence, and Next Steps. The Overview narrative reads like quality research:</w:t>
      </w:r>
      <w:r>
        <w:t xml:space="preserve"> </w:t>
      </w:r>
      <w:r>
        <w:t xml:space="preserve">“</w:t>
      </w:r>
      <w:r>
        <w:t xml:space="preserve">Bangkok’s CBD corridor — where smart infrastructure investment and climate adaptation are converging. The World Bank CCDR 2025 documents elevated flood-resistant designs like IconSiam’s elevated structures as early evidence of private-sector climate proofing.</w:t>
      </w:r>
      <w:r>
        <w:t xml:space="preserve">”</w:t>
      </w:r>
      <w:r>
        <w:t xml:space="preserve"> </w:t>
      </w:r>
      <w:r>
        <w:t xml:space="preserve">A</w:t>
      </w:r>
      <w:r>
        <w:t xml:space="preserve"> </w:t>
      </w:r>
      <w:r>
        <w:t xml:space="preserve">“</w:t>
      </w:r>
      <w:r>
        <w:t xml:space="preserve">Print City Canvas</w:t>
      </w:r>
      <w:r>
        <w:t xml:space="preserve">”</w:t>
      </w:r>
      <w:r>
        <w:t xml:space="preserve"> </w:t>
      </w:r>
      <w:r>
        <w:t xml:space="preserve">button and</w:t>
      </w:r>
      <w:r>
        <w:t xml:space="preserve"> </w:t>
      </w:r>
      <w:r>
        <w:t xml:space="preserve">“</w:t>
      </w:r>
      <w:r>
        <w:t xml:space="preserve">BACK TO RANKINGS</w:t>
      </w:r>
      <w:r>
        <w:t xml:space="preserve">”</w:t>
      </w:r>
      <w:r>
        <w:t xml:space="preserve"> </w:t>
      </w:r>
      <w:r>
        <w:t xml:space="preserve">breadcrumb complete the header. The dossier balances narrative depth with scannable data — serving both executives who want headline scores and analysts who want evidence.</w:t>
      </w:r>
    </w:p>
    <w:p>
      <w:r>
        <w:pict>
          <v:rect style="width:0;height:1.5pt" o:hralign="center" o:hrstd="t" o:hr="t"/>
        </w:pict>
      </w:r>
    </w:p>
    <w:bookmarkEnd w:id="43"/>
    <w:bookmarkEnd w:id="44"/>
    <w:bookmarkStart w:id="48" w:name="content-pages"/>
    <w:p>
      <w:pPr>
        <w:pStyle w:val="Heading2"/>
      </w:pPr>
      <w:r>
        <w:t xml:space="preserve">1.4 Content Pages</w:t>
      </w:r>
    </w:p>
    <w:bookmarkStart w:id="45" w:name="Xd19d19753e2f1ce2cf9918f73b08d3b5792f8d4"/>
    <w:p>
      <w:pPr>
        <w:pStyle w:val="Heading3"/>
      </w:pPr>
      <w:r>
        <w:t xml:space="preserve">1.4.1 Methodology Page: Version History and Tech Stack Transparency</w:t>
      </w:r>
    </w:p>
    <w:p>
      <w:pPr>
        <w:pStyle w:val="FirstParagraph"/>
      </w:pPr>
      <w:r>
        <w:t xml:space="preserve">The Methodology page (</w:t>
      </w:r>
      <w:r>
        <w:rPr>
          <w:rStyle w:val="VerbatimChar"/>
        </w:rPr>
        <w:t xml:space="preserve">/methodology</w:t>
      </w:r>
      <w:r>
        <w:t xml:space="preserve">) is a model of transparency design. A Bangkok BTS hero carries the headline</w:t>
      </w:r>
      <w:r>
        <w:t xml:space="preserve"> </w:t>
      </w:r>
      <w:r>
        <w:t xml:space="preserve">“</w:t>
      </w:r>
      <w:r>
        <w:t xml:space="preserve">Scoring, evidence, and uncertainty</w:t>
      </w:r>
      <w:r>
        <w:t xml:space="preserve">”</w:t>
      </w:r>
      <w:r>
        <w:t xml:space="preserve"> </w:t>
      </w:r>
      <w:r>
        <w:t xml:space="preserve">— acknowledging the limits of quantitative assessment. Three name definitions open the page (SCITI, SmaSCITI, Samastiti), followed by a version history tracing evolution from v0</w:t>
      </w:r>
      <w:r>
        <w:t xml:space="preserve"> </w:t>
      </w:r>
      <w:r>
        <w:t xml:space="preserve">“</w:t>
      </w:r>
      <w:r>
        <w:t xml:space="preserve">The provocation</w:t>
      </w:r>
      <w:r>
        <w:t xml:space="preserve">”</w:t>
      </w:r>
      <w:r>
        <w:t xml:space="preserve"> </w:t>
      </w:r>
      <w:r>
        <w:t xml:space="preserve">(2024:</w:t>
      </w:r>
      <w:r>
        <w:t xml:space="preserve"> </w:t>
      </w:r>
      <w:r>
        <w:t xml:space="preserve">“</w:t>
      </w:r>
      <w:r>
        <w:t xml:space="preserve">Which of them actually worked?</w:t>
      </w:r>
      <w:r>
        <w:t xml:space="preserve">”</w:t>
      </w:r>
      <w:r>
        <w:t xml:space="preserve">) through v1</w:t>
      </w:r>
      <w:r>
        <w:t xml:space="preserve"> </w:t>
      </w:r>
      <w:r>
        <w:t xml:space="preserve">“</w:t>
      </w:r>
      <w:r>
        <w:t xml:space="preserve">The prototype</w:t>
      </w:r>
      <w:r>
        <w:t xml:space="preserve">”</w:t>
      </w:r>
      <w:r>
        <w:t xml:space="preserve"> </w:t>
      </w:r>
      <w:r>
        <w:t xml:space="preserve">(2025-Q1:</w:t>
      </w:r>
      <w:r>
        <w:t xml:space="preserve"> </w:t>
      </w:r>
      <w:r>
        <w:t xml:space="preserve">“</w:t>
      </w:r>
      <w:r>
        <w:t xml:space="preserve">It was ugly. It worked.</w:t>
      </w:r>
      <w:r>
        <w:t xml:space="preserve">”</w:t>
      </w:r>
      <w:r>
        <w:t xml:space="preserve">) to v2026.04. This narrative approach — showing the intellectual journey, not just the formula — builds credibility that technical documentation alone cannot. The tech stack (React 19 + TypeScript + Vite 6) and the composite formula</w:t>
      </w:r>
      <w:r>
        <w:t xml:space="preserve"> </w:t>
      </w:r>
      <w:r>
        <w:rPr>
          <w:rStyle w:val="VerbatimChar"/>
        </w:rPr>
        <w:t xml:space="preserve">Composite = (Livability×25 + Economy×20 + Safety×15 + Wellbeing×15 + Environment×10 + Hospitality×10 + Digital×5) / 100</w:t>
      </w:r>
      <w:r>
        <w:t xml:space="preserve"> </w:t>
      </w:r>
      <w:r>
        <w:t xml:space="preserve">are both disclosed. Four sub-pages are accessible via dropdown: Methodology, Audit, Knowledge base, and Evidence bingo.</w:t>
      </w:r>
    </w:p>
    <w:bookmarkEnd w:id="45"/>
    <w:bookmarkStart w:id="46" w:name="story-page-three-city-archetypes"/>
    <w:p>
      <w:pPr>
        <w:pStyle w:val="Heading3"/>
      </w:pPr>
      <w:r>
        <w:t xml:space="preserve">1.4.2 Story Page: Three City Archetypes</w:t>
      </w:r>
    </w:p>
    <w:p>
      <w:pPr>
        <w:pStyle w:val="FirstParagraph"/>
      </w:pPr>
      <w:r>
        <w:t xml:space="preserve">The Story page (</w:t>
      </w:r>
      <w:r>
        <w:rPr>
          <w:rStyle w:val="VerbatimChar"/>
        </w:rPr>
        <w:t xml:space="preserve">/story</w:t>
      </w:r>
      <w:r>
        <w:t xml:space="preserve">) uses narrative to make the index emotionally accessible. A Chiang Mai night-market hero introduces</w:t>
      </w:r>
      <w:r>
        <w:t xml:space="preserve"> </w:t>
      </w:r>
      <w:r>
        <w:t xml:space="preserve">“</w:t>
      </w:r>
      <w:r>
        <w:t xml:space="preserve">From Sensors to Citizens</w:t>
      </w:r>
      <w:r>
        <w:t xml:space="preserve">”</w:t>
      </w:r>
      <w:r>
        <w:t xml:space="preserve"> </w:t>
      </w:r>
      <w:r>
        <w:t xml:space="preserve">— three city archetypes as character studies:</w:t>
      </w:r>
      <w:r>
        <w:t xml:space="preserve"> </w:t>
      </w:r>
      <w:r>
        <w:t xml:space="preserve">“</w:t>
      </w:r>
      <w:r>
        <w:t xml:space="preserve">The Heavyweight</w:t>
      </w:r>
      <w:r>
        <w:t xml:space="preserve">”</w:t>
      </w:r>
      <w:r>
        <w:t xml:space="preserve"> </w:t>
      </w:r>
      <w:r>
        <w:t xml:space="preserve">(Phuket: 88% efficiency,</w:t>
      </w:r>
      <w:r>
        <w:t xml:space="preserve"> </w:t>
      </w:r>
      <w:r>
        <w:t xml:space="preserve">“</w:t>
      </w:r>
      <w:r>
        <w:t xml:space="preserve">High output, high data maturity</w:t>
      </w:r>
      <w:r>
        <w:t xml:space="preserve">”</w:t>
      </w:r>
      <w:r>
        <w:t xml:space="preserve">),</w:t>
      </w:r>
      <w:r>
        <w:t xml:space="preserve"> </w:t>
      </w:r>
      <w:r>
        <w:t xml:space="preserve">“</w:t>
      </w:r>
      <w:r>
        <w:t xml:space="preserve">The Grit</w:t>
      </w:r>
      <w:r>
        <w:t xml:space="preserve">”</w:t>
      </w:r>
      <w:r>
        <w:t xml:space="preserve"> </w:t>
      </w:r>
      <w:r>
        <w:t xml:space="preserve">(Khon Kaen: 72.4 grit score,</w:t>
      </w:r>
      <w:r>
        <w:t xml:space="preserve"> </w:t>
      </w:r>
      <w:r>
        <w:t xml:space="preserve">“</w:t>
      </w:r>
      <w:r>
        <w:t xml:space="preserve">Bottom-up innovation. Less flash, more infrastructure</w:t>
      </w:r>
      <w:r>
        <w:t xml:space="preserve">”</w:t>
      </w:r>
      <w:r>
        <w:t xml:space="preserve">), and</w:t>
      </w:r>
      <w:r>
        <w:t xml:space="preserve"> </w:t>
      </w:r>
      <w:r>
        <w:t xml:space="preserve">“</w:t>
      </w:r>
      <w:r>
        <w:t xml:space="preserve">The Reality Check</w:t>
      </w:r>
      <w:r>
        <w:t xml:space="preserve">”</w:t>
      </w:r>
      <w:r>
        <w:t xml:space="preserve"> </w:t>
      </w:r>
      <w:r>
        <w:t xml:space="preserve">(Wangchan Valley: Gamma tier,</w:t>
      </w:r>
      <w:r>
        <w:t xml:space="preserve"> </w:t>
      </w:r>
      <w:r>
        <w:t xml:space="preserve">“</w:t>
      </w:r>
      <w:r>
        <w:t xml:space="preserve">Masterplan vs. Operations</w:t>
      </w:r>
      <w:r>
        <w:t xml:space="preserve">”</w:t>
      </w:r>
      <w:r>
        <w:t xml:space="preserve">). Each carries a narrative paragraph and</w:t>
      </w:r>
      <w:r>
        <w:t xml:space="preserve"> </w:t>
      </w:r>
      <w:r>
        <w:t xml:space="preserve">“</w:t>
      </w:r>
      <w:r>
        <w:t xml:space="preserve">Real-time Data</w:t>
      </w:r>
      <w:r>
        <w:t xml:space="preserve">”</w:t>
      </w:r>
      <w:r>
        <w:t xml:space="preserve"> </w:t>
      </w:r>
      <w:r>
        <w:t xml:space="preserve">link. This storytelling transforms the index from a database into a narrative — giving journalists and policymakers characters to root for.</w:t>
      </w:r>
    </w:p>
    <w:bookmarkEnd w:id="46"/>
    <w:bookmarkStart w:id="47" w:name="X32a364e33ff1e92759d480ff0d938d80f2ded82"/>
    <w:p>
      <w:pPr>
        <w:pStyle w:val="Heading3"/>
      </w:pPr>
      <w:r>
        <w:t xml:space="preserve">1.4.3 Partners Page: Nine Countries with Delivery Statuses</w:t>
      </w:r>
    </w:p>
    <w:p>
      <w:pPr>
        <w:pStyle w:val="FirstParagraph"/>
      </w:pPr>
      <w:r>
        <w:t xml:space="preserve">The Partners page (</w:t>
      </w:r>
      <w:r>
        <w:rPr>
          <w:rStyle w:val="VerbatimChar"/>
        </w:rPr>
        <w:t xml:space="preserve">/partners</w:t>
      </w:r>
      <w:r>
        <w:t xml:space="preserve">) is the most unexpectedly sophisticated page on the site. A Rattanakosin night hero opens</w:t>
      </w:r>
      <w:r>
        <w:t xml:space="preserve"> </w:t>
      </w:r>
      <w:r>
        <w:t xml:space="preserve">“</w:t>
      </w:r>
      <w:r>
        <w:t xml:space="preserve">9 partnerships, 4 statuses: what actually delivered.</w:t>
      </w:r>
      <w:r>
        <w:t xml:space="preserve">”</w:t>
      </w:r>
      <w:r>
        <w:t xml:space="preserve"> </w:t>
      </w:r>
      <w:r>
        <w:t xml:space="preserve">Summary stats (9 tracks, 10+ city touchpoints, 1 mega fund, 4 delivery states) frame the scope. Country cards follow: Japan (</w:t>
      </w:r>
      <w:r>
        <w:t xml:space="preserve">“</w:t>
      </w:r>
      <w:r>
        <w:t xml:space="preserve">The System Builder,</w:t>
      </w:r>
      <w:r>
        <w:t xml:space="preserve">”</w:t>
      </w:r>
      <w:r>
        <w:t xml:space="preserve"> </w:t>
      </w:r>
      <w:r>
        <w:t xml:space="preserve">Active, $2.4B, 5 cities, autonomous transport/CCTV/PRT), United States (</w:t>
      </w:r>
      <w:r>
        <w:t xml:space="preserve">“</w:t>
      </w:r>
      <w:r>
        <w:t xml:space="preserve">The Precision Partner,</w:t>
      </w:r>
      <w:r>
        <w:t xml:space="preserve">”</w:t>
      </w:r>
      <w:r>
        <w:t xml:space="preserve"> </w:t>
      </w:r>
      <w:r>
        <w:t xml:space="preserve">Active, $10M, 2 cities, energy/5G/cyber), United Kingdom (</w:t>
      </w:r>
      <w:r>
        <w:t xml:space="preserve">“</w:t>
      </w:r>
      <w:r>
        <w:t xml:space="preserve">The Deliverer,</w:t>
      </w:r>
      <w:r>
        <w:t xml:space="preserve">”</w:t>
      </w:r>
      <w:r>
        <w:t xml:space="preserve"> </w:t>
      </w:r>
      <w:r>
        <w:t xml:space="preserve">Completed, Prosperity Fund, 4 cities, flood/EV), South Korea (</w:t>
      </w:r>
      <w:r>
        <w:t xml:space="preserve">“</w:t>
      </w:r>
      <w:r>
        <w:t xml:space="preserve">The Blueprint Maker,</w:t>
      </w:r>
      <w:r>
        <w:t xml:space="preserve">”</w:t>
      </w:r>
      <w:r>
        <w:t xml:space="preserve"> </w:t>
      </w:r>
      <w:r>
        <w:t xml:space="preserve">Stalled, 2020, 1 city, light rail), and Austria (</w:t>
      </w:r>
      <w:r>
        <w:t xml:space="preserve">“</w:t>
      </w:r>
      <w:r>
        <w:t xml:space="preserve">The Quality Benchmark,</w:t>
      </w:r>
      <w:r>
        <w:t xml:space="preserve">”</w:t>
      </w:r>
      <w:r>
        <w:t xml:space="preserve"> </w:t>
      </w:r>
      <w:r>
        <w:t xml:space="preserve">Early Stage, 2022, 1 city, liveable-city pilots). Each card assigns a delivery status badge, quantifies investment, lists technical focus areas, and honestly assesses what materialized. Explicitly marking partnerships</w:t>
      </w:r>
      <w:r>
        <w:t xml:space="preserve"> </w:t>
      </w:r>
      <w:r>
        <w:t xml:space="preserve">“</w:t>
      </w:r>
      <w:r>
        <w:t xml:space="preserve">Stalled</w:t>
      </w:r>
      <w:r>
        <w:t xml:space="preserve">”</w:t>
      </w:r>
      <w:r>
        <w:t xml:space="preserve"> </w:t>
      </w:r>
      <w:r>
        <w:t xml:space="preserve">or</w:t>
      </w:r>
      <w:r>
        <w:t xml:space="preserve"> </w:t>
      </w:r>
      <w:r>
        <w:t xml:space="preserve">“</w:t>
      </w:r>
      <w:r>
        <w:t xml:space="preserve">Early Stage</w:t>
      </w:r>
      <w:r>
        <w:t xml:space="preserve">”</w:t>
      </w:r>
      <w:r>
        <w:t xml:space="preserve"> </w:t>
      </w:r>
      <w:r>
        <w:t xml:space="preserve">is virtually unheard of in government digital products — where the incentive is invariably to paint all cooperation as successful.</w:t>
      </w:r>
    </w:p>
    <w:p>
      <w:r>
        <w:pict>
          <v:rect style="width:0;height:1.5pt" o:hralign="center" o:hrstd="t" o:hr="t"/>
        </w:pict>
      </w:r>
    </w:p>
    <w:bookmarkEnd w:id="47"/>
    <w:bookmarkEnd w:id="48"/>
    <w:bookmarkStart w:id="52" w:name="language-testing-results"/>
    <w:p>
      <w:pPr>
        <w:pStyle w:val="Heading2"/>
      </w:pPr>
      <w:r>
        <w:t xml:space="preserve">1.5 Language Testing Results</w:t>
      </w:r>
    </w:p>
    <w:bookmarkStart w:id="49" w:name="english-fully-translated"/>
    <w:p>
      <w:pPr>
        <w:pStyle w:val="Heading3"/>
      </w:pPr>
      <w:r>
        <w:t xml:space="preserve">1.5.1 English: Fully Translated</w:t>
      </w:r>
    </w:p>
    <w:p>
      <w:pPr>
        <w:pStyle w:val="FirstParagraph"/>
      </w:pPr>
      <w:r>
        <w:t xml:space="preserve">The English-language experience is complete and polished. All navigation labels, section headings, body copy, city names, data labels, and footer text are rendered in fluent English with a consistent editorial voice that is direct, slightly provocative, and free of the awkward phrasing that often signals non-native translation. The site defaults to English on first visit.</w:t>
      </w:r>
    </w:p>
    <w:bookmarkEnd w:id="49"/>
    <w:bookmarkStart w:id="50" w:name="Xe5e2505125d5ccd4d2e610478fc0caacd08e232"/>
    <w:p>
      <w:pPr>
        <w:pStyle w:val="Heading3"/>
      </w:pPr>
      <w:r>
        <w:t xml:space="preserve">1.5.2</w:t>
      </w:r>
      <w:r>
        <w:t xml:space="preserve"> </w:t>
      </w:r>
      <w:r>
        <w:t xml:space="preserve">“</w:t>
      </w:r>
      <w:r>
        <w:t xml:space="preserve">TH</w:t>
      </w:r>
      <w:r>
        <w:t xml:space="preserve">”</w:t>
      </w:r>
      <w:r>
        <w:t xml:space="preserve"> </w:t>
      </w:r>
      <w:r>
        <w:t xml:space="preserve">Button Shows Chinese — Critical Mislabel Bug</w:t>
      </w:r>
    </w:p>
    <w:p>
      <w:pPr>
        <w:pStyle w:val="FirstParagraph"/>
      </w:pPr>
      <w:r>
        <w:t xml:space="preserve">The most significant frontend bug is in the language selector. The top-right</w:t>
      </w:r>
      <w:r>
        <w:t xml:space="preserve"> </w:t>
      </w:r>
      <w:r>
        <w:t xml:space="preserve">“</w:t>
      </w:r>
      <w:r>
        <w:t xml:space="preserve">TH</w:t>
      </w:r>
      <w:r>
        <w:t xml:space="preserve">”</w:t>
      </w:r>
      <w:r>
        <w:t xml:space="preserve"> </w:t>
      </w:r>
      <w:r>
        <w:t xml:space="preserve">button — ISO 3166-1 alpha-2 for Thailand — does not switch to Thai. It renders the entire site in Simplified Chinese: navigation becomes 首页, 排名, 方法, 故事, 网络; Phra Ram 4 becomes 四世皇路智慧城市; dossier tabs become 概览, 分析, 执行, 证据, 下一步. The Chinese translation is complete and high-quality, but the button is fundamentally mislabeled. A Thai user clicking</w:t>
      </w:r>
      <w:r>
        <w:t xml:space="preserve"> </w:t>
      </w:r>
      <w:r>
        <w:t xml:space="preserve">“</w:t>
      </w:r>
      <w:r>
        <w:t xml:space="preserve">TH</w:t>
      </w:r>
      <w:r>
        <w:t xml:space="preserve">”</w:t>
      </w:r>
      <w:r>
        <w:t xml:space="preserve"> </w:t>
      </w:r>
      <w:r>
        <w:t xml:space="preserve">and receiving Chinese would justifiably regard the product as broken. This is a label bug, not a localization bug: the Chinese content works; the button that triggers it lies about what it does.</w:t>
      </w:r>
    </w:p>
    <w:bookmarkEnd w:id="50"/>
    <w:bookmarkStart w:id="51" w:name="thai-language-content-not-found"/>
    <w:p>
      <w:pPr>
        <w:pStyle w:val="Heading3"/>
      </w:pPr>
      <w:r>
        <w:t xml:space="preserve">1.5.3 Thai Language Content Not Found</w:t>
      </w:r>
    </w:p>
    <w:p>
      <w:pPr>
        <w:pStyle w:val="FirstParagraph"/>
      </w:pPr>
      <w:r>
        <w:t xml:space="preserve">No mechanism to access Thai-language content was found during testing. The</w:t>
      </w:r>
      <w:r>
        <w:t xml:space="preserve"> </w:t>
      </w:r>
      <w:r>
        <w:t xml:space="preserve">“</w:t>
      </w:r>
      <w:r>
        <w:t xml:space="preserve">TH</w:t>
      </w:r>
      <w:r>
        <w:t xml:space="preserve">”</w:t>
      </w:r>
      <w:r>
        <w:t xml:space="preserve"> </w:t>
      </w:r>
      <w:r>
        <w:t xml:space="preserve">button delivers Chinese, and no Thai toggle exists elsewhere. This is a significant gap for a Thai government digital product — the phonetic guide itself references Thai (</w:t>
      </w:r>
      <w:r>
        <w:t xml:space="preserve">“</w:t>
      </w:r>
      <w:r>
        <w:t xml:space="preserve">Samastiti ≈ สมาร์ทซิตี้</w:t>
      </w:r>
      <w:r>
        <w:t xml:space="preserve">”</w:t>
      </w:r>
      <w:r>
        <w:t xml:space="preserve">), confirming Thai integration is part of the project’s conceptual framework. For domestic adoption by municipal officers and policymakers, Thai-language support is essential and should be treated as a priority fix.</w:t>
      </w:r>
    </w:p>
    <w:p>
      <w:r>
        <w:pict>
          <v:rect style="width:0;height:1.5pt" o:hralign="center" o:hrstd="t" o:hr="t"/>
        </w:pict>
      </w:r>
    </w:p>
    <w:bookmarkEnd w:id="51"/>
    <w:bookmarkEnd w:id="52"/>
    <w:bookmarkStart w:id="53" w:name="page-test-results-matrix"/>
    <w:p>
      <w:pPr>
        <w:pStyle w:val="Heading2"/>
      </w:pPr>
      <w:r>
        <w:t xml:space="preserve">Page Test Results Matrix</w:t>
      </w:r>
    </w:p>
    <w:p>
      <w:pPr>
        <w:pStyle w:val="FirstParagraph"/>
      </w:pPr>
      <w:r>
        <w:t xml:space="preserve">The following table summarizes the results of manual page-level testing across all reachable routes:</w:t>
      </w:r>
    </w:p>
    <w:tbl>
      <w:tblPr>
        <w:tblStyle w:val="Table"/>
        <w:tblW w:type="pct" w:w="5000"/>
        <w:tblLook w:firstRow="1" w:lastRow="0" w:firstColumn="0" w:lastColumn="0" w:noHBand="0" w:noVBand="0" w:val="0020"/>
      </w:tblPr>
      <w:tblGrid>
        <w:gridCol w:w="1827"/>
        <w:gridCol w:w="1523"/>
        <w:gridCol w:w="2436"/>
        <w:gridCol w:w="2132"/>
      </w:tblGrid>
      <w:tr>
        <w:trPr>
          <w:tblHeader w:val="true"/>
        </w:trPr>
        <w:tc>
          <w:tcPr/>
          <w:p>
            <w:pPr>
              <w:pStyle w:val="Compact"/>
              <w:jc w:val="left"/>
            </w:pPr>
            <w:r>
              <w:t xml:space="preserve">Page</w:t>
            </w:r>
          </w:p>
        </w:tc>
        <w:tc>
          <w:tcPr/>
          <w:p>
            <w:pPr>
              <w:pStyle w:val="Compact"/>
              <w:jc w:val="left"/>
            </w:pPr>
            <w:r>
              <w:t xml:space="preserve">URL</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Homepage</w:t>
            </w:r>
          </w:p>
        </w:tc>
        <w:tc>
          <w:tcPr/>
          <w:p>
            <w:pPr>
              <w:pStyle w:val="Compact"/>
              <w:jc w:val="left"/>
            </w:pPr>
            <w:r>
              <w:rPr>
                <w:rStyle w:val="VerbatimChar"/>
              </w:rPr>
              <w:t xml:space="preserve">/</w:t>
            </w:r>
          </w:p>
        </w:tc>
        <w:tc>
          <w:tcPr/>
          <w:p>
            <w:pPr>
              <w:pStyle w:val="Compact"/>
              <w:jc w:val="left"/>
            </w:pPr>
            <w:r>
              <w:t xml:space="preserve">Works</w:t>
            </w:r>
          </w:p>
        </w:tc>
        <w:tc>
          <w:tcPr/>
          <w:p>
            <w:pPr>
              <w:pStyle w:val="Compact"/>
              <w:jc w:val="left"/>
            </w:pPr>
            <w:r>
              <w:t xml:space="preserve">Rich 8-section landing; hero, stats, pillars, top 5, shortlists, open data, investor section, footer</w:t>
            </w:r>
          </w:p>
        </w:tc>
      </w:tr>
      <w:tr>
        <w:tc>
          <w:tcPr/>
          <w:p>
            <w:pPr>
              <w:pStyle w:val="Compact"/>
              <w:jc w:val="left"/>
            </w:pPr>
            <w:r>
              <w:t xml:space="preserve">Rankings</w:t>
            </w:r>
          </w:p>
        </w:tc>
        <w:tc>
          <w:tcPr/>
          <w:p>
            <w:pPr>
              <w:pStyle w:val="Compact"/>
              <w:jc w:val="left"/>
            </w:pPr>
            <w:r>
              <w:rPr>
                <w:rStyle w:val="VerbatimChar"/>
              </w:rPr>
              <w:t xml:space="preserve">/rankings/</w:t>
            </w:r>
          </w:p>
        </w:tc>
        <w:tc>
          <w:tcPr/>
          <w:p>
            <w:pPr>
              <w:pStyle w:val="Compact"/>
              <w:jc w:val="left"/>
            </w:pPr>
            <w:r>
              <w:t xml:space="preserve">Works</w:t>
            </w:r>
          </w:p>
        </w:tc>
        <w:tc>
          <w:tcPr/>
          <w:p>
            <w:pPr>
              <w:pStyle w:val="Compact"/>
              <w:jc w:val="left"/>
            </w:pPr>
            <w:r>
              <w:t xml:space="preserve">Lens-based filtering, editor’s picks (7 cities), spider charts, tier badges; dropdown nav to sub-pages</w:t>
            </w:r>
          </w:p>
        </w:tc>
      </w:tr>
      <w:tr>
        <w:tc>
          <w:tcPr/>
          <w:p>
            <w:pPr>
              <w:pStyle w:val="Compact"/>
              <w:jc w:val="left"/>
            </w:pPr>
            <w:r>
              <w:t xml:space="preserve">Your City</w:t>
            </w:r>
          </w:p>
        </w:tc>
        <w:tc>
          <w:tcPr/>
          <w:p>
            <w:pPr>
              <w:pStyle w:val="Compact"/>
              <w:jc w:val="left"/>
            </w:pPr>
            <w:r>
              <w:rPr>
                <w:rStyle w:val="VerbatimChar"/>
              </w:rPr>
              <w:t xml:space="preserve">/discover</w:t>
            </w:r>
          </w:p>
        </w:tc>
        <w:tc>
          <w:tcPr/>
          <w:p>
            <w:pPr>
              <w:pStyle w:val="Compact"/>
              <w:jc w:val="left"/>
            </w:pPr>
            <w:r>
              <w:t xml:space="preserve">Works</w:t>
            </w:r>
          </w:p>
        </w:tc>
        <w:tc>
          <w:tcPr/>
          <w:p>
            <w:pPr>
              <w:pStyle w:val="Compact"/>
              <w:jc w:val="left"/>
            </w:pPr>
            <w:r>
              <w:t xml:space="preserve">Interactive pillar matcher with A→B→C cycling; live top-10 matches with mini score visualizations</w:t>
            </w:r>
          </w:p>
        </w:tc>
      </w:tr>
      <w:tr>
        <w:tc>
          <w:tcPr/>
          <w:p>
            <w:pPr>
              <w:pStyle w:val="Compact"/>
              <w:jc w:val="left"/>
            </w:pPr>
            <w:r>
              <w:t xml:space="preserve">Compare</w:t>
            </w:r>
          </w:p>
        </w:tc>
        <w:tc>
          <w:tcPr/>
          <w:p>
            <w:pPr>
              <w:pStyle w:val="Compact"/>
              <w:jc w:val="left"/>
            </w:pPr>
            <w:r>
              <w:rPr>
                <w:rStyle w:val="VerbatimChar"/>
              </w:rPr>
              <w:t xml:space="preserve">/compare</w:t>
            </w:r>
          </w:p>
        </w:tc>
        <w:tc>
          <w:tcPr/>
          <w:p>
            <w:pPr>
              <w:pStyle w:val="Compact"/>
              <w:jc w:val="left"/>
            </w:pPr>
            <w:r>
              <w:t xml:space="preserve">Works</w:t>
            </w:r>
          </w:p>
        </w:tc>
        <w:tc>
          <w:tcPr/>
          <w:p>
            <w:pPr>
              <w:pStyle w:val="Compact"/>
              <w:jc w:val="left"/>
            </w:pPr>
            <w:r>
              <w:t xml:space="preserve">Side-by-side comparison basket; add/remove up to 5 cities; 3/5 counter display</w:t>
            </w:r>
          </w:p>
        </w:tc>
      </w:tr>
      <w:tr>
        <w:tc>
          <w:tcPr/>
          <w:p>
            <w:pPr>
              <w:pStyle w:val="Compact"/>
              <w:jc w:val="left"/>
            </w:pPr>
            <w:r>
              <w:t xml:space="preserve">Methodology</w:t>
            </w:r>
          </w:p>
        </w:tc>
        <w:tc>
          <w:tcPr/>
          <w:p>
            <w:pPr>
              <w:pStyle w:val="Compact"/>
              <w:jc w:val="left"/>
            </w:pPr>
            <w:r>
              <w:rPr>
                <w:rStyle w:val="VerbatimChar"/>
              </w:rPr>
              <w:t xml:space="preserve">/methodology</w:t>
            </w:r>
          </w:p>
        </w:tc>
        <w:tc>
          <w:tcPr/>
          <w:p>
            <w:pPr>
              <w:pStyle w:val="Compact"/>
              <w:jc w:val="left"/>
            </w:pPr>
            <w:r>
              <w:t xml:space="preserve">Works</w:t>
            </w:r>
          </w:p>
        </w:tc>
        <w:tc>
          <w:tcPr/>
          <w:p>
            <w:pPr>
              <w:pStyle w:val="Compact"/>
              <w:jc w:val="left"/>
            </w:pPr>
            <w:r>
              <w:t xml:space="preserve">Version history (v0–v2026.04), tech stack transparency, composite formula, four sub-page dropdown</w:t>
            </w:r>
          </w:p>
        </w:tc>
      </w:tr>
      <w:tr>
        <w:tc>
          <w:tcPr/>
          <w:p>
            <w:pPr>
              <w:pStyle w:val="Compact"/>
              <w:jc w:val="left"/>
            </w:pPr>
            <w:r>
              <w:t xml:space="preserve">Story</w:t>
            </w:r>
          </w:p>
        </w:tc>
        <w:tc>
          <w:tcPr/>
          <w:p>
            <w:pPr>
              <w:pStyle w:val="Compact"/>
              <w:jc w:val="left"/>
            </w:pPr>
            <w:r>
              <w:rPr>
                <w:rStyle w:val="VerbatimChar"/>
              </w:rPr>
              <w:t xml:space="preserve">/story</w:t>
            </w:r>
          </w:p>
        </w:tc>
        <w:tc>
          <w:tcPr/>
          <w:p>
            <w:pPr>
              <w:pStyle w:val="Compact"/>
              <w:jc w:val="left"/>
            </w:pPr>
            <w:r>
              <w:t xml:space="preserve">Works</w:t>
            </w:r>
          </w:p>
        </w:tc>
        <w:tc>
          <w:tcPr/>
          <w:p>
            <w:pPr>
              <w:pStyle w:val="Compact"/>
              <w:jc w:val="left"/>
            </w:pPr>
            <w:r>
              <w:t xml:space="preserve">3 city archetypes (Phuket/Khon Kaen/Wangchan Valley) with narrative depth and real-time data links</w:t>
            </w:r>
          </w:p>
        </w:tc>
      </w:tr>
      <w:tr>
        <w:tc>
          <w:tcPr/>
          <w:p>
            <w:pPr>
              <w:pStyle w:val="Compact"/>
              <w:jc w:val="left"/>
            </w:pPr>
            <w:r>
              <w:t xml:space="preserve">Partners</w:t>
            </w:r>
          </w:p>
        </w:tc>
        <w:tc>
          <w:tcPr/>
          <w:p>
            <w:pPr>
              <w:pStyle w:val="Compact"/>
              <w:jc w:val="left"/>
            </w:pPr>
            <w:r>
              <w:rPr>
                <w:rStyle w:val="VerbatimChar"/>
              </w:rPr>
              <w:t xml:space="preserve">/partners</w:t>
            </w:r>
          </w:p>
        </w:tc>
        <w:tc>
          <w:tcPr/>
          <w:p>
            <w:pPr>
              <w:pStyle w:val="Compact"/>
              <w:jc w:val="left"/>
            </w:pPr>
            <w:r>
              <w:t xml:space="preserve">Works</w:t>
            </w:r>
          </w:p>
        </w:tc>
        <w:tc>
          <w:tcPr/>
          <w:p>
            <w:pPr>
              <w:pStyle w:val="Compact"/>
              <w:jc w:val="left"/>
            </w:pPr>
            <w:r>
              <w:t xml:space="preserve">9 countries with delivery status badges (Active/Completed/Stalled/Early Stage) and strategic lessons</w:t>
            </w:r>
          </w:p>
        </w:tc>
      </w:tr>
      <w:tr>
        <w:tc>
          <w:tcPr/>
          <w:p>
            <w:pPr>
              <w:pStyle w:val="Compact"/>
              <w:jc w:val="left"/>
            </w:pPr>
            <w:r>
              <w:t xml:space="preserve">City Dossier</w:t>
            </w:r>
          </w:p>
        </w:tc>
        <w:tc>
          <w:tcPr/>
          <w:p>
            <w:pPr>
              <w:pStyle w:val="Compact"/>
              <w:jc w:val="left"/>
            </w:pPr>
            <w:r>
              <w:rPr>
                <w:rStyle w:val="VerbatimChar"/>
              </w:rPr>
              <w:t xml:space="preserve">/city/phra-ram-4</w:t>
            </w:r>
          </w:p>
        </w:tc>
        <w:tc>
          <w:tcPr/>
          <w:p>
            <w:pPr>
              <w:pStyle w:val="Compact"/>
              <w:jc w:val="left"/>
            </w:pPr>
            <w:r>
              <w:t xml:space="preserve">Works</w:t>
            </w:r>
          </w:p>
        </w:tc>
        <w:tc>
          <w:tcPr/>
          <w:p>
            <w:pPr>
              <w:pStyle w:val="Compact"/>
              <w:jc w:val="left"/>
            </w:pPr>
            <w:r>
              <w:t xml:space="preserve">5-tab structure (Overview/Analysis/Execution/Evidence/Next Steps); composite 66.8; Alpha tier; spider chart</w:t>
            </w:r>
          </w:p>
        </w:tc>
      </w:tr>
      <w:tr>
        <w:tc>
          <w:tcPr/>
          <w:p>
            <w:pPr>
              <w:pStyle w:val="Compact"/>
              <w:jc w:val="left"/>
            </w:pPr>
            <w:r>
              <w:t xml:space="preserve">City (Phuket)</w:t>
            </w:r>
          </w:p>
        </w:tc>
        <w:tc>
          <w:tcPr/>
          <w:p>
            <w:pPr>
              <w:pStyle w:val="Compact"/>
              <w:jc w:val="left"/>
            </w:pPr>
            <w:r>
              <w:rPr>
                <w:rStyle w:val="VerbatimChar"/>
              </w:rPr>
              <w:t xml:space="preserve">/city/phuket</w:t>
            </w:r>
          </w:p>
        </w:tc>
        <w:tc>
          <w:tcPr/>
          <w:p>
            <w:pPr>
              <w:pStyle w:val="Compact"/>
              <w:jc w:val="left"/>
            </w:pPr>
            <w:r>
              <w:t xml:space="preserve">404</w:t>
            </w:r>
          </w:p>
        </w:tc>
        <w:tc>
          <w:tcPr/>
          <w:p>
            <w:pPr>
              <w:pStyle w:val="Compact"/>
              <w:jc w:val="left"/>
            </w:pPr>
            <w:r>
              <w:t xml:space="preserve">Slug mismatch — likely</w:t>
            </w:r>
            <w:r>
              <w:t xml:space="preserve"> </w:t>
            </w:r>
            <w:r>
              <w:rPr>
                <w:rStyle w:val="VerbatimChar"/>
              </w:rPr>
              <w:t xml:space="preserve">phuket-smart-city</w:t>
            </w:r>
            <w:r>
              <w:t xml:space="preserve">; blank page with</w:t>
            </w:r>
            <w:r>
              <w:t xml:space="preserve"> </w:t>
            </w:r>
            <w:r>
              <w:t xml:space="preserve">“</w:t>
            </w:r>
            <w:r>
              <w:t xml:space="preserve">City not found</w:t>
            </w:r>
            <w:r>
              <w:t xml:space="preserve">”</w:t>
            </w:r>
            <w:r>
              <w:t xml:space="preserve"> </w:t>
            </w:r>
            <w:r>
              <w:t xml:space="preserve">and feedback form</w:t>
            </w:r>
          </w:p>
        </w:tc>
      </w:tr>
      <w:tr>
        <w:tc>
          <w:tcPr/>
          <w:p>
            <w:pPr>
              <w:pStyle w:val="Compact"/>
              <w:jc w:val="left"/>
            </w:pPr>
            <w:r>
              <w:t xml:space="preserve">City (Phuket trailing slash)</w:t>
            </w:r>
          </w:p>
        </w:tc>
        <w:tc>
          <w:tcPr/>
          <w:p>
            <w:pPr>
              <w:pStyle w:val="Compact"/>
              <w:jc w:val="left"/>
            </w:pPr>
            <w:r>
              <w:rPr>
                <w:rStyle w:val="VerbatimChar"/>
              </w:rPr>
              <w:t xml:space="preserve">/city/phuket/</w:t>
            </w:r>
          </w:p>
        </w:tc>
        <w:tc>
          <w:tcPr/>
          <w:p>
            <w:pPr>
              <w:pStyle w:val="Compact"/>
              <w:jc w:val="left"/>
            </w:pPr>
            <w:r>
              <w:t xml:space="preserve">404</w:t>
            </w:r>
          </w:p>
        </w:tc>
        <w:tc>
          <w:tcPr/>
          <w:p>
            <w:pPr>
              <w:pStyle w:val="Compact"/>
              <w:jc w:val="left"/>
            </w:pPr>
            <w:r>
              <w:t xml:space="preserve">Same slug issue; no redirect from common variant</w:t>
            </w:r>
          </w:p>
        </w:tc>
      </w:tr>
    </w:tbl>
    <w:p>
      <w:pPr>
        <w:pStyle w:val="BodyText"/>
      </w:pPr>
      <w:r>
        <w:rPr>
          <w:bCs/>
          <w:b/>
        </w:rPr>
        <w:t xml:space="preserve">Analysis:</w:t>
      </w:r>
      <w:r>
        <w:t xml:space="preserve"> </w:t>
      </w:r>
      <w:r>
        <w:t xml:space="preserve">Eight of ten routes load successfully. The two failures are Phuket slug mismatches (</w:t>
      </w:r>
      <w:r>
        <w:rPr>
          <w:rStyle w:val="VerbatimChar"/>
        </w:rPr>
        <w:t xml:space="preserve">/city/phuket</w:t>
      </w:r>
      <w:r>
        <w:t xml:space="preserve"> </w:t>
      </w:r>
      <w:r>
        <w:t xml:space="preserve">vs. likely</w:t>
      </w:r>
      <w:r>
        <w:t xml:space="preserve"> </w:t>
      </w:r>
      <w:r>
        <w:rPr>
          <w:rStyle w:val="VerbatimChar"/>
        </w:rPr>
        <w:t xml:space="preserve">phuket-smart-city</w:t>
      </w:r>
      <w:r>
        <w:t xml:space="preserve">) — technically correct routing but poor discoverability. The</w:t>
      </w:r>
      <w:r>
        <w:t xml:space="preserve"> </w:t>
      </w:r>
      <w:r>
        <w:t xml:space="preserve">“</w:t>
      </w:r>
      <w:r>
        <w:t xml:space="preserve">City not found</w:t>
      </w:r>
      <w:r>
        <w:t xml:space="preserve">”</w:t>
      </w:r>
      <w:r>
        <w:t xml:space="preserve"> </w:t>
      </w:r>
      <w:r>
        <w:t xml:space="preserve">page offers a feedback form routing to</w:t>
      </w:r>
      <w:r>
        <w:t xml:space="preserve"> </w:t>
      </w:r>
      <w:r>
        <w:rPr>
          <w:rStyle w:val="VerbatimChar"/>
        </w:rPr>
        <w:t xml:space="preserve">non.ar@depa.or.th</w:t>
      </w:r>
      <w:r>
        <w:t xml:space="preserve">, but a slug alias or redirect would be more robust. Edge case flagged:</w:t>
      </w:r>
      <w:r>
        <w:t xml:space="preserve"> </w:t>
      </w:r>
      <w:r>
        <w:rPr>
          <w:rStyle w:val="VerbatimChar"/>
        </w:rPr>
        <w:t xml:space="preserve">/rankings</w:t>
      </w:r>
      <w:r>
        <w:t xml:space="preserve"> </w:t>
      </w:r>
      <w:r>
        <w:t xml:space="preserve">(no trailing slash) returns 404;</w:t>
      </w:r>
      <w:r>
        <w:t xml:space="preserve"> </w:t>
      </w:r>
      <w:r>
        <w:rPr>
          <w:rStyle w:val="VerbatimChar"/>
        </w:rPr>
        <w:t xml:space="preserve">/rankings/</w:t>
      </w:r>
      <w:r>
        <w:t xml:space="preserve"> </w:t>
      </w:r>
      <w:r>
        <w:t xml:space="preserve">works. This SPA routing inconsistency needs server-level fixing.</w:t>
      </w:r>
    </w:p>
    <w:bookmarkEnd w:id="53"/>
    <w:bookmarkStart w:id="54" w:name="feature-testing-matrix"/>
    <w:p>
      <w:pPr>
        <w:pStyle w:val="Heading2"/>
      </w:pPr>
      <w:r>
        <w:t xml:space="preserve">Feature Testing Matrix</w:t>
      </w:r>
    </w:p>
    <w:tbl>
      <w:tblPr>
        <w:tblStyle w:val="Table"/>
        <w:tblW w:type="pct" w:w="5000"/>
        <w:tblLook w:firstRow="1" w:lastRow="0" w:firstColumn="0" w:lastColumn="0" w:noHBand="0" w:noVBand="0" w:val="0020"/>
      </w:tblPr>
      <w:tblGrid>
        <w:gridCol w:w="2970"/>
        <w:gridCol w:w="2640"/>
        <w:gridCol w:w="231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Pillar matcher (A→B→C cycling)</w:t>
            </w:r>
          </w:p>
        </w:tc>
        <w:tc>
          <w:tcPr/>
          <w:p>
            <w:pPr>
              <w:pStyle w:val="Compact"/>
              <w:jc w:val="left"/>
            </w:pPr>
            <w:r>
              <w:t xml:space="preserve">Works</w:t>
            </w:r>
          </w:p>
        </w:tc>
        <w:tc>
          <w:tcPr/>
          <w:p>
            <w:pPr>
              <w:pStyle w:val="Compact"/>
              <w:jc w:val="left"/>
            </w:pPr>
            <w:r>
              <w:t xml:space="preserve">Smooth priority cycling across 7 pillars; live top-10 updates; color-coded mini bar charts</w:t>
            </w:r>
          </w:p>
        </w:tc>
      </w:tr>
      <w:tr>
        <w:tc>
          <w:tcPr/>
          <w:p>
            <w:pPr>
              <w:pStyle w:val="Compact"/>
              <w:jc w:val="left"/>
            </w:pPr>
            <w:r>
              <w:t xml:space="preserve">City comparison (up to 5 cities)</w:t>
            </w:r>
          </w:p>
        </w:tc>
        <w:tc>
          <w:tcPr/>
          <w:p>
            <w:pPr>
              <w:pStyle w:val="Compact"/>
              <w:jc w:val="left"/>
            </w:pPr>
            <w:r>
              <w:t xml:space="preserve">Works</w:t>
            </w:r>
          </w:p>
        </w:tc>
        <w:tc>
          <w:tcPr/>
          <w:p>
            <w:pPr>
              <w:pStyle w:val="Compact"/>
              <w:jc w:val="left"/>
            </w:pPr>
            <w:r>
              <w:t xml:space="preserve">Add/remove via pill interface; responsive grid layout; tier badges and region tags display correctly</w:t>
            </w:r>
          </w:p>
        </w:tc>
      </w:tr>
      <w:tr>
        <w:tc>
          <w:tcPr/>
          <w:p>
            <w:pPr>
              <w:pStyle w:val="Compact"/>
              <w:jc w:val="left"/>
            </w:pPr>
            <w:r>
              <w:t xml:space="preserve">Dark mode</w:t>
            </w:r>
          </w:p>
        </w:tc>
        <w:tc>
          <w:tcPr/>
          <w:p>
            <w:pPr>
              <w:pStyle w:val="Compact"/>
              <w:jc w:val="left"/>
            </w:pPr>
            <w:r>
              <w:t xml:space="preserve">Works</w:t>
            </w:r>
          </w:p>
        </w:tc>
        <w:tc>
          <w:tcPr/>
          <w:p>
            <w:pPr>
              <w:pStyle w:val="Compact"/>
              <w:jc w:val="left"/>
            </w:pPr>
            <w:r>
              <w:t xml:space="preserve">Clean dark theme with navy-on-black palette; persistent via localStorage; toggle in nav bar</w:t>
            </w:r>
          </w:p>
        </w:tc>
      </w:tr>
      <w:tr>
        <w:tc>
          <w:tcPr/>
          <w:p>
            <w:pPr>
              <w:pStyle w:val="Compact"/>
              <w:jc w:val="left"/>
            </w:pPr>
            <w:r>
              <w:t xml:space="preserve">PDF downloads</w:t>
            </w:r>
          </w:p>
        </w:tc>
        <w:tc>
          <w:tcPr/>
          <w:p>
            <w:pPr>
              <w:pStyle w:val="Compact"/>
              <w:jc w:val="left"/>
            </w:pPr>
            <w:r>
              <w:t xml:space="preserve">Partial</w:t>
            </w:r>
          </w:p>
        </w:tc>
        <w:tc>
          <w:tcPr/>
          <w:p>
            <w:pPr>
              <w:pStyle w:val="Compact"/>
              <w:jc w:val="left"/>
            </w:pPr>
            <w:r>
              <w:t xml:space="preserve">4 PDF buttons present (Executive Summary, Methodology Paper, Full Report, Performance Audit) but files are ~5 KB, suggesting placeholders rather than real documents</w:t>
            </w:r>
          </w:p>
        </w:tc>
      </w:tr>
      <w:tr>
        <w:tc>
          <w:tcPr/>
          <w:p>
            <w:pPr>
              <w:pStyle w:val="Compact"/>
              <w:jc w:val="left"/>
            </w:pPr>
            <w:r>
              <w:t xml:space="preserve">CSV exports</w:t>
            </w:r>
          </w:p>
        </w:tc>
        <w:tc>
          <w:tcPr/>
          <w:p>
            <w:pPr>
              <w:pStyle w:val="Compact"/>
              <w:jc w:val="left"/>
            </w:pPr>
            <w:r>
              <w:t xml:space="preserve">Not tested</w:t>
            </w:r>
          </w:p>
        </w:tc>
        <w:tc>
          <w:tcPr/>
          <w:p>
            <w:pPr>
              <w:pStyle w:val="Compact"/>
              <w:jc w:val="left"/>
            </w:pPr>
            <w:r>
              <w:t xml:space="preserve">Buttons present on homepage open-data section; export functionality assumed working but not verified</w:t>
            </w:r>
          </w:p>
        </w:tc>
      </w:tr>
      <w:tr>
        <w:tc>
          <w:tcPr/>
          <w:p>
            <w:pPr>
              <w:pStyle w:val="Compact"/>
              <w:jc w:val="left"/>
            </w:pPr>
            <w:r>
              <w:t xml:space="preserve">Print City Canvas</w:t>
            </w:r>
          </w:p>
        </w:tc>
        <w:tc>
          <w:tcPr/>
          <w:p>
            <w:pPr>
              <w:pStyle w:val="Compact"/>
              <w:jc w:val="left"/>
            </w:pPr>
            <w:r>
              <w:t xml:space="preserve">Present</w:t>
            </w:r>
          </w:p>
        </w:tc>
        <w:tc>
          <w:tcPr/>
          <w:p>
            <w:pPr>
              <w:pStyle w:val="Compact"/>
              <w:jc w:val="left"/>
            </w:pPr>
            <w:r>
              <w:t xml:space="preserve">Button visible on city dossier pages; print pipeline not tested</w:t>
            </w:r>
          </w:p>
        </w:tc>
      </w:tr>
      <w:tr>
        <w:tc>
          <w:tcPr/>
          <w:p>
            <w:pPr>
              <w:pStyle w:val="Compact"/>
              <w:jc w:val="left"/>
            </w:pPr>
            <w:r>
              <w:t xml:space="preserve">Feedback form</w:t>
            </w:r>
          </w:p>
        </w:tc>
        <w:tc>
          <w:tcPr/>
          <w:p>
            <w:pPr>
              <w:pStyle w:val="Compact"/>
              <w:jc w:val="left"/>
            </w:pPr>
            <w:r>
              <w:t xml:space="preserve">Works</w:t>
            </w:r>
          </w:p>
        </w:tc>
        <w:tc>
          <w:tcPr/>
          <w:p>
            <w:pPr>
              <w:pStyle w:val="Compact"/>
              <w:jc w:val="left"/>
            </w:pPr>
            <w:r>
              <w:t xml:space="preserve">Textarea + email submission to</w:t>
            </w:r>
            <w:r>
              <w:t xml:space="preserve"> </w:t>
            </w:r>
            <w:r>
              <w:rPr>
                <w:rStyle w:val="VerbatimChar"/>
              </w:rPr>
              <w:t xml:space="preserve">non.ar@depa.or.th</w:t>
            </w:r>
            <w:r>
              <w:t xml:space="preserve">;</w:t>
            </w:r>
            <w:r>
              <w:t xml:space="preserve"> </w:t>
            </w:r>
            <w:r>
              <w:t xml:space="preserve">“</w:t>
            </w:r>
            <w:r>
              <w:t xml:space="preserve">Did we miss anything?</w:t>
            </w:r>
            <w:r>
              <w:t xml:space="preserve">”</w:t>
            </w:r>
            <w:r>
              <w:t xml:space="preserve"> </w:t>
            </w:r>
            <w:r>
              <w:t xml:space="preserve">framing encourages corrections</w:t>
            </w:r>
          </w:p>
        </w:tc>
      </w:tr>
      <w:tr>
        <w:tc>
          <w:tcPr/>
          <w:p>
            <w:pPr>
              <w:pStyle w:val="Compact"/>
              <w:jc w:val="left"/>
            </w:pPr>
            <w:r>
              <w:t xml:space="preserve">Language switch (EN/CN)</w:t>
            </w:r>
          </w:p>
        </w:tc>
        <w:tc>
          <w:tcPr/>
          <w:p>
            <w:pPr>
              <w:pStyle w:val="Compact"/>
              <w:jc w:val="left"/>
            </w:pPr>
            <w:r>
              <w:t xml:space="preserve">Works</w:t>
            </w:r>
          </w:p>
        </w:tc>
        <w:tc>
          <w:tcPr/>
          <w:p>
            <w:pPr>
              <w:pStyle w:val="Compact"/>
              <w:jc w:val="left"/>
            </w:pPr>
            <w:r>
              <w:t xml:space="preserve">Full Simplified Chinese translation; quality is high</w:t>
            </w:r>
          </w:p>
        </w:tc>
      </w:tr>
      <w:tr>
        <w:tc>
          <w:tcPr/>
          <w:p>
            <w:pPr>
              <w:pStyle w:val="Compact"/>
              <w:jc w:val="left"/>
            </w:pPr>
            <w:r>
              <w:t xml:space="preserve">Language switch (TH)</w:t>
            </w:r>
          </w:p>
        </w:tc>
        <w:tc>
          <w:tcPr/>
          <w:p>
            <w:pPr>
              <w:pStyle w:val="Compact"/>
              <w:jc w:val="left"/>
            </w:pPr>
            <w:r>
              <w:t xml:space="preserve">Broken</w:t>
            </w:r>
          </w:p>
        </w:tc>
        <w:tc>
          <w:tcPr/>
          <w:p>
            <w:pPr>
              <w:pStyle w:val="Compact"/>
              <w:jc w:val="left"/>
            </w:pPr>
            <w:r>
              <w:t xml:space="preserve">“</w:t>
            </w:r>
            <w:r>
              <w:t xml:space="preserve">TH</w:t>
            </w:r>
            <w:r>
              <w:t xml:space="preserve">”</w:t>
            </w:r>
            <w:r>
              <w:t xml:space="preserve"> </w:t>
            </w:r>
            <w:r>
              <w:t xml:space="preserve">button mislabeled — triggers Chinese, not Thai</w:t>
            </w:r>
          </w:p>
        </w:tc>
      </w:tr>
      <w:tr>
        <w:tc>
          <w:tcPr/>
          <w:p>
            <w:pPr>
              <w:pStyle w:val="Compact"/>
              <w:jc w:val="left"/>
            </w:pPr>
            <w:r>
              <w:t xml:space="preserve">Thai language content</w:t>
            </w:r>
          </w:p>
        </w:tc>
        <w:tc>
          <w:tcPr/>
          <w:p>
            <w:pPr>
              <w:pStyle w:val="Compact"/>
              <w:jc w:val="left"/>
            </w:pPr>
            <w:r>
              <w:t xml:space="preserve">Missing</w:t>
            </w:r>
          </w:p>
        </w:tc>
        <w:tc>
          <w:tcPr/>
          <w:p>
            <w:pPr>
              <w:pStyle w:val="Compact"/>
              <w:jc w:val="left"/>
            </w:pPr>
            <w:r>
              <w:t xml:space="preserve">No Thai-language content found anywhere in the application</w:t>
            </w:r>
          </w:p>
        </w:tc>
      </w:tr>
      <w:tr>
        <w:tc>
          <w:tcPr/>
          <w:p>
            <w:pPr>
              <w:pStyle w:val="Compact"/>
              <w:jc w:val="left"/>
            </w:pPr>
            <w:r>
              <w:t xml:space="preserve">Responsive design</w:t>
            </w:r>
          </w:p>
        </w:tc>
        <w:tc>
          <w:tcPr/>
          <w:p>
            <w:pPr>
              <w:pStyle w:val="Compact"/>
              <w:jc w:val="left"/>
            </w:pPr>
            <w:r>
              <w:t xml:space="preserve">Partial</w:t>
            </w:r>
          </w:p>
        </w:tc>
        <w:tc>
          <w:tcPr/>
          <w:p>
            <w:pPr>
              <w:pStyle w:val="Compact"/>
              <w:jc w:val="left"/>
            </w:pPr>
            <w:r>
              <w:t xml:space="preserve">Layouts adapt to viewport; dedicated mobile testing not performed</w:t>
            </w:r>
          </w:p>
        </w:tc>
      </w:tr>
      <w:tr>
        <w:tc>
          <w:tcPr/>
          <w:p>
            <w:pPr>
              <w:pStyle w:val="Compact"/>
              <w:jc w:val="left"/>
            </w:pPr>
            <w:r>
              <w:t xml:space="preserve">Tier badges (Alpha/Beta/Gamma)</w:t>
            </w:r>
          </w:p>
        </w:tc>
        <w:tc>
          <w:tcPr/>
          <w:p>
            <w:pPr>
              <w:pStyle w:val="Compact"/>
              <w:jc w:val="left"/>
            </w:pPr>
            <w:r>
              <w:t xml:space="preserve">Works</w:t>
            </w:r>
          </w:p>
        </w:tc>
        <w:tc>
          <w:tcPr/>
          <w:p>
            <w:pPr>
              <w:pStyle w:val="Compact"/>
              <w:jc w:val="left"/>
            </w:pPr>
            <w:r>
              <w:t xml:space="preserve">Consistent display across rankings, compare, and dossier pages</w:t>
            </w:r>
          </w:p>
        </w:tc>
      </w:tr>
      <w:tr>
        <w:tc>
          <w:tcPr/>
          <w:p>
            <w:pPr>
              <w:pStyle w:val="Compact"/>
              <w:jc w:val="left"/>
            </w:pPr>
            <w:r>
              <w:t xml:space="preserve">Spider/radar charts</w:t>
            </w:r>
          </w:p>
        </w:tc>
        <w:tc>
          <w:tcPr/>
          <w:p>
            <w:pPr>
              <w:pStyle w:val="Compact"/>
              <w:jc w:val="left"/>
            </w:pPr>
            <w:r>
              <w:t xml:space="preserve">Works</w:t>
            </w:r>
          </w:p>
        </w:tc>
        <w:tc>
          <w:tcPr/>
          <w:p>
            <w:pPr>
              <w:pStyle w:val="Compact"/>
              <w:jc w:val="left"/>
            </w:pPr>
            <w:r>
              <w:t xml:space="preserve">Rendered cleanly on dossier heroes and rankings page; resize appropriately</w:t>
            </w:r>
          </w:p>
        </w:tc>
      </w:tr>
      <w:tr>
        <w:tc>
          <w:tcPr/>
          <w:p>
            <w:pPr>
              <w:pStyle w:val="Compact"/>
              <w:jc w:val="left"/>
            </w:pPr>
            <w:r>
              <w:t xml:space="preserve">Navigation dropdowns</w:t>
            </w:r>
          </w:p>
        </w:tc>
        <w:tc>
          <w:tcPr/>
          <w:p>
            <w:pPr>
              <w:pStyle w:val="Compact"/>
              <w:jc w:val="left"/>
            </w:pPr>
            <w:r>
              <w:t xml:space="preserve">Works</w:t>
            </w:r>
          </w:p>
        </w:tc>
        <w:tc>
          <w:tcPr/>
          <w:p>
            <w:pPr>
              <w:pStyle w:val="Compact"/>
              <w:jc w:val="left"/>
            </w:pPr>
            <w:r>
              <w:t xml:space="preserve">Rankings (3 items), Method (4 items), Stories (3 items), Network (2 items) all display and route correctly</w:t>
            </w:r>
          </w:p>
        </w:tc>
      </w:tr>
    </w:tbl>
    <w:p>
      <w:pPr>
        <w:pStyle w:val="BodyText"/>
      </w:pPr>
      <w:r>
        <w:rPr>
          <w:bCs/>
          <w:b/>
        </w:rPr>
        <w:t xml:space="preserve">Analysis:</w:t>
      </w:r>
      <w:r>
        <w:t xml:space="preserve"> </w:t>
      </w:r>
      <w:r>
        <w:t xml:space="preserve">The pillar matcher and comparison tool are genuine differentiators elevating SCITI above static index publications. Dark mode maintains the visual identity rather than simply inverting colors. The two most significant issues: the</w:t>
      </w:r>
      <w:r>
        <w:t xml:space="preserve"> </w:t>
      </w:r>
      <w:r>
        <w:t xml:space="preserve">“</w:t>
      </w:r>
      <w:r>
        <w:t xml:space="preserve">TH</w:t>
      </w:r>
      <w:r>
        <w:t xml:space="preserve">”</w:t>
      </w:r>
      <w:r>
        <w:t xml:space="preserve"> </w:t>
      </w:r>
      <w:r>
        <w:t xml:space="preserve">button mislabel (delivers Chinese, not Thai) and the likely placeholder PDFs (5 KB files cannot be real methodology papers). Missing Thai language support is the largest accessibility gap — a Thai government product must serve Thai speakers as its primary audience. The feedback form routing to</w:t>
      </w:r>
      <w:r>
        <w:t xml:space="preserve"> </w:t>
      </w:r>
      <w:r>
        <w:rPr>
          <w:rStyle w:val="VerbatimChar"/>
        </w:rPr>
        <w:t xml:space="preserve">non.ar@depa.or.th</w:t>
      </w:r>
      <w:r>
        <w:t xml:space="preserve"> </w:t>
      </w:r>
      <w:r>
        <w:t xml:space="preserve">signals openness to corrections, aligned with the site’s transparency philosophy.</w:t>
      </w:r>
    </w:p>
    <w:p>
      <w:r>
        <w:pict>
          <v:rect style="width:0;height:1.5pt" o:hralign="center" o:hrstd="t" o:hr="t"/>
        </w:pict>
      </w:r>
    </w:p>
    <w:bookmarkEnd w:id="54"/>
    <w:bookmarkStart w:id="72" w:name="backend-technical-audit"/>
    <w:p>
      <w:pPr>
        <w:pStyle w:val="Heading2"/>
      </w:pPr>
      <w:r>
        <w:t xml:space="preserve">2. Backend &amp; Technical Audit</w:t>
      </w:r>
    </w:p>
    <w:p>
      <w:pPr>
        <w:pStyle w:val="FirstParagraph"/>
      </w:pPr>
      <w:r>
        <w:t xml:space="preserve">A government-backed smart city assessment platform cannot be judged solely by its user interface. The infrastructure beneath SCITI determines whether it can sustain public trust, scale under load, and comply with Thailand’s Personal Data Protection Act B.E. 2562 (2019). This chapter subjects the site’s hosting stack, security posture, search-engine readiness, and runtime performance to systematic inspection using curl-based header analysis, manual page auditing, and established benchmarking standards.</w:t>
      </w:r>
    </w:p>
    <w:p>
      <w:r>
        <w:pict>
          <v:rect style="width:0;height:1.5pt" o:hralign="center" o:hrstd="t" o:hr="t"/>
        </w:pict>
      </w:r>
    </w:p>
    <w:bookmarkStart w:id="58" w:name="infrastructure"/>
    <w:p>
      <w:pPr>
        <w:pStyle w:val="Heading3"/>
      </w:pPr>
      <w:r>
        <w:t xml:space="preserve">2.1 Infrastructure</w:t>
      </w:r>
    </w:p>
    <w:bookmarkStart w:id="55" w:name="X9c37ab966381089e1fb8dcb1cdc77f48cfe1d62"/>
    <w:p>
      <w:pPr>
        <w:pStyle w:val="Heading4"/>
      </w:pPr>
      <w:r>
        <w:t xml:space="preserve">2.1.1 Cloudflare CDN with HTTP/2, GitHub Pages Hosting</w:t>
      </w:r>
    </w:p>
    <w:p>
      <w:pPr>
        <w:pStyle w:val="FirstParagraph"/>
      </w:pPr>
      <w:r>
        <w:t xml:space="preserve">SCITI is served through Cloudflare’s content delivery network with HTTP/2 enabled, confirmed by the</w:t>
      </w:r>
      <w:r>
        <w:t xml:space="preserve"> </w:t>
      </w:r>
      <w:r>
        <w:rPr>
          <w:rStyle w:val="VerbatimChar"/>
        </w:rPr>
        <w:t xml:space="preserve">HTTP/2 200</w:t>
      </w:r>
      <w:r>
        <w:t xml:space="preserve"> </w:t>
      </w:r>
      <w:r>
        <w:t xml:space="preserve">response line and Cloudflare-specific headers (</w:t>
      </w:r>
      <w:r>
        <w:rPr>
          <w:rStyle w:val="VerbatimChar"/>
        </w:rPr>
        <w:t xml:space="preserve">CF-Cache-Status</w:t>
      </w:r>
      <w:r>
        <w:t xml:space="preserve">,</w:t>
      </w:r>
      <w:r>
        <w:t xml:space="preserve"> </w:t>
      </w:r>
      <w:r>
        <w:rPr>
          <w:rStyle w:val="VerbatimChar"/>
        </w:rPr>
        <w:t xml:space="preserve">CF-RAY</w:t>
      </w:r>
      <w:r>
        <w:t xml:space="preserve">) present in every server response</w:t>
      </w:r>
      <w:r>
        <w:t xml:space="preserve"> </w:t>
      </w:r>
      <w:fldSimple w:instr="NOTEREF _Ref_Footnote_1 \h \f">
        <w:r>
          <w:rPr>
            <w:vertAlign w:val="superscript"/>
          </w:rPr>
          <w:t>1</w:t>
        </w:r>
      </w:fldSimple>
      <w:r>
        <w:t xml:space="preserve">. The origin is GitHub Pages, as verified by the</w:t>
      </w:r>
      <w:r>
        <w:t xml:space="preserve"> </w:t>
      </w:r>
      <w:r>
        <w:rPr>
          <w:rStyle w:val="VerbatimChar"/>
        </w:rPr>
        <w:t xml:space="preserve">Server: cloudflare</w:t>
      </w:r>
      <w:r>
        <w:t xml:space="preserve"> </w:t>
      </w:r>
      <w:r>
        <w:t xml:space="preserve">and</w:t>
      </w:r>
      <w:r>
        <w:t xml:space="preserve"> </w:t>
      </w:r>
      <w:r>
        <w:rPr>
          <w:rStyle w:val="VerbatimChar"/>
        </w:rPr>
        <w:t xml:space="preserve">X-GitHub-Request-Id</w:t>
      </w:r>
      <w:r>
        <w:t xml:space="preserve"> </w:t>
      </w:r>
      <w:r>
        <w:t xml:space="preserve">header patterns visible in the response set. This is a pragmatic choice for a public-sector digital product: GitHub Pages offers free, reliable static hosting with built-in version control, while Cloudflare provides global edge caching and DDoS mitigation without infrastructure overhead.</w:t>
      </w:r>
    </w:p>
    <w:p>
      <w:pPr>
        <w:pStyle w:val="BodyText"/>
      </w:pPr>
      <w:r>
        <w:t xml:space="preserve">However, the combination creates a governance gap. GitHub Pages is designed for developer documentation and project sites, not production government services. There is no service-level agreement (SLA), no dedicated support channel, and no contractual data residency guarantee. For a platform that presents itself as Thailand’s official smart city intelligence hub, hosting on a free-tier developer service—even fronted by Cloudflare—raises questions about institutional commitment and long-term sustainability. The</w:t>
      </w:r>
      <w:r>
        <w:t xml:space="preserve"> </w:t>
      </w:r>
      <w:r>
        <w:rPr>
          <w:rStyle w:val="VerbatimChar"/>
        </w:rPr>
        <w:t xml:space="preserve">404</w:t>
      </w:r>
      <w:r>
        <w:t xml:space="preserve"> </w:t>
      </w:r>
      <w:r>
        <w:t xml:space="preserve">responses returned for</w:t>
      </w:r>
      <w:r>
        <w:t xml:space="preserve"> </w:t>
      </w:r>
      <w:r>
        <w:rPr>
          <w:rStyle w:val="VerbatimChar"/>
        </w:rPr>
        <w:t xml:space="preserve">/city/phuket</w:t>
      </w:r>
      <w:r>
        <w:t xml:space="preserve"> </w:t>
      </w:r>
      <w:r>
        <w:t xml:space="preserve">and</w:t>
      </w:r>
      <w:r>
        <w:t xml:space="preserve"> </w:t>
      </w:r>
      <w:r>
        <w:rPr>
          <w:rStyle w:val="VerbatimChar"/>
        </w:rPr>
        <w:t xml:space="preserve">/city/phuket/</w:t>
      </w:r>
      <w:r>
        <w:t xml:space="preserve"> </w:t>
      </w:r>
      <w:r>
        <w:t xml:space="preserve">(both variants tested) further suggest that client-side routing is not properly supported by the static hosting layer, a common Single Page Application (SPA) pitfall on GitHub Pages</w:t>
      </w:r>
      <w:r>
        <w:t xml:space="preserve"> </w:t>
      </w:r>
      <w:fldSimple w:instr="NOTEREF _Ref_Footnote_2 \h \f">
        <w:r>
          <w:rPr>
            <w:vertAlign w:val="superscript"/>
          </w:rPr>
          <w:t>2</w:t>
        </w:r>
      </w:fldSimple>
      <w:r>
        <w:t xml:space="preserve">.</w:t>
      </w:r>
    </w:p>
    <w:bookmarkEnd w:id="55"/>
    <w:bookmarkStart w:id="56" w:name="Xbf8913111229cafc0efa21de20d7226779ea2ef"/>
    <w:p>
      <w:pPr>
        <w:pStyle w:val="Heading4"/>
      </w:pPr>
      <w:r>
        <w:t xml:space="preserve">2.1.2 React 19 + TypeScript + Vite 6 + Zero CSS Frameworks</w:t>
      </w:r>
    </w:p>
    <w:p>
      <w:pPr>
        <w:pStyle w:val="FirstParagraph"/>
      </w:pPr>
      <w:r>
        <w:t xml:space="preserve">The technology stack, disclosed on the</w:t>
      </w:r>
      <w:r>
        <w:t xml:space="preserve"> </w:t>
      </w:r>
      <w:r>
        <w:rPr>
          <w:rStyle w:val="VerbatimChar"/>
        </w:rPr>
        <w:t xml:space="preserve">/methodology</w:t>
      </w:r>
      <w:r>
        <w:t xml:space="preserve"> </w:t>
      </w:r>
      <w:r>
        <w:t xml:space="preserve">page and corroborated by the compiled output, is modern and disciplined: React 19, TypeScript, Vite 6, with Tailwind CSS absent and no heavy UI component library detected</w:t>
      </w:r>
      <w:r>
        <w:t xml:space="preserve"> </w:t>
      </w:r>
      <w:r>
        <w:rPr>
          <w:vertAlign w:val="superscript"/>
        </w:rPr>
        <w:footnoteReference w:id="11"/>
      </w:r>
      <w:r>
        <w:t xml:space="preserve">. The build produces a single JavaScript bundle plus a vendor chunk, with</w:t>
      </w:r>
      <w:r>
        <w:t xml:space="preserve"> </w:t>
      </w:r>
      <w:r>
        <w:rPr>
          <w:rStyle w:val="VerbatimChar"/>
        </w:rPr>
        <w:t xml:space="preserve">modulepreload</w:t>
      </w:r>
      <w:r>
        <w:t xml:space="preserve"> </w:t>
      </w:r>
      <w:r>
        <w:t xml:space="preserve">directives in the HTML</w:t>
      </w:r>
      <w:r>
        <w:t xml:space="preserve"> </w:t>
      </w:r>
      <w:r>
        <w:rPr>
          <w:rStyle w:val="VerbatimChar"/>
        </w:rPr>
        <w:t xml:space="preserve">&lt;head&gt;</w:t>
      </w:r>
      <w:r>
        <w:t xml:space="preserve"> </w:t>
      </w:r>
      <w:r>
        <w:t xml:space="preserve">to ensure non-blocking early fetch. This is architecturally sound: minimal runtime overhead, strong type safety, and fast builds.</w:t>
      </w:r>
    </w:p>
    <w:p>
      <w:pPr>
        <w:pStyle w:val="BodyText"/>
      </w:pPr>
      <w:r>
        <w:t xml:space="preserve">The absence of CSS frameworks is notable. SCITI renders its entire interface through custom CSS, which keeps the bundle lean but introduces maintainability risk as the codebase grows. The choice of React 19—still relatively new at the time of audit—suggests an active development team willing to adopt cutting-edge releases, though it also carries the risk of undiscovered framework-level issues in production. Vite 6’s native ES module support and tree-shaking contribute to the clean dependency graph observed in the vendor chunk analysis.</w:t>
      </w:r>
    </w:p>
    <w:bookmarkEnd w:id="56"/>
    <w:bookmarkStart w:id="57" w:name="X7b7e5787df429eb7dc212708e6baaae4a48ae5f"/>
    <w:p>
      <w:pPr>
        <w:pStyle w:val="Heading4"/>
      </w:pPr>
      <w:r>
        <w:t xml:space="preserve">2.1.3 Data as TypeScript Constants: Version-Controlled, Auditable</w:t>
      </w:r>
    </w:p>
    <w:p>
      <w:pPr>
        <w:pStyle w:val="FirstParagraph"/>
      </w:pPr>
      <w:r>
        <w:t xml:space="preserve">SCITI’s most significant architectural decision is storing city data, pillar scores, and rankings as TypeScript constants rather than fetching from an external database or API. This has three implications. First, every data change is version-controlled through Git, producing an auditable trail that aligns with the platform’s open-government ethos. The methodology page documents a version history from v0 through 2026.04, confirming this practice</w:t>
      </w:r>
      <w:r>
        <w:t xml:space="preserve"> </w:t>
      </w:r>
      <w:fldSimple w:instr="NOTEREF _Ref_Footnote_11 \h \f">
        <w:r>
          <w:rPr>
            <w:vertAlign w:val="superscript"/>
          </w:rPr>
          <w:t>11</w:t>
        </w:r>
      </w:fldSimple>
      <w:r>
        <w:t xml:space="preserve">.</w:t>
      </w:r>
    </w:p>
    <w:p>
      <w:pPr>
        <w:pStyle w:val="BodyText"/>
      </w:pPr>
      <w:r>
        <w:t xml:space="preserve">Second, the entire application is a static site with zero runtime data dependencies. This eliminates an entire class of backend vulnerabilities—no SQL injection, no API rate-limiting concerns, no database connection failures. Third, it caps the platform’s data scale. As the number of assessed cities grows beyond the current ~19, the bundle size will increase linearly, and build times will extend. For the current dataset, this trade-off is defensible. At 100+ cities, the architecture would require reconsideration, likely through a transition to a headless CMS or static API layer.</w:t>
      </w:r>
    </w:p>
    <w:p>
      <w:r>
        <w:pict>
          <v:rect style="width:0;height:1.5pt" o:hralign="center" o:hrstd="t" o:hr="t"/>
        </w:pict>
      </w:r>
    </w:p>
    <w:bookmarkEnd w:id="57"/>
    <w:bookmarkEnd w:id="58"/>
    <w:bookmarkStart w:id="62" w:name="security-assessment"/>
    <w:p>
      <w:pPr>
        <w:pStyle w:val="Heading3"/>
      </w:pPr>
      <w:r>
        <w:t xml:space="preserve">2.2 Security Assessment</w:t>
      </w:r>
    </w:p>
    <w:bookmarkStart w:id="59" w:name="X89fc33458ad26f83fef91bfa29b06f287796812"/>
    <w:p>
      <w:pPr>
        <w:pStyle w:val="Heading4"/>
      </w:pPr>
      <w:r>
        <w:t xml:space="preserve">2.2.1 Present: X-Content-Type-Options, Referrer-Policy, CORS</w:t>
      </w:r>
    </w:p>
    <w:p>
      <w:pPr>
        <w:pStyle w:val="FirstParagraph"/>
      </w:pPr>
      <w:r>
        <w:t xml:space="preserve">Three security headers are correctly configured on SCITI’s responses. The</w:t>
      </w:r>
      <w:r>
        <w:t xml:space="preserve"> </w:t>
      </w:r>
      <w:r>
        <w:rPr>
          <w:rStyle w:val="VerbatimChar"/>
        </w:rPr>
        <w:t xml:space="preserve">X-Content-Type-Options: nosniff</w:t>
      </w:r>
      <w:r>
        <w:t xml:space="preserve"> </w:t>
      </w:r>
      <w:r>
        <w:t xml:space="preserve">directive prevents MIME-type sniffing attacks, where a browser might execute a disguised script file. The</w:t>
      </w:r>
      <w:r>
        <w:t xml:space="preserve"> </w:t>
      </w:r>
      <w:r>
        <w:rPr>
          <w:rStyle w:val="VerbatimChar"/>
        </w:rPr>
        <w:t xml:space="preserve">Referrer-Policy: strict-origin-when-cross-origin</w:t>
      </w:r>
      <w:r>
        <w:t xml:space="preserve"> </w:t>
      </w:r>
      <w:r>
        <w:t xml:space="preserve">setting limits referrer leakage to external domains, transmitting only the origin (not the full path) on cross-origin requests. The</w:t>
      </w:r>
      <w:r>
        <w:t xml:space="preserve"> </w:t>
      </w:r>
      <w:r>
        <w:rPr>
          <w:rStyle w:val="VerbatimChar"/>
        </w:rPr>
        <w:t xml:space="preserve">Access-Control-Allow-Origin: *</w:t>
      </w:r>
      <w:r>
        <w:t xml:space="preserve"> </w:t>
      </w:r>
      <w:r>
        <w:t xml:space="preserve">header is appropriately permissive for a public open-data platform, allowing any origin to fetch SCITI resources—consistent with the CC BY 4.0 licensing claimed in the footer</w:t>
      </w:r>
      <w:r>
        <w:t xml:space="preserve"> </w:t>
      </w:r>
      <w:fldSimple w:instr="NOTEREF _Ref_Footnote_1 \h \f">
        <w:r>
          <w:rPr>
            <w:vertAlign w:val="superscript"/>
          </w:rPr>
          <w:t>1</w:t>
        </w:r>
      </w:fldSimple>
      <w:r>
        <w:t xml:space="preserve">.</w:t>
      </w:r>
    </w:p>
    <w:p>
      <w:pPr>
        <w:pStyle w:val="BodyText"/>
      </w:pPr>
      <w:r>
        <w:t xml:space="preserve">These present headers demonstrate baseline security awareness. The</w:t>
      </w:r>
      <w:r>
        <w:t xml:space="preserve"> </w:t>
      </w:r>
      <w:r>
        <w:rPr>
          <w:rStyle w:val="VerbatimChar"/>
        </w:rPr>
        <w:t xml:space="preserve">nosniff</w:t>
      </w:r>
      <w:r>
        <w:t xml:space="preserve"> </w:t>
      </w:r>
      <w:r>
        <w:t xml:space="preserve">and</w:t>
      </w:r>
      <w:r>
        <w:t xml:space="preserve"> </w:t>
      </w:r>
      <w:r>
        <w:rPr>
          <w:rStyle w:val="VerbatimChar"/>
        </w:rPr>
        <w:t xml:space="preserve">Referrer-Policy</w:t>
      </w:r>
      <w:r>
        <w:t xml:space="preserve"> </w:t>
      </w:r>
      <w:r>
        <w:t xml:space="preserve">combination protects against common web attacks without breaking functionality, and the open CORS policy aligns with the platform’s stated data-sharing philosophy. However, three critical headers are entirely absent, and their omission elevates the platform’s risk profile beyond what these baseline measures can mitigate.</w:t>
      </w:r>
    </w:p>
    <w:bookmarkEnd w:id="59"/>
    <w:bookmarkStart w:id="60" w:name="X9b4d5fa61b2014b0ea85e55aecbabeac7b862fd"/>
    <w:p>
      <w:pPr>
        <w:pStyle w:val="Heading4"/>
      </w:pPr>
      <w:r>
        <w:t xml:space="preserve">2.2.2 Missing: HSTS, CSP, X-Frame-Options — 3 Critical Headers Absent</w:t>
      </w:r>
    </w:p>
    <w:p>
      <w:pPr>
        <w:pStyle w:val="FirstParagraph"/>
      </w:pPr>
      <w:r>
        <w:t xml:space="preserve">The curl analysis returned no trace of</w:t>
      </w:r>
      <w:r>
        <w:t xml:space="preserve"> </w:t>
      </w:r>
      <w:r>
        <w:rPr>
          <w:rStyle w:val="VerbatimChar"/>
        </w:rPr>
        <w:t xml:space="preserve">Strict-Transport-Security</w:t>
      </w:r>
      <w:r>
        <w:t xml:space="preserve">,</w:t>
      </w:r>
      <w:r>
        <w:t xml:space="preserve"> </w:t>
      </w:r>
      <w:r>
        <w:rPr>
          <w:rStyle w:val="VerbatimChar"/>
        </w:rPr>
        <w:t xml:space="preserve">Content-Security-Policy</w:t>
      </w:r>
      <w:r>
        <w:t xml:space="preserve">, or</w:t>
      </w:r>
      <w:r>
        <w:t xml:space="preserve"> </w:t>
      </w:r>
      <w:r>
        <w:rPr>
          <w:rStyle w:val="VerbatimChar"/>
        </w:rPr>
        <w:t xml:space="preserve">X-Frame-Options</w:t>
      </w:r>
      <w:r>
        <w:t xml:space="preserve"> </w:t>
      </w:r>
      <w:r>
        <w:t xml:space="preserve">in any response</w:t>
      </w:r>
      <w:r>
        <w:t xml:space="preserve"> </w:t>
      </w:r>
      <w:fldSimple w:instr="NOTEREF _Ref_Footnote_1 \h \f">
        <w:r>
          <w:rPr>
            <w:vertAlign w:val="superscript"/>
          </w:rPr>
          <w:t>1</w:t>
        </w:r>
      </w:fldSimple>
      <w:r>
        <w:t xml:space="preserve">. This is a significant failure for a government platform handling public data, and each absence carries distinct risks.</w:t>
      </w:r>
    </w:p>
    <w:tbl>
      <w:tblPr>
        <w:tblStyle w:val="Table"/>
        <w:tblW w:type="pct" w:w="5000"/>
        <w:tblLook w:firstRow="1" w:lastRow="0" w:firstColumn="0" w:lastColumn="0" w:noHBand="0" w:noVBand="0" w:val="0020"/>
      </w:tblPr>
      <w:tblGrid>
        <w:gridCol w:w="1152"/>
        <w:gridCol w:w="1152"/>
        <w:gridCol w:w="2736"/>
        <w:gridCol w:w="1728"/>
        <w:gridCol w:w="1152"/>
      </w:tblGrid>
      <w:tr>
        <w:trPr>
          <w:tblHeader w:val="true"/>
        </w:trPr>
        <w:tc>
          <w:tcPr/>
          <w:p>
            <w:pPr>
              <w:pStyle w:val="Compact"/>
              <w:jc w:val="left"/>
            </w:pPr>
            <w:r>
              <w:t xml:space="preserve">Header</w:t>
            </w:r>
          </w:p>
        </w:tc>
        <w:tc>
          <w:tcPr/>
          <w:p>
            <w:pPr>
              <w:pStyle w:val="Compact"/>
              <w:jc w:val="left"/>
            </w:pPr>
            <w:r>
              <w:t xml:space="preserve">Status</w:t>
            </w:r>
          </w:p>
        </w:tc>
        <w:tc>
          <w:tcPr/>
          <w:p>
            <w:pPr>
              <w:pStyle w:val="Compact"/>
              <w:jc w:val="left"/>
            </w:pPr>
            <w:r>
              <w:t xml:space="preserve">Value (if present)</w:t>
            </w:r>
          </w:p>
        </w:tc>
        <w:tc>
          <w:tcPr/>
          <w:p>
            <w:pPr>
              <w:pStyle w:val="Compact"/>
              <w:jc w:val="left"/>
            </w:pPr>
            <w:r>
              <w:t xml:space="preserve">Risk Level</w:t>
            </w:r>
          </w:p>
        </w:tc>
        <w:tc>
          <w:tcPr/>
          <w:p>
            <w:pPr>
              <w:pStyle w:val="Compact"/>
              <w:jc w:val="left"/>
            </w:pPr>
            <w:r>
              <w:t xml:space="preserve">Impact</w:t>
            </w:r>
          </w:p>
        </w:tc>
      </w:tr>
      <w:tr>
        <w:tc>
          <w:tcPr/>
          <w:p>
            <w:pPr>
              <w:pStyle w:val="Compact"/>
              <w:jc w:val="left"/>
            </w:pPr>
            <w:r>
              <w:t xml:space="preserve">X-Content-Type-Options</w:t>
            </w:r>
          </w:p>
        </w:tc>
        <w:tc>
          <w:tcPr/>
          <w:p>
            <w:pPr>
              <w:pStyle w:val="Compact"/>
              <w:jc w:val="left"/>
            </w:pPr>
            <w:r>
              <w:t xml:space="preserve">✅ Present</w:t>
            </w:r>
          </w:p>
        </w:tc>
        <w:tc>
          <w:tcPr/>
          <w:p>
            <w:pPr>
              <w:pStyle w:val="Compact"/>
              <w:jc w:val="left"/>
            </w:pPr>
            <w:r>
              <w:rPr>
                <w:rStyle w:val="VerbatimChar"/>
              </w:rPr>
              <w:t xml:space="preserve">nosniff</w:t>
            </w:r>
          </w:p>
        </w:tc>
        <w:tc>
          <w:tcPr/>
          <w:p>
            <w:pPr>
              <w:pStyle w:val="Compact"/>
              <w:jc w:val="left"/>
            </w:pPr>
            <w:r>
              <w:t xml:space="preserve">None</w:t>
            </w:r>
          </w:p>
        </w:tc>
        <w:tc>
          <w:tcPr/>
          <w:p>
            <w:pPr>
              <w:pStyle w:val="Compact"/>
              <w:jc w:val="left"/>
            </w:pPr>
            <w:r>
              <w:t xml:space="preserve">Prevents MIME sniffing</w:t>
            </w:r>
          </w:p>
        </w:tc>
      </w:tr>
      <w:tr>
        <w:tc>
          <w:tcPr/>
          <w:p>
            <w:pPr>
              <w:pStyle w:val="Compact"/>
              <w:jc w:val="left"/>
            </w:pPr>
            <w:r>
              <w:t xml:space="preserve">Referrer-Policy</w:t>
            </w:r>
          </w:p>
        </w:tc>
        <w:tc>
          <w:tcPr/>
          <w:p>
            <w:pPr>
              <w:pStyle w:val="Compact"/>
              <w:jc w:val="left"/>
            </w:pPr>
            <w:r>
              <w:t xml:space="preserve">✅ Present</w:t>
            </w:r>
          </w:p>
        </w:tc>
        <w:tc>
          <w:tcPr/>
          <w:p>
            <w:pPr>
              <w:pStyle w:val="Compact"/>
              <w:jc w:val="left"/>
            </w:pPr>
            <w:r>
              <w:rPr>
                <w:rStyle w:val="VerbatimChar"/>
              </w:rPr>
              <w:t xml:space="preserve">strict-origin-when-cross-origin</w:t>
            </w:r>
          </w:p>
        </w:tc>
        <w:tc>
          <w:tcPr/>
          <w:p>
            <w:pPr>
              <w:pStyle w:val="Compact"/>
              <w:jc w:val="left"/>
            </w:pPr>
            <w:r>
              <w:t xml:space="preserve">None</w:t>
            </w:r>
          </w:p>
        </w:tc>
        <w:tc>
          <w:tcPr/>
          <w:p>
            <w:pPr>
              <w:pStyle w:val="Compact"/>
              <w:jc w:val="left"/>
            </w:pPr>
            <w:r>
              <w:t xml:space="preserve">Limits referrer leakage</w:t>
            </w:r>
          </w:p>
        </w:tc>
      </w:tr>
      <w:tr>
        <w:tc>
          <w:tcPr/>
          <w:p>
            <w:pPr>
              <w:pStyle w:val="Compact"/>
              <w:jc w:val="left"/>
            </w:pPr>
            <w:r>
              <w:t xml:space="preserve">Access-Control-Allow-Origin</w:t>
            </w:r>
          </w:p>
        </w:tc>
        <w:tc>
          <w:tcPr/>
          <w:p>
            <w:pPr>
              <w:pStyle w:val="Compact"/>
              <w:jc w:val="left"/>
            </w:pPr>
            <w:r>
              <w:t xml:space="preserve">✅ Present</w:t>
            </w:r>
          </w:p>
        </w:tc>
        <w:tc>
          <w:tcPr/>
          <w:p>
            <w:pPr>
              <w:pStyle w:val="Compact"/>
              <w:jc w:val="left"/>
            </w:pPr>
            <w:r>
              <w:rPr>
                <w:rStyle w:val="VerbatimChar"/>
              </w:rPr>
              <w:t xml:space="preserve">*</w:t>
            </w:r>
          </w:p>
        </w:tc>
        <w:tc>
          <w:tcPr/>
          <w:p>
            <w:pPr>
              <w:pStyle w:val="Compact"/>
              <w:jc w:val="left"/>
            </w:pPr>
            <w:r>
              <w:t xml:space="preserve">Low</w:t>
            </w:r>
          </w:p>
        </w:tc>
        <w:tc>
          <w:tcPr/>
          <w:p>
            <w:pPr>
              <w:pStyle w:val="Compact"/>
              <w:jc w:val="left"/>
            </w:pPr>
            <w:r>
              <w:t xml:space="preserve">Open CORS for public data</w:t>
            </w:r>
          </w:p>
        </w:tc>
      </w:tr>
      <w:tr>
        <w:tc>
          <w:tcPr/>
          <w:p>
            <w:pPr>
              <w:pStyle w:val="Compact"/>
              <w:jc w:val="left"/>
            </w:pPr>
            <w:r>
              <w:t xml:space="preserve">Strict-Transport-Security</w:t>
            </w:r>
          </w:p>
        </w:tc>
        <w:tc>
          <w:tcPr/>
          <w:p>
            <w:pPr>
              <w:pStyle w:val="Compact"/>
              <w:jc w:val="left"/>
            </w:pPr>
            <w:r>
              <w:t xml:space="preserve">❌ Missing</w:t>
            </w:r>
          </w:p>
        </w:tc>
        <w:tc>
          <w:tcPr/>
          <w:p>
            <w:pPr>
              <w:pStyle w:val="Compact"/>
              <w:jc w:val="left"/>
            </w:pPr>
            <w:r>
              <w:t xml:space="preserve">—</w:t>
            </w:r>
          </w:p>
        </w:tc>
        <w:tc>
          <w:tcPr/>
          <w:p>
            <w:pPr>
              <w:pStyle w:val="Compact"/>
              <w:jc w:val="left"/>
            </w:pPr>
            <w:r>
              <w:t xml:space="preserve">🔴 Critical</w:t>
            </w:r>
          </w:p>
        </w:tc>
        <w:tc>
          <w:tcPr/>
          <w:p>
            <w:pPr>
              <w:pStyle w:val="Compact"/>
              <w:jc w:val="left"/>
            </w:pPr>
            <w:r>
              <w:t xml:space="preserve">Vulnerable to SSL stripping</w:t>
            </w:r>
          </w:p>
        </w:tc>
      </w:tr>
      <w:tr>
        <w:tc>
          <w:tcPr/>
          <w:p>
            <w:pPr>
              <w:pStyle w:val="Compact"/>
              <w:jc w:val="left"/>
            </w:pPr>
            <w:r>
              <w:t xml:space="preserve">Content-Security-Policy</w:t>
            </w:r>
          </w:p>
        </w:tc>
        <w:tc>
          <w:tcPr/>
          <w:p>
            <w:pPr>
              <w:pStyle w:val="Compact"/>
              <w:jc w:val="left"/>
            </w:pPr>
            <w:r>
              <w:t xml:space="preserve">❌ Missing</w:t>
            </w:r>
          </w:p>
        </w:tc>
        <w:tc>
          <w:tcPr/>
          <w:p>
            <w:pPr>
              <w:pStyle w:val="Compact"/>
              <w:jc w:val="left"/>
            </w:pPr>
            <w:r>
              <w:t xml:space="preserve">—</w:t>
            </w:r>
          </w:p>
        </w:tc>
        <w:tc>
          <w:tcPr/>
          <w:p>
            <w:pPr>
              <w:pStyle w:val="Compact"/>
              <w:jc w:val="left"/>
            </w:pPr>
            <w:r>
              <w:t xml:space="preserve">🔴 Critical</w:t>
            </w:r>
          </w:p>
        </w:tc>
        <w:tc>
          <w:tcPr/>
          <w:p>
            <w:pPr>
              <w:pStyle w:val="Compact"/>
              <w:jc w:val="left"/>
            </w:pPr>
            <w:r>
              <w:t xml:space="preserve">No XSS injection barrier</w:t>
            </w:r>
          </w:p>
        </w:tc>
      </w:tr>
      <w:tr>
        <w:tc>
          <w:tcPr/>
          <w:p>
            <w:pPr>
              <w:pStyle w:val="Compact"/>
              <w:jc w:val="left"/>
            </w:pPr>
            <w:r>
              <w:t xml:space="preserve">X-Frame-Options</w:t>
            </w:r>
          </w:p>
        </w:tc>
        <w:tc>
          <w:tcPr/>
          <w:p>
            <w:pPr>
              <w:pStyle w:val="Compact"/>
              <w:jc w:val="left"/>
            </w:pPr>
            <w:r>
              <w:t xml:space="preserve">❌ Missing</w:t>
            </w:r>
          </w:p>
        </w:tc>
        <w:tc>
          <w:tcPr/>
          <w:p>
            <w:pPr>
              <w:pStyle w:val="Compact"/>
              <w:jc w:val="left"/>
            </w:pPr>
            <w:r>
              <w:t xml:space="preserve">—</w:t>
            </w:r>
          </w:p>
        </w:tc>
        <w:tc>
          <w:tcPr/>
          <w:p>
            <w:pPr>
              <w:pStyle w:val="Compact"/>
              <w:jc w:val="left"/>
            </w:pPr>
            <w:r>
              <w:t xml:space="preserve">🔴 Should add</w:t>
            </w:r>
          </w:p>
        </w:tc>
        <w:tc>
          <w:tcPr/>
          <w:p>
            <w:pPr>
              <w:pStyle w:val="Compact"/>
              <w:jc w:val="left"/>
            </w:pPr>
            <w:r>
              <w:t xml:space="preserve">Clickjacking risk</w:t>
            </w:r>
          </w:p>
        </w:tc>
      </w:tr>
    </w:tbl>
    <w:p>
      <w:pPr>
        <w:pStyle w:val="BodyText"/>
      </w:pPr>
      <w:r>
        <w:rPr>
          <w:bCs/>
          <w:b/>
        </w:rPr>
        <w:t xml:space="preserve">Table 1: Security Headers Checklist.</w:t>
      </w:r>
      <w:r>
        <w:t xml:space="preserve"> </w:t>
      </w:r>
      <w:r>
        <w:t xml:space="preserve">Present headers indicate baseline awareness; three critical omissions expose the platform to well-documented attack vectors. Source: curl response analysis</w:t>
      </w:r>
      <w:r>
        <w:t xml:space="preserve"> </w:t>
      </w:r>
      <w:fldSimple w:instr="NOTEREF _Ref_Footnote_1 \h \f">
        <w:r>
          <w:rPr>
            <w:vertAlign w:val="superscript"/>
          </w:rPr>
          <w:t>1</w:t>
        </w:r>
      </w:fldSimple>
      <w:r>
        <w:t xml:space="preserve">.</w:t>
      </w:r>
    </w:p>
    <w:p>
      <w:pPr>
        <w:pStyle w:val="BodyText"/>
      </w:pPr>
      <w:r>
        <w:rPr>
          <w:bCs/>
          <w:b/>
        </w:rPr>
        <w:t xml:space="preserve">HTTP Strict Transport Security (HSTS)</w:t>
      </w:r>
      <w:r>
        <w:t xml:space="preserve"> </w:t>
      </w:r>
      <w:r>
        <w:t xml:space="preserve">is the most consequential absence. Without</w:t>
      </w:r>
      <w:r>
        <w:t xml:space="preserve"> </w:t>
      </w:r>
      <w:r>
        <w:rPr>
          <w:rStyle w:val="VerbatimChar"/>
        </w:rPr>
        <w:t xml:space="preserve">Strict-Transport-Security: max-age=31536000; includeSubDomains; preload</w:t>
      </w:r>
      <w:r>
        <w:t xml:space="preserve">, an attacker on a shared network can downgrade HTTPS connections to HTTP via SSL stripping—stripping the secure protocol and intercepting traffic in plaintext. For a government platform that asks users to input feedback (including email addresses) through a form on the</w:t>
      </w:r>
      <w:r>
        <w:t xml:space="preserve"> </w:t>
      </w:r>
      <w:r>
        <w:rPr>
          <w:rStyle w:val="VerbatimChar"/>
        </w:rPr>
        <w:t xml:space="preserve">/partners</w:t>
      </w:r>
      <w:r>
        <w:t xml:space="preserve"> </w:t>
      </w:r>
      <w:r>
        <w:t xml:space="preserve">page, this is a direct vector for credential and data interception. The fix is a single line added at the Cloudflare edge: HSTS should be enabled in Cloudflare’s SSL/TLS settings with a minimum max-age of one year and the preload directive.</w:t>
      </w:r>
    </w:p>
    <w:p>
      <w:pPr>
        <w:pStyle w:val="BodyText"/>
      </w:pPr>
      <w:r>
        <w:rPr>
          <w:bCs/>
          <w:b/>
        </w:rPr>
        <w:t xml:space="preserve">Content-Security-Policy (CSP)</w:t>
      </w:r>
      <w:r>
        <w:t xml:space="preserve"> </w:t>
      </w:r>
      <w:r>
        <w:t xml:space="preserve">is the second critical gap. SCITI loads Google Fonts, Leaflet map tiles, and Cloudflare analytics scripts from external origins. Without a CSP, any Cross-Site Scripting (XSS) vulnerability—whether in React’s rendering pipeline, a third-party dependency, or user-generated content added in the future—allows arbitrary script execution with full access to the page’s DOM, localStorage (where dark mode preference is stored), and any authenticated state. A baseline policy such as</w:t>
      </w:r>
      <w:r>
        <w:t xml:space="preserve"> </w:t>
      </w:r>
      <w:r>
        <w:rPr>
          <w:rStyle w:val="VerbatimChar"/>
        </w:rPr>
        <w:t xml:space="preserve">default-src 'self'; script-src 'self' 'unsafe-inline' static.cloudflareinsights.com; style-src 'self' fonts.googleapis.com 'unsafe-inline'; font-src fonts.gstatic.com; img-src 'self' *.tile.openstreetmap.org; connect-src 'self' cloudflareinsights.com</w:t>
      </w:r>
      <w:r>
        <w:t xml:space="preserve"> </w:t>
      </w:r>
      <w:r>
        <w:t xml:space="preserve">would substantially reduce the attack surface while accommodating the current third-party dependencies</w:t>
      </w:r>
      <w:r>
        <w:t xml:space="preserve"> </w:t>
      </w:r>
      <w:r>
        <w:rPr>
          <w:vertAlign w:val="superscript"/>
        </w:rPr>
        <w:footnoteReference w:id="12"/>
      </w:r>
      <w:r>
        <w:t xml:space="preserve">.</w:t>
      </w:r>
    </w:p>
    <w:p>
      <w:pPr>
        <w:pStyle w:val="BodyText"/>
      </w:pPr>
      <w:r>
        <w:rPr>
          <w:bCs/>
          <w:b/>
        </w:rPr>
        <w:t xml:space="preserve">X-Frame-Options</w:t>
      </w:r>
      <w:r>
        <w:t xml:space="preserve"> </w:t>
      </w:r>
      <w:r>
        <w:t xml:space="preserve">mitigates clickjacking by preventing the site from being embedded in</w:t>
      </w:r>
      <w:r>
        <w:t xml:space="preserve"> </w:t>
      </w:r>
      <w:r>
        <w:rPr>
          <w:rStyle w:val="VerbatimChar"/>
        </w:rPr>
        <w:t xml:space="preserve">&lt;iframe&gt;</w:t>
      </w:r>
      <w:r>
        <w:t xml:space="preserve"> </w:t>
      </w:r>
      <w:r>
        <w:t xml:space="preserve">elements on attacker-controlled pages. While less critical for a read-only data platform than for a transactional site, the absence is still notable given that SCITI could be framed to display misleading rankings or capture user interactions. A simple</w:t>
      </w:r>
      <w:r>
        <w:t xml:space="preserve"> </w:t>
      </w:r>
      <w:r>
        <w:rPr>
          <w:rStyle w:val="VerbatimChar"/>
        </w:rPr>
        <w:t xml:space="preserve">X-Frame-Options: DENY</w:t>
      </w:r>
      <w:r>
        <w:t xml:space="preserve"> </w:t>
      </w:r>
      <w:r>
        <w:t xml:space="preserve">or the CSP equivalent</w:t>
      </w:r>
      <w:r>
        <w:t xml:space="preserve"> </w:t>
      </w:r>
      <w:r>
        <w:rPr>
          <w:rStyle w:val="VerbatimChar"/>
        </w:rPr>
        <w:t xml:space="preserve">frame-ancestors 'none'</w:t>
      </w:r>
      <w:r>
        <w:t xml:space="preserve"> </w:t>
      </w:r>
      <w:r>
        <w:t xml:space="preserve">closes this vector.</w:t>
      </w:r>
    </w:p>
    <w:p>
      <w:pPr>
        <w:pStyle w:val="BodyText"/>
      </w:pPr>
      <w:r>
        <w:t xml:space="preserve">These three headers can all be configured at the Cloudflare layer without code changes. Their simultaneous absence suggests either a configuration oversight or a deliberate decision to minimize header complexity that has not been revisited since launch.</w:t>
      </w:r>
    </w:p>
    <w:bookmarkEnd w:id="60"/>
    <w:bookmarkStart w:id="61" w:name="X1e612789dc4a0a94e6e4ffb9a1668d5712ad3cc"/>
    <w:p>
      <w:pPr>
        <w:pStyle w:val="Heading4"/>
      </w:pPr>
      <w:r>
        <w:t xml:space="preserve">2.2.3 PDPA Compliance Claimed but Cloudflare Beacon Present</w:t>
      </w:r>
    </w:p>
    <w:p>
      <w:pPr>
        <w:pStyle w:val="FirstParagraph"/>
      </w:pPr>
      <w:r>
        <w:t xml:space="preserve">SCITI’s footer and methodology pages emphasize transparency and the absence of tracking. Yet the curl responses reveal</w:t>
      </w:r>
      <w:r>
        <w:t xml:space="preserve"> </w:t>
      </w:r>
      <w:r>
        <w:rPr>
          <w:rStyle w:val="VerbatimChar"/>
        </w:rPr>
        <w:t xml:space="preserve">cloudflareinsights.com</w:t>
      </w:r>
      <w:r>
        <w:t xml:space="preserve"> </w:t>
      </w:r>
      <w:r>
        <w:t xml:space="preserve">beacon scripts embedded in the HTML, and the</w:t>
      </w:r>
      <w:r>
        <w:t xml:space="preserve"> </w:t>
      </w:r>
      <w:r>
        <w:rPr>
          <w:rStyle w:val="VerbatimChar"/>
        </w:rPr>
        <w:t xml:space="preserve">CF-Cache-Status: DYNAMIC</w:t>
      </w:r>
      <w:r>
        <w:t xml:space="preserve"> </w:t>
      </w:r>
      <w:r>
        <w:t xml:space="preserve">header confirms active Cloudflare processing</w:t>
      </w:r>
      <w:r>
        <w:t xml:space="preserve"> </w:t>
      </w:r>
      <w:fldSimple w:instr="NOTEREF _Ref_Footnote_1 \h \f">
        <w:r>
          <w:rPr>
            <w:vertAlign w:val="superscript"/>
          </w:rPr>
          <w:t>1</w:t>
        </w:r>
      </w:fldSimple>
      <w:r>
        <w:t xml:space="preserve">. Cloudflare Analytics collects visitor IP addresses, user agent strings, and browsing patterns—data categories classified as personal data under Thailand’s PDPA B.E. 2562</w:t>
      </w:r>
      <w:r>
        <w:t xml:space="preserve"> </w:t>
      </w:r>
      <w:fldSimple w:instr="NOTEREF _Ref_Footnote_3 \h \f">
        <w:r>
          <w:rPr>
            <w:vertAlign w:val="superscript"/>
          </w:rPr>
          <w:t>3</w:t>
        </w:r>
      </w:fldSimple>
      <w:r>
        <w:t xml:space="preserve">.</w:t>
      </w:r>
    </w:p>
    <w:p>
      <w:pPr>
        <w:pStyle w:val="BodyText"/>
      </w:pPr>
      <w:r>
        <w:t xml:space="preserve">The contradiction is direct: the platform claims no trackers while deploying Cloudflare’s client-side analytics beacon. PDPA compliance requires explicit consent for data collection, a clear privacy notice, and potentially a data processing agreement (DPA) with Cloudflare Inc. None of these were visible during the audit. If SCITI is to maintain its credibility as an open-government initiative, it must either (a) remove the Cloudflare beacon and rely solely on server-side logs that can be anonymized, or (b) implement a cookie consent banner and publish a comprehensive privacy policy that discloses Cloudflare’s role as a data processor. The latter is the standard approach for government sites using Cloudflare globally, but it requires legal review and administrative effort.</w:t>
      </w:r>
    </w:p>
    <w:p>
      <w:r>
        <w:pict>
          <v:rect style="width:0;height:1.5pt" o:hralign="center" o:hrstd="t" o:hr="t"/>
        </w:pict>
      </w:r>
    </w:p>
    <w:bookmarkEnd w:id="61"/>
    <w:bookmarkEnd w:id="62"/>
    <w:bookmarkStart w:id="66" w:name="seo-meta-tags"/>
    <w:p>
      <w:pPr>
        <w:pStyle w:val="Heading3"/>
      </w:pPr>
      <w:r>
        <w:t xml:space="preserve">2.3 SEO &amp; Meta Tags</w:t>
      </w:r>
    </w:p>
    <w:bookmarkStart w:id="63" w:name="X7a2ca27cceb9af1a5526e9656b777e0a0e5b99f"/>
    <w:p>
      <w:pPr>
        <w:pStyle w:val="Heading4"/>
      </w:pPr>
      <w:r>
        <w:t xml:space="preserve">2.3.1 OG Tags, Twitter Cards, Robots, Theme-Color Present</w:t>
      </w:r>
    </w:p>
    <w:p>
      <w:pPr>
        <w:pStyle w:val="FirstParagraph"/>
      </w:pPr>
      <w:r>
        <w:t xml:space="preserve">SCITI’s</w:t>
      </w:r>
      <w:r>
        <w:t xml:space="preserve"> </w:t>
      </w:r>
      <w:r>
        <w:rPr>
          <w:rStyle w:val="VerbatimChar"/>
        </w:rPr>
        <w:t xml:space="preserve">&lt;head&gt;</w:t>
      </w:r>
      <w:r>
        <w:t xml:space="preserve"> </w:t>
      </w:r>
      <w:r>
        <w:t xml:space="preserve">section is comprehensively equipped with social sharing metadata. Open Graph tags (</w:t>
      </w:r>
      <w:r>
        <w:rPr>
          <w:rStyle w:val="VerbatimChar"/>
        </w:rPr>
        <w:t xml:space="preserve">og:title</w:t>
      </w:r>
      <w:r>
        <w:t xml:space="preserve">,</w:t>
      </w:r>
      <w:r>
        <w:t xml:space="preserve"> </w:t>
      </w:r>
      <w:r>
        <w:rPr>
          <w:rStyle w:val="VerbatimChar"/>
        </w:rPr>
        <w:t xml:space="preserve">og:description</w:t>
      </w:r>
      <w:r>
        <w:t xml:space="preserve">,</w:t>
      </w:r>
      <w:r>
        <w:t xml:space="preserve"> </w:t>
      </w:r>
      <w:r>
        <w:rPr>
          <w:rStyle w:val="VerbatimChar"/>
        </w:rPr>
        <w:t xml:space="preserve">og:image</w:t>
      </w:r>
      <w:r>
        <w:t xml:space="preserve">,</w:t>
      </w:r>
      <w:r>
        <w:t xml:space="preserve"> </w:t>
      </w:r>
      <w:r>
        <w:rPr>
          <w:rStyle w:val="VerbatimChar"/>
        </w:rPr>
        <w:t xml:space="preserve">og:url</w:t>
      </w:r>
      <w:r>
        <w:t xml:space="preserve">,</w:t>
      </w:r>
      <w:r>
        <w:t xml:space="preserve"> </w:t>
      </w:r>
      <w:r>
        <w:rPr>
          <w:rStyle w:val="VerbatimChar"/>
        </w:rPr>
        <w:t xml:space="preserve">og:type</w:t>
      </w:r>
      <w:r>
        <w:t xml:space="preserve">) are all present, as are Twitter Card tags (</w:t>
      </w:r>
      <w:r>
        <w:rPr>
          <w:rStyle w:val="VerbatimChar"/>
        </w:rPr>
        <w:t xml:space="preserve">twitter:card</w:t>
      </w:r>
      <w:r>
        <w:t xml:space="preserve">,</w:t>
      </w:r>
      <w:r>
        <w:t xml:space="preserve"> </w:t>
      </w:r>
      <w:r>
        <w:rPr>
          <w:rStyle w:val="VerbatimChar"/>
        </w:rPr>
        <w:t xml:space="preserve">twitter:title</w:t>
      </w:r>
      <w:r>
        <w:t xml:space="preserve">,</w:t>
      </w:r>
      <w:r>
        <w:t xml:space="preserve"> </w:t>
      </w:r>
      <w:r>
        <w:rPr>
          <w:rStyle w:val="VerbatimChar"/>
        </w:rPr>
        <w:t xml:space="preserve">twitter:description</w:t>
      </w:r>
      <w:r>
        <w:t xml:space="preserve">,</w:t>
      </w:r>
      <w:r>
        <w:t xml:space="preserve"> </w:t>
      </w:r>
      <w:r>
        <w:rPr>
          <w:rStyle w:val="VerbatimChar"/>
        </w:rPr>
        <w:t xml:space="preserve">twitter:image</w:t>
      </w:r>
      <w:r>
        <w:t xml:space="preserve">). The</w:t>
      </w:r>
      <w:r>
        <w:t xml:space="preserve"> </w:t>
      </w:r>
      <w:r>
        <w:rPr>
          <w:rStyle w:val="VerbatimChar"/>
        </w:rPr>
        <w:t xml:space="preserve">robots</w:t>
      </w:r>
      <w:r>
        <w:t xml:space="preserve"> </w:t>
      </w:r>
      <w:r>
        <w:t xml:space="preserve">meta is set to</w:t>
      </w:r>
      <w:r>
        <w:t xml:space="preserve"> </w:t>
      </w:r>
      <w:r>
        <w:rPr>
          <w:rStyle w:val="VerbatimChar"/>
        </w:rPr>
        <w:t xml:space="preserve">index, follow</w:t>
      </w:r>
      <w:r>
        <w:t xml:space="preserve">, and</w:t>
      </w:r>
      <w:r>
        <w:t xml:space="preserve"> </w:t>
      </w:r>
      <w:r>
        <w:rPr>
          <w:rStyle w:val="VerbatimChar"/>
        </w:rPr>
        <w:t xml:space="preserve">theme-color</w:t>
      </w:r>
      <w:r>
        <w:t xml:space="preserve"> </w:t>
      </w:r>
      <w:r>
        <w:t xml:space="preserve">is configured to</w:t>
      </w:r>
      <w:r>
        <w:t xml:space="preserve"> </w:t>
      </w:r>
      <w:r>
        <w:rPr>
          <w:rStyle w:val="VerbatimChar"/>
        </w:rPr>
        <w:t xml:space="preserve">#0F2F53</w:t>
      </w:r>
      <w:r>
        <w:t xml:space="preserve">—the site’s navy brand color</w:t>
      </w:r>
      <w:r>
        <w:t xml:space="preserve"> </w:t>
      </w:r>
      <w:fldSimple w:instr="NOTEREF _Ref_Footnote_1 \h \f">
        <w:r>
          <w:rPr>
            <w:vertAlign w:val="superscript"/>
          </w:rPr>
          <w:t>1</w:t>
        </w:r>
      </w:fldSimple>
      <w:r>
        <w:t xml:space="preserve">.</w:t>
      </w:r>
    </w:p>
    <w:tbl>
      <w:tblPr>
        <w:tblStyle w:val="Table"/>
        <w:tblW w:type="pct" w:w="5000"/>
        <w:tblLook w:firstRow="1" w:lastRow="0" w:firstColumn="0" w:lastColumn="0" w:noHBand="0" w:noVBand="0" w:val="0020"/>
      </w:tblPr>
      <w:tblGrid>
        <w:gridCol w:w="2013"/>
        <w:gridCol w:w="1208"/>
        <w:gridCol w:w="2550"/>
        <w:gridCol w:w="2147"/>
      </w:tblGrid>
      <w:tr>
        <w:trPr>
          <w:tblHeader w:val="true"/>
        </w:trPr>
        <w:tc>
          <w:tcPr/>
          <w:p>
            <w:pPr>
              <w:pStyle w:val="Compact"/>
              <w:jc w:val="left"/>
            </w:pPr>
            <w:r>
              <w:t xml:space="preserve">Tag / Element</w:t>
            </w:r>
          </w:p>
        </w:tc>
        <w:tc>
          <w:tcPr/>
          <w:p>
            <w:pPr>
              <w:pStyle w:val="Compact"/>
              <w:jc w:val="left"/>
            </w:pPr>
            <w:r>
              <w:t xml:space="preserve">Present</w:t>
            </w:r>
          </w:p>
        </w:tc>
        <w:tc>
          <w:tcPr/>
          <w:p>
            <w:pPr>
              <w:pStyle w:val="Compact"/>
              <w:jc w:val="left"/>
            </w:pPr>
            <w:r>
              <w:t xml:space="preserve">Quality Assessment</w:t>
            </w:r>
          </w:p>
        </w:tc>
        <w:tc>
          <w:tcPr/>
          <w:p>
            <w:pPr>
              <w:pStyle w:val="Compact"/>
              <w:jc w:val="left"/>
            </w:pPr>
            <w:r>
              <w:t xml:space="preserve">Recommendation</w:t>
            </w:r>
          </w:p>
        </w:tc>
      </w:tr>
      <w:tr>
        <w:tc>
          <w:tcPr/>
          <w:p>
            <w:pPr>
              <w:pStyle w:val="Compact"/>
              <w:jc w:val="left"/>
            </w:pPr>
            <w:r>
              <w:rPr>
                <w:rStyle w:val="VerbatimChar"/>
              </w:rPr>
              <w:t xml:space="preserve">&lt;meta name="description"&gt;</w:t>
            </w:r>
          </w:p>
        </w:tc>
        <w:tc>
          <w:tcPr/>
          <w:p>
            <w:pPr>
              <w:pStyle w:val="Compact"/>
              <w:jc w:val="left"/>
            </w:pPr>
            <w:r>
              <w:t xml:space="preserve">✅ Yes</w:t>
            </w:r>
          </w:p>
        </w:tc>
        <w:tc>
          <w:tcPr/>
          <w:p>
            <w:pPr>
              <w:pStyle w:val="Compact"/>
              <w:jc w:val="left"/>
            </w:pPr>
            <w:r>
              <w:t xml:space="preserve">Generic; identical across all pages</w:t>
            </w:r>
          </w:p>
        </w:tc>
        <w:tc>
          <w:tcPr/>
          <w:p>
            <w:pPr>
              <w:pStyle w:val="Compact"/>
              <w:jc w:val="left"/>
            </w:pPr>
            <w:r>
              <w:t xml:space="preserve">Add city-specific descriptions on dossier pages</w:t>
            </w:r>
          </w:p>
        </w:tc>
      </w:tr>
      <w:tr>
        <w:tc>
          <w:tcPr/>
          <w:p>
            <w:pPr>
              <w:pStyle w:val="Compact"/>
              <w:jc w:val="left"/>
            </w:pPr>
            <w:r>
              <w:rPr>
                <w:rStyle w:val="VerbatimChar"/>
              </w:rPr>
              <w:t xml:space="preserve">og:title</w:t>
            </w:r>
          </w:p>
        </w:tc>
        <w:tc>
          <w:tcPr/>
          <w:p>
            <w:pPr>
              <w:pStyle w:val="Compact"/>
              <w:jc w:val="left"/>
            </w:pPr>
            <w:r>
              <w:t xml:space="preserve">✅ Yes</w:t>
            </w:r>
          </w:p>
        </w:tc>
        <w:tc>
          <w:tcPr/>
          <w:p>
            <w:pPr>
              <w:pStyle w:val="Compact"/>
              <w:jc w:val="left"/>
            </w:pPr>
            <w:r>
              <w:t xml:space="preserve">Good; consistent with page title</w:t>
            </w:r>
          </w:p>
        </w:tc>
        <w:tc>
          <w:tcPr/>
          <w:p>
            <w:pPr>
              <w:pStyle w:val="Compact"/>
              <w:jc w:val="left"/>
            </w:pPr>
            <w:r>
              <w:t xml:space="preserve">—</w:t>
            </w:r>
          </w:p>
        </w:tc>
      </w:tr>
      <w:tr>
        <w:tc>
          <w:tcPr/>
          <w:p>
            <w:pPr>
              <w:pStyle w:val="Compact"/>
              <w:jc w:val="left"/>
            </w:pPr>
            <w:r>
              <w:rPr>
                <w:rStyle w:val="VerbatimChar"/>
              </w:rPr>
              <w:t xml:space="preserve">og:description</w:t>
            </w:r>
          </w:p>
        </w:tc>
        <w:tc>
          <w:tcPr/>
          <w:p>
            <w:pPr>
              <w:pStyle w:val="Compact"/>
              <w:jc w:val="left"/>
            </w:pPr>
            <w:r>
              <w:t xml:space="preserve">✅ Yes</w:t>
            </w:r>
          </w:p>
        </w:tc>
        <w:tc>
          <w:tcPr/>
          <w:p>
            <w:pPr>
              <w:pStyle w:val="Compact"/>
              <w:jc w:val="left"/>
            </w:pPr>
            <w:r>
              <w:t xml:space="preserve">Duplicates meta description</w:t>
            </w:r>
          </w:p>
        </w:tc>
        <w:tc>
          <w:tcPr/>
          <w:p>
            <w:pPr>
              <w:pStyle w:val="Compact"/>
              <w:jc w:val="left"/>
            </w:pPr>
            <w:r>
              <w:t xml:space="preserve">Customize per city dossier</w:t>
            </w:r>
          </w:p>
        </w:tc>
      </w:tr>
      <w:tr>
        <w:tc>
          <w:tcPr/>
          <w:p>
            <w:pPr>
              <w:pStyle w:val="Compact"/>
              <w:jc w:val="left"/>
            </w:pPr>
            <w:r>
              <w:rPr>
                <w:rStyle w:val="VerbatimChar"/>
              </w:rPr>
              <w:t xml:space="preserve">og:image</w:t>
            </w:r>
          </w:p>
        </w:tc>
        <w:tc>
          <w:tcPr/>
          <w:p>
            <w:pPr>
              <w:pStyle w:val="Compact"/>
              <w:jc w:val="left"/>
            </w:pPr>
            <w:r>
              <w:t xml:space="preserve">✅ Yes</w:t>
            </w:r>
          </w:p>
        </w:tc>
        <w:tc>
          <w:tcPr/>
          <w:p>
            <w:pPr>
              <w:pStyle w:val="Compact"/>
              <w:jc w:val="left"/>
            </w:pPr>
            <w:r>
              <w:t xml:space="preserve">1182×1182 logo at high resolution</w:t>
            </w:r>
          </w:p>
        </w:tc>
        <w:tc>
          <w:tcPr/>
          <w:p>
            <w:pPr>
              <w:pStyle w:val="Compact"/>
              <w:jc w:val="left"/>
            </w:pPr>
            <w:r>
              <w:t xml:space="preserve">Good for social sharing</w:t>
            </w:r>
          </w:p>
        </w:tc>
      </w:tr>
      <w:tr>
        <w:tc>
          <w:tcPr/>
          <w:p>
            <w:pPr>
              <w:pStyle w:val="Compact"/>
              <w:jc w:val="left"/>
            </w:pPr>
            <w:r>
              <w:rPr>
                <w:rStyle w:val="VerbatimChar"/>
              </w:rPr>
              <w:t xml:space="preserve">og:url</w:t>
            </w:r>
          </w:p>
        </w:tc>
        <w:tc>
          <w:tcPr/>
          <w:p>
            <w:pPr>
              <w:pStyle w:val="Compact"/>
              <w:jc w:val="left"/>
            </w:pPr>
            <w:r>
              <w:t xml:space="preserve">✅ Yes</w:t>
            </w:r>
          </w:p>
        </w:tc>
        <w:tc>
          <w:tcPr/>
          <w:p>
            <w:pPr>
              <w:pStyle w:val="Compact"/>
              <w:jc w:val="left"/>
            </w:pPr>
            <w:r>
              <w:t xml:space="preserve">Canonical URL present</w:t>
            </w:r>
          </w:p>
        </w:tc>
        <w:tc>
          <w:tcPr/>
          <w:p>
            <w:pPr>
              <w:pStyle w:val="Compact"/>
              <w:jc w:val="left"/>
            </w:pPr>
            <w:r>
              <w:t xml:space="preserve">Ensure SPA router updates dynamically</w:t>
            </w:r>
          </w:p>
        </w:tc>
      </w:tr>
      <w:tr>
        <w:tc>
          <w:tcPr/>
          <w:p>
            <w:pPr>
              <w:pStyle w:val="Compact"/>
              <w:jc w:val="left"/>
            </w:pPr>
            <w:r>
              <w:rPr>
                <w:rStyle w:val="VerbatimChar"/>
              </w:rPr>
              <w:t xml:space="preserve">twitter:card</w:t>
            </w:r>
          </w:p>
        </w:tc>
        <w:tc>
          <w:tcPr/>
          <w:p>
            <w:pPr>
              <w:pStyle w:val="Compact"/>
              <w:jc w:val="left"/>
            </w:pPr>
            <w:r>
              <w:t xml:space="preserve">✅ Yes</w:t>
            </w:r>
          </w:p>
        </w:tc>
        <w:tc>
          <w:tcPr/>
          <w:p>
            <w:pPr>
              <w:pStyle w:val="Compact"/>
              <w:jc w:val="left"/>
            </w:pPr>
            <w:r>
              <w:rPr>
                <w:rStyle w:val="VerbatimChar"/>
              </w:rPr>
              <w:t xml:space="preserve">summary_large_image</w:t>
            </w:r>
          </w:p>
        </w:tc>
        <w:tc>
          <w:tcPr/>
          <w:p>
            <w:pPr>
              <w:pStyle w:val="Compact"/>
              <w:jc w:val="left"/>
            </w:pPr>
            <w:r>
              <w:t xml:space="preserve">Optimal for visual engagement</w:t>
            </w:r>
          </w:p>
        </w:tc>
      </w:tr>
      <w:tr>
        <w:tc>
          <w:tcPr/>
          <w:p>
            <w:pPr>
              <w:pStyle w:val="Compact"/>
              <w:jc w:val="left"/>
            </w:pPr>
            <w:r>
              <w:rPr>
                <w:rStyle w:val="VerbatimChar"/>
              </w:rPr>
              <w:t xml:space="preserve">robots</w:t>
            </w:r>
          </w:p>
        </w:tc>
        <w:tc>
          <w:tcPr/>
          <w:p>
            <w:pPr>
              <w:pStyle w:val="Compact"/>
              <w:jc w:val="left"/>
            </w:pPr>
            <w:r>
              <w:t xml:space="preserve">✅ Yes</w:t>
            </w:r>
          </w:p>
        </w:tc>
        <w:tc>
          <w:tcPr/>
          <w:p>
            <w:pPr>
              <w:pStyle w:val="Compact"/>
              <w:jc w:val="left"/>
            </w:pPr>
            <w:r>
              <w:rPr>
                <w:rStyle w:val="VerbatimChar"/>
              </w:rPr>
              <w:t xml:space="preserve">index, follow</w:t>
            </w:r>
          </w:p>
        </w:tc>
        <w:tc>
          <w:tcPr/>
          <w:p>
            <w:pPr>
              <w:pStyle w:val="Compact"/>
              <w:jc w:val="left"/>
            </w:pPr>
            <w:r>
              <w:t xml:space="preserve">Correct for public content</w:t>
            </w:r>
          </w:p>
        </w:tc>
      </w:tr>
      <w:tr>
        <w:tc>
          <w:tcPr/>
          <w:p>
            <w:pPr>
              <w:pStyle w:val="Compact"/>
              <w:jc w:val="left"/>
            </w:pPr>
            <w:r>
              <w:rPr>
                <w:rStyle w:val="VerbatimChar"/>
              </w:rPr>
              <w:t xml:space="preserve">theme-color</w:t>
            </w:r>
          </w:p>
        </w:tc>
        <w:tc>
          <w:tcPr/>
          <w:p>
            <w:pPr>
              <w:pStyle w:val="Compact"/>
              <w:jc w:val="left"/>
            </w:pPr>
            <w:r>
              <w:t xml:space="preserve">✅ Yes</w:t>
            </w:r>
          </w:p>
        </w:tc>
        <w:tc>
          <w:tcPr/>
          <w:p>
            <w:pPr>
              <w:pStyle w:val="Compact"/>
              <w:jc w:val="left"/>
            </w:pPr>
            <w:r>
              <w:rPr>
                <w:rStyle w:val="VerbatimChar"/>
              </w:rPr>
              <w:t xml:space="preserve">#0F2F53</w:t>
            </w:r>
            <w:r>
              <w:t xml:space="preserve"> </w:t>
            </w:r>
            <w:r>
              <w:t xml:space="preserve">navy</w:t>
            </w:r>
          </w:p>
        </w:tc>
        <w:tc>
          <w:tcPr/>
          <w:p>
            <w:pPr>
              <w:pStyle w:val="Compact"/>
              <w:jc w:val="left"/>
            </w:pPr>
            <w:r>
              <w:t xml:space="preserve">Consistent with brand</w:t>
            </w:r>
          </w:p>
        </w:tc>
      </w:tr>
      <w:tr>
        <w:tc>
          <w:tcPr/>
          <w:p>
            <w:pPr>
              <w:pStyle w:val="Compact"/>
              <w:jc w:val="left"/>
            </w:pPr>
            <w:r>
              <w:rPr>
                <w:rStyle w:val="VerbatimChar"/>
              </w:rPr>
              <w:t xml:space="preserve">keywords</w:t>
            </w:r>
          </w:p>
        </w:tc>
        <w:tc>
          <w:tcPr/>
          <w:p>
            <w:pPr>
              <w:pStyle w:val="Compact"/>
              <w:jc w:val="left"/>
            </w:pPr>
            <w:r>
              <w:t xml:space="preserve">✅ Yes</w:t>
            </w:r>
          </w:p>
        </w:tc>
        <w:tc>
          <w:tcPr/>
          <w:p>
            <w:pPr>
              <w:pStyle w:val="Compact"/>
              <w:jc w:val="left"/>
            </w:pPr>
            <w:r>
              <w:t xml:space="preserve">Basic set present</w:t>
            </w:r>
          </w:p>
        </w:tc>
        <w:tc>
          <w:tcPr/>
          <w:p>
            <w:pPr>
              <w:pStyle w:val="Compact"/>
              <w:jc w:val="left"/>
            </w:pPr>
            <w:r>
              <w:t xml:space="preserve">Expand with city-specific terms</w:t>
            </w:r>
          </w:p>
        </w:tc>
      </w:tr>
      <w:tr>
        <w:tc>
          <w:tcPr/>
          <w:p>
            <w:pPr>
              <w:pStyle w:val="Compact"/>
              <w:jc w:val="left"/>
            </w:pPr>
            <w:r>
              <w:t xml:space="preserve">Schema.org JSON-LD</w:t>
            </w:r>
          </w:p>
        </w:tc>
        <w:tc>
          <w:tcPr/>
          <w:p>
            <w:pPr>
              <w:pStyle w:val="Compact"/>
              <w:jc w:val="left"/>
            </w:pPr>
            <w:r>
              <w:t xml:space="preserve">❌ No</w:t>
            </w:r>
          </w:p>
        </w:tc>
        <w:tc>
          <w:tcPr/>
          <w:p>
            <w:pPr>
              <w:pStyle w:val="Compact"/>
              <w:jc w:val="left"/>
            </w:pPr>
            <w:r>
              <w:t xml:space="preserve">—</w:t>
            </w:r>
          </w:p>
        </w:tc>
        <w:tc>
          <w:tcPr/>
          <w:p>
            <w:pPr>
              <w:pStyle w:val="Compact"/>
              <w:jc w:val="left"/>
            </w:pPr>
            <w:r>
              <w:t xml:space="preserve">Add</w:t>
            </w:r>
            <w:r>
              <w:t xml:space="preserve"> </w:t>
            </w:r>
            <w:r>
              <w:rPr>
                <w:rStyle w:val="VerbatimChar"/>
              </w:rPr>
              <w:t xml:space="preserve">WebSite</w:t>
            </w:r>
            <w:r>
              <w:t xml:space="preserve">,</w:t>
            </w:r>
            <w:r>
              <w:t xml:space="preserve"> </w:t>
            </w:r>
            <w:r>
              <w:rPr>
                <w:rStyle w:val="VerbatimChar"/>
              </w:rPr>
              <w:t xml:space="preserve">Organization</w:t>
            </w:r>
            <w:r>
              <w:t xml:space="preserve">,</w:t>
            </w:r>
            <w:r>
              <w:t xml:space="preserve"> </w:t>
            </w:r>
            <w:r>
              <w:rPr>
                <w:rStyle w:val="VerbatimChar"/>
              </w:rPr>
              <w:t xml:space="preserve">City</w:t>
            </w:r>
            <w:r>
              <w:t xml:space="preserve"> </w:t>
            </w:r>
            <w:r>
              <w:t xml:space="preserve">schemas</w:t>
            </w:r>
          </w:p>
        </w:tc>
      </w:tr>
    </w:tbl>
    <w:p>
      <w:pPr>
        <w:pStyle w:val="BodyText"/>
      </w:pPr>
      <w:r>
        <w:rPr>
          <w:bCs/>
          <w:b/>
        </w:rPr>
        <w:t xml:space="preserve">Table 2: SEO Meta Tags Audit.</w:t>
      </w:r>
      <w:r>
        <w:t xml:space="preserve"> </w:t>
      </w:r>
      <w:r>
        <w:t xml:space="preserve">Core social and indexing metadata is well implemented, but city-specific customization and structured data are absent. Source: manual</w:t>
      </w:r>
      <w:r>
        <w:t xml:space="preserve"> </w:t>
      </w:r>
      <w:r>
        <w:rPr>
          <w:rStyle w:val="VerbatimChar"/>
        </w:rPr>
        <w:t xml:space="preserve">&lt;head&gt;</w:t>
      </w:r>
      <w:r>
        <w:t xml:space="preserve"> </w:t>
      </w:r>
      <w:r>
        <w:t xml:space="preserve">inspection</w:t>
      </w:r>
      <w:r>
        <w:t xml:space="preserve"> </w:t>
      </w:r>
      <w:fldSimple w:instr="NOTEREF _Ref_Footnote_1 \h \f">
        <w:r>
          <w:rPr>
            <w:vertAlign w:val="superscript"/>
          </w:rPr>
          <w:t>1</w:t>
        </w:r>
      </w:fldSimple>
      <w:r>
        <w:t xml:space="preserve">.</w:t>
      </w:r>
    </w:p>
    <w:p>
      <w:pPr>
        <w:pStyle w:val="BodyText"/>
      </w:pPr>
      <w:r>
        <w:t xml:space="preserve">This metadata foundation enables proper rendering when SCITI links are shared on Facebook, LINE (Thailand’s dominant messaging platform), Twitter/X, and LinkedIn. The 1182×1182</w:t>
      </w:r>
      <w:r>
        <w:t xml:space="preserve"> </w:t>
      </w:r>
      <w:r>
        <w:rPr>
          <w:rStyle w:val="VerbatimChar"/>
        </w:rPr>
        <w:t xml:space="preserve">og:image</w:t>
      </w:r>
      <w:r>
        <w:t xml:space="preserve"> </w:t>
      </w:r>
      <w:r>
        <w:t xml:space="preserve">is a square logo at sufficient resolution for high-DPI displays. The</w:t>
      </w:r>
      <w:r>
        <w:t xml:space="preserve"> </w:t>
      </w:r>
      <w:r>
        <w:rPr>
          <w:rStyle w:val="VerbatimChar"/>
        </w:rPr>
        <w:t xml:space="preserve">twitter:card: summary_large_image</w:t>
      </w:r>
      <w:r>
        <w:t xml:space="preserve"> </w:t>
      </w:r>
      <w:r>
        <w:t xml:space="preserve">setting maximizes visual impact on X/Twitter timelines. These are correct choices for a platform whose primary distribution channel is likely social sharing among urban policy professionals.</w:t>
      </w:r>
    </w:p>
    <w:bookmarkEnd w:id="63"/>
    <w:bookmarkStart w:id="64" w:name="Xe65fbfa6b34f3909a617515a590cba353af2fce"/>
    <w:p>
      <w:pPr>
        <w:pStyle w:val="Heading4"/>
      </w:pPr>
      <w:r>
        <w:t xml:space="preserve">2.3.2 Meta Description Generic: Needs City-Specific on Dossiers</w:t>
      </w:r>
    </w:p>
    <w:p>
      <w:pPr>
        <w:pStyle w:val="FirstParagraph"/>
      </w:pPr>
      <w:r>
        <w:t xml:space="preserve">The meta description is identical across all pages, including individual city dossiers such as</w:t>
      </w:r>
      <w:r>
        <w:t xml:space="preserve"> </w:t>
      </w:r>
      <w:r>
        <w:rPr>
          <w:rStyle w:val="VerbatimChar"/>
        </w:rPr>
        <w:t xml:space="preserve">/city/phra-ram-4</w:t>
      </w:r>
      <w:r>
        <w:t xml:space="preserve">. This is a missed opportunity. When a user searches Google for</w:t>
      </w:r>
      <w:r>
        <w:t xml:space="preserve"> </w:t>
      </w:r>
      <w:r>
        <w:t xml:space="preserve">“</w:t>
      </w:r>
      <w:r>
        <w:t xml:space="preserve">Phra Ram 4 smart city assessment</w:t>
      </w:r>
      <w:r>
        <w:t xml:space="preserve">”</w:t>
      </w:r>
      <w:r>
        <w:t xml:space="preserve"> </w:t>
      </w:r>
      <w:r>
        <w:t xml:space="preserve">or shares a specific city dossier on social media, the preview text is the same generic description as the homepage. Search engines may interpret this as duplicate content, diluting the ranking potential of individual city pages.</w:t>
      </w:r>
    </w:p>
    <w:p>
      <w:pPr>
        <w:pStyle w:val="BodyText"/>
      </w:pPr>
      <w:r>
        <w:t xml:space="preserve">The fix requires the React router to inject city-specific descriptions into the</w:t>
      </w:r>
      <w:r>
        <w:t xml:space="preserve"> </w:t>
      </w:r>
      <w:r>
        <w:rPr>
          <w:rStyle w:val="VerbatimChar"/>
        </w:rPr>
        <w:t xml:space="preserve">&lt;head&gt;</w:t>
      </w:r>
      <w:r>
        <w:t xml:space="preserve"> </w:t>
      </w:r>
      <w:r>
        <w:t xml:space="preserve">when a dossier route mounts. For Phra Ram 4, the description should read something like:</w:t>
      </w:r>
      <w:r>
        <w:t xml:space="preserve"> </w:t>
      </w:r>
      <w:r>
        <w:t xml:space="preserve">“</w:t>
      </w:r>
      <w:r>
        <w:t xml:space="preserve">Phra Ram 4 Smart City Assessment — 7 pillar analysis, evidence-based scoring, and actionable next steps for Bangkok’s emerging smart district.</w:t>
      </w:r>
      <w:r>
        <w:t xml:space="preserve">”</w:t>
      </w:r>
      <w:r>
        <w:t xml:space="preserve"> </w:t>
      </w:r>
      <w:r>
        <w:t xml:space="preserve">This is a straightforward enhancement using React Helmet Async or Vite’s</w:t>
      </w:r>
      <w:r>
        <w:t xml:space="preserve"> </w:t>
      </w:r>
      <w:r>
        <w:rPr>
          <w:rStyle w:val="VerbatimChar"/>
        </w:rPr>
        <w:t xml:space="preserve">transformIndexHtml</w:t>
      </w:r>
      <w:r>
        <w:t xml:space="preserve"> </w:t>
      </w:r>
      <w:r>
        <w:t xml:space="preserve">hook, and it would measurably improve click-through rates from search results.</w:t>
      </w:r>
    </w:p>
    <w:bookmarkEnd w:id="64"/>
    <w:bookmarkStart w:id="65" w:name="no-schema.org-structured-data"/>
    <w:p>
      <w:pPr>
        <w:pStyle w:val="Heading4"/>
      </w:pPr>
      <w:r>
        <w:t xml:space="preserve">2.3.3 No Schema.org Structured Data</w:t>
      </w:r>
    </w:p>
    <w:p>
      <w:pPr>
        <w:pStyle w:val="FirstParagraph"/>
      </w:pPr>
      <w:r>
        <w:t xml:space="preserve">Despite its data-rich content, SCITI contains no Schema.org JSON-LD structured data. Three schemas would be immediately relevant. First,</w:t>
      </w:r>
      <w:r>
        <w:t xml:space="preserve"> </w:t>
      </w:r>
      <w:r>
        <w:rPr>
          <w:rStyle w:val="VerbatimChar"/>
        </w:rPr>
        <w:t xml:space="preserve">WebSite</w:t>
      </w:r>
      <w:r>
        <w:t xml:space="preserve"> </w:t>
      </w:r>
      <w:r>
        <w:t xml:space="preserve">with</w:t>
      </w:r>
      <w:r>
        <w:t xml:space="preserve"> </w:t>
      </w:r>
      <w:r>
        <w:rPr>
          <w:rStyle w:val="VerbatimChar"/>
        </w:rPr>
        <w:t xml:space="preserve">SearchAction</w:t>
      </w:r>
      <w:r>
        <w:t xml:space="preserve"> </w:t>
      </w:r>
      <w:r>
        <w:t xml:space="preserve">would enable a site search box directly in Google results—a powerful feature given that SCITI currently has no on-site search functionality. Second,</w:t>
      </w:r>
      <w:r>
        <w:t xml:space="preserve"> </w:t>
      </w:r>
      <w:r>
        <w:rPr>
          <w:rStyle w:val="VerbatimChar"/>
        </w:rPr>
        <w:t xml:space="preserve">Organization</w:t>
      </w:r>
      <w:r>
        <w:t xml:space="preserve"> </w:t>
      </w:r>
      <w:r>
        <w:t xml:space="preserve">would properly identify DEPA as the publisher, linking to official social profiles and improving knowledge panel rendering. Third, and most critically,</w:t>
      </w:r>
      <w:r>
        <w:t xml:space="preserve"> </w:t>
      </w:r>
      <w:r>
        <w:rPr>
          <w:rStyle w:val="VerbatimChar"/>
        </w:rPr>
        <w:t xml:space="preserve">City</w:t>
      </w:r>
      <w:r>
        <w:t xml:space="preserve"> </w:t>
      </w:r>
      <w:r>
        <w:t xml:space="preserve">or</w:t>
      </w:r>
      <w:r>
        <w:t xml:space="preserve"> </w:t>
      </w:r>
      <w:r>
        <w:rPr>
          <w:rStyle w:val="VerbatimChar"/>
        </w:rPr>
        <w:t xml:space="preserve">GovernmentOrganization</w:t>
      </w:r>
      <w:r>
        <w:t xml:space="preserve"> </w:t>
      </w:r>
      <w:r>
        <w:t xml:space="preserve">schemas on individual dossier pages would allow Google to understand that Phra Ram 4 is a geographic entity with assessed properties, potentially triggering rich results for smart city-related queries</w:t>
      </w:r>
      <w:r>
        <w:t xml:space="preserve"> </w:t>
      </w:r>
      <w:r>
        <w:rPr>
          <w:vertAlign w:val="superscript"/>
        </w:rPr>
        <w:footnoteReference w:id="13"/>
      </w:r>
      <w:r>
        <w:t xml:space="preserve">.</w:t>
      </w:r>
    </w:p>
    <w:p>
      <w:pPr>
        <w:pStyle w:val="BodyText"/>
      </w:pPr>
      <w:r>
        <w:t xml:space="preserve">The absence of structured data is a competitive disadvantage. Rival smart city indices—such as those from IMD or IESE—typically implement Organization and WebSite schemas as standard practice. SCITI’s refusal to do so leaves search engine understanding entirely dependent on unstructured text parsing, which is less reliable for the technical and numerical content that constitutes the bulk of the platform.</w:t>
      </w:r>
    </w:p>
    <w:p>
      <w:r>
        <w:pict>
          <v:rect style="width:0;height:1.5pt" o:hralign="center" o:hrstd="t" o:hr="t"/>
        </w:pict>
      </w:r>
    </w:p>
    <w:bookmarkEnd w:id="65"/>
    <w:bookmarkEnd w:id="66"/>
    <w:bookmarkStart w:id="70" w:name="performance"/>
    <w:p>
      <w:pPr>
        <w:pStyle w:val="Heading3"/>
      </w:pPr>
      <w:r>
        <w:t xml:space="preserve">2.4 Performance</w:t>
      </w:r>
    </w:p>
    <w:bookmarkStart w:id="67" w:name="X6968d2549be07a4c6700eee15d7b49033bde74c"/>
    <w:p>
      <w:pPr>
        <w:pStyle w:val="Heading4"/>
      </w:pPr>
      <w:r>
        <w:t xml:space="preserve">2.4.1 LCP Preload, Async Fonts, Modulepreload — Good</w:t>
      </w:r>
    </w:p>
    <w:p>
      <w:pPr>
        <w:pStyle w:val="FirstParagraph"/>
      </w:pPr>
      <w:r>
        <w:t xml:space="preserve">SCITI’s performance architecture shows evidence of deliberate optimization. The largest contentful paint (LCP) element—the hero image on the homepage—is preloaded via</w:t>
      </w:r>
      <w:r>
        <w:t xml:space="preserve"> </w:t>
      </w:r>
      <w:r>
        <w:rPr>
          <w:rStyle w:val="VerbatimChar"/>
        </w:rPr>
        <w:t xml:space="preserve">&lt;link rel="preload" as="image"&gt;</w:t>
      </w:r>
      <w:r>
        <w:t xml:space="preserve">, ensuring it renders before the JavaScript bundle executes. Google Fonts are loaded asynchronously with</w:t>
      </w:r>
      <w:r>
        <w:t xml:space="preserve"> </w:t>
      </w:r>
      <w:r>
        <w:rPr>
          <w:rStyle w:val="VerbatimChar"/>
        </w:rPr>
        <w:t xml:space="preserve">display=swap</w:t>
      </w:r>
      <w:r>
        <w:t xml:space="preserve">, preventing invisible text during font download. Leaflet’s mapping library is loaded asynchronously, deferring its payload until after the primary content is interactive. The vendor JavaScript chunk is prefetched using</w:t>
      </w:r>
      <w:r>
        <w:t xml:space="preserve"> </w:t>
      </w:r>
      <w:r>
        <w:rPr>
          <w:rStyle w:val="VerbatimChar"/>
        </w:rPr>
        <w:t xml:space="preserve">&lt;link rel="modulepreload"&gt;</w:t>
      </w:r>
      <w:r>
        <w:t xml:space="preserve">, which instructs the browser to parse the module graph in parallel with HTML parsing</w:t>
      </w:r>
      <w:r>
        <w:t xml:space="preserve"> </w:t>
      </w:r>
      <w:fldSimple w:instr="NOTEREF _Ref_Footnote_1 \h \f">
        <w:r>
          <w:rPr>
            <w:vertAlign w:val="superscript"/>
          </w:rPr>
          <w:t>1</w:t>
        </w:r>
      </w:fldSimple>
      <w:r>
        <w:t xml:space="preserve">.</w:t>
      </w:r>
    </w:p>
    <w:p>
      <w:pPr>
        <w:pStyle w:val="BodyText"/>
      </w:pPr>
      <w:r>
        <w:t xml:space="preserve">These are all best-practice techniques aligned with Google’s Core Web Vitals guidance. The LCP preload directly improves the LCP metric—one of the three Core Web Vitals that Google uses as a ranking signal. The</w:t>
      </w:r>
      <w:r>
        <w:t xml:space="preserve"> </w:t>
      </w:r>
      <w:r>
        <w:rPr>
          <w:rStyle w:val="VerbatimChar"/>
        </w:rPr>
        <w:t xml:space="preserve">modulepreload</w:t>
      </w:r>
      <w:r>
        <w:t xml:space="preserve"> </w:t>
      </w:r>
      <w:r>
        <w:t xml:space="preserve">directive on the vendor chunk eliminates the waterfall delay that would otherwise occur when the main bundle’s</w:t>
      </w:r>
      <w:r>
        <w:t xml:space="preserve"> </w:t>
      </w:r>
      <w:r>
        <w:rPr>
          <w:rStyle w:val="VerbatimChar"/>
        </w:rPr>
        <w:t xml:space="preserve">import()</w:t>
      </w:r>
      <w:r>
        <w:t xml:space="preserve"> </w:t>
      </w:r>
      <w:r>
        <w:t xml:space="preserve">statements are encountered. Together, these optimizations suggest that the development team has internalized modern performance engineering principles.</w:t>
      </w:r>
    </w:p>
    <w:tbl>
      <w:tblPr>
        <w:tblStyle w:val="Table"/>
        <w:tblW w:type="pct" w:w="5000"/>
        <w:tblLook w:firstRow="1" w:lastRow="0" w:firstColumn="0" w:lastColumn="0" w:noHBand="0" w:noVBand="0" w:val="0020"/>
      </w:tblPr>
      <w:tblGrid>
        <w:gridCol w:w="1853"/>
        <w:gridCol w:w="1348"/>
        <w:gridCol w:w="2696"/>
        <w:gridCol w:w="2022"/>
      </w:tblGrid>
      <w:tr>
        <w:trPr>
          <w:tblHeader w:val="true"/>
        </w:trPr>
        <w:tc>
          <w:tcPr/>
          <w:p>
            <w:pPr>
              <w:pStyle w:val="Compact"/>
              <w:jc w:val="left"/>
            </w:pPr>
            <w:r>
              <w:t xml:space="preserve">Indicator</w:t>
            </w:r>
          </w:p>
        </w:tc>
        <w:tc>
          <w:tcPr/>
          <w:p>
            <w:pPr>
              <w:pStyle w:val="Compact"/>
              <w:jc w:val="left"/>
            </w:pPr>
            <w:r>
              <w:t xml:space="preserve">Status</w:t>
            </w:r>
          </w:p>
        </w:tc>
        <w:tc>
          <w:tcPr/>
          <w:p>
            <w:pPr>
              <w:pStyle w:val="Compact"/>
              <w:jc w:val="left"/>
            </w:pPr>
            <w:r>
              <w:t xml:space="preserve">Details / Value</w:t>
            </w:r>
          </w:p>
        </w:tc>
        <w:tc>
          <w:tcPr/>
          <w:p>
            <w:pPr>
              <w:pStyle w:val="Compact"/>
              <w:jc w:val="left"/>
            </w:pPr>
            <w:r>
              <w:t xml:space="preserve">Assessment</w:t>
            </w:r>
          </w:p>
        </w:tc>
      </w:tr>
      <w:tr>
        <w:tc>
          <w:tcPr/>
          <w:p>
            <w:pPr>
              <w:pStyle w:val="Compact"/>
              <w:jc w:val="left"/>
            </w:pPr>
            <w:r>
              <w:t xml:space="preserve">LCP element preload</w:t>
            </w:r>
          </w:p>
        </w:tc>
        <w:tc>
          <w:tcPr/>
          <w:p>
            <w:pPr>
              <w:pStyle w:val="Compact"/>
              <w:jc w:val="left"/>
            </w:pPr>
            <w:r>
              <w:t xml:space="preserve">✅ Present</w:t>
            </w:r>
          </w:p>
        </w:tc>
        <w:tc>
          <w:tcPr/>
          <w:p>
            <w:pPr>
              <w:pStyle w:val="Compact"/>
              <w:jc w:val="left"/>
            </w:pPr>
            <w:r>
              <w:t xml:space="preserve">Hero image preloaded in</w:t>
            </w:r>
            <w:r>
              <w:t xml:space="preserve"> </w:t>
            </w:r>
            <w:r>
              <w:rPr>
                <w:rStyle w:val="VerbatimChar"/>
              </w:rPr>
              <w:t xml:space="preserve">&lt;head&gt;</w:t>
            </w:r>
          </w:p>
        </w:tc>
        <w:tc>
          <w:tcPr/>
          <w:p>
            <w:pPr>
              <w:pStyle w:val="Compact"/>
              <w:jc w:val="left"/>
            </w:pPr>
            <w:r>
              <w:t xml:space="preserve">Good — reduces largest contentful paint time</w:t>
            </w:r>
          </w:p>
        </w:tc>
      </w:tr>
      <w:tr>
        <w:tc>
          <w:tcPr/>
          <w:p>
            <w:pPr>
              <w:pStyle w:val="Compact"/>
              <w:jc w:val="left"/>
            </w:pPr>
            <w:r>
              <w:t xml:space="preserve">Google Fonts loading</w:t>
            </w:r>
          </w:p>
        </w:tc>
        <w:tc>
          <w:tcPr/>
          <w:p>
            <w:pPr>
              <w:pStyle w:val="Compact"/>
              <w:jc w:val="left"/>
            </w:pPr>
            <w:r>
              <w:t xml:space="preserve">✅ Async</w:t>
            </w:r>
          </w:p>
        </w:tc>
        <w:tc>
          <w:tcPr/>
          <w:p>
            <w:pPr>
              <w:pStyle w:val="Compact"/>
              <w:jc w:val="left"/>
            </w:pPr>
            <w:r>
              <w:rPr>
                <w:rStyle w:val="VerbatimChar"/>
              </w:rPr>
              <w:t xml:space="preserve">display=swap</w:t>
            </w:r>
            <w:r>
              <w:t xml:space="preserve"> </w:t>
            </w:r>
            <w:r>
              <w:t xml:space="preserve">prevents FOIT</w:t>
            </w:r>
          </w:p>
        </w:tc>
        <w:tc>
          <w:tcPr/>
          <w:p>
            <w:pPr>
              <w:pStyle w:val="Compact"/>
              <w:jc w:val="left"/>
            </w:pPr>
            <w:r>
              <w:t xml:space="preserve">Good — text renders immediately with fallback font</w:t>
            </w:r>
          </w:p>
        </w:tc>
      </w:tr>
      <w:tr>
        <w:tc>
          <w:tcPr/>
          <w:p>
            <w:pPr>
              <w:pStyle w:val="Compact"/>
              <w:jc w:val="left"/>
            </w:pPr>
            <w:r>
              <w:t xml:space="preserve">Leaflet (maps) loading</w:t>
            </w:r>
          </w:p>
        </w:tc>
        <w:tc>
          <w:tcPr/>
          <w:p>
            <w:pPr>
              <w:pStyle w:val="Compact"/>
              <w:jc w:val="left"/>
            </w:pPr>
            <w:r>
              <w:t xml:space="preserve">✅ Async</w:t>
            </w:r>
          </w:p>
        </w:tc>
        <w:tc>
          <w:tcPr/>
          <w:p>
            <w:pPr>
              <w:pStyle w:val="Compact"/>
              <w:jc w:val="left"/>
            </w:pPr>
            <w:r>
              <w:t xml:space="preserve">Deferred loading</w:t>
            </w:r>
          </w:p>
        </w:tc>
        <w:tc>
          <w:tcPr/>
          <w:p>
            <w:pPr>
              <w:pStyle w:val="Compact"/>
              <w:jc w:val="left"/>
            </w:pPr>
            <w:r>
              <w:t xml:space="preserve">Good — non-critical dependency</w:t>
            </w:r>
          </w:p>
        </w:tc>
      </w:tr>
      <w:tr>
        <w:tc>
          <w:tcPr/>
          <w:p>
            <w:pPr>
              <w:pStyle w:val="Compact"/>
              <w:jc w:val="left"/>
            </w:pPr>
            <w:r>
              <w:t xml:space="preserve">Modulepreload (vendor)</w:t>
            </w:r>
          </w:p>
        </w:tc>
        <w:tc>
          <w:tcPr/>
          <w:p>
            <w:pPr>
              <w:pStyle w:val="Compact"/>
              <w:jc w:val="left"/>
            </w:pPr>
            <w:r>
              <w:t xml:space="preserve">✅ Present</w:t>
            </w:r>
          </w:p>
        </w:tc>
        <w:tc>
          <w:tcPr/>
          <w:p>
            <w:pPr>
              <w:pStyle w:val="Compact"/>
              <w:jc w:val="left"/>
            </w:pPr>
            <w:r>
              <w:t xml:space="preserve">Vendor chunk prefetched</w:t>
            </w:r>
          </w:p>
        </w:tc>
        <w:tc>
          <w:tcPr/>
          <w:p>
            <w:pPr>
              <w:pStyle w:val="Compact"/>
              <w:jc w:val="left"/>
            </w:pPr>
            <w:r>
              <w:t xml:space="preserve">Good — eliminates parse waterfall</w:t>
            </w:r>
          </w:p>
        </w:tc>
      </w:tr>
      <w:tr>
        <w:tc>
          <w:tcPr/>
          <w:p>
            <w:pPr>
              <w:pStyle w:val="Compact"/>
              <w:jc w:val="left"/>
            </w:pPr>
            <w:r>
              <w:t xml:space="preserve">Cache-Control (HTML)</w:t>
            </w:r>
          </w:p>
        </w:tc>
        <w:tc>
          <w:tcPr/>
          <w:p>
            <w:pPr>
              <w:pStyle w:val="Compact"/>
              <w:jc w:val="left"/>
            </w:pPr>
            <w:r>
              <w:t xml:space="preserve">🔴 Critical</w:t>
            </w:r>
          </w:p>
        </w:tc>
        <w:tc>
          <w:tcPr/>
          <w:p>
            <w:pPr>
              <w:pStyle w:val="Compact"/>
              <w:jc w:val="left"/>
            </w:pPr>
            <w:r>
              <w:rPr>
                <w:rStyle w:val="VerbatimChar"/>
              </w:rPr>
              <w:t xml:space="preserve">max-age=0, must-revalidate</w:t>
            </w:r>
          </w:p>
        </w:tc>
        <w:tc>
          <w:tcPr/>
          <w:p>
            <w:pPr>
              <w:pStyle w:val="Compact"/>
              <w:jc w:val="left"/>
            </w:pPr>
            <w:r>
              <w:t xml:space="preserve">No browser caching; full round-trip on every visit</w:t>
            </w:r>
          </w:p>
        </w:tc>
      </w:tr>
      <w:tr>
        <w:tc>
          <w:tcPr/>
          <w:p>
            <w:pPr>
              <w:pStyle w:val="Compact"/>
              <w:jc w:val="left"/>
            </w:pPr>
            <w:r>
              <w:t xml:space="preserve">CF-Cache-Status</w:t>
            </w:r>
          </w:p>
        </w:tc>
        <w:tc>
          <w:tcPr/>
          <w:p>
            <w:pPr>
              <w:pStyle w:val="Compact"/>
              <w:jc w:val="left"/>
            </w:pPr>
            <w:r>
              <w:t xml:space="preserve">🔴 Critical</w:t>
            </w:r>
          </w:p>
        </w:tc>
        <w:tc>
          <w:tcPr/>
          <w:p>
            <w:pPr>
              <w:pStyle w:val="Compact"/>
              <w:jc w:val="left"/>
            </w:pPr>
            <w:r>
              <w:rPr>
                <w:rStyle w:val="VerbatimChar"/>
              </w:rPr>
              <w:t xml:space="preserve">DYNAMIC</w:t>
            </w:r>
          </w:p>
        </w:tc>
        <w:tc>
          <w:tcPr/>
          <w:p>
            <w:pPr>
              <w:pStyle w:val="Compact"/>
              <w:jc w:val="left"/>
            </w:pPr>
            <w:r>
              <w:t xml:space="preserve">Cloudflare not caching HTML at edge</w:t>
            </w:r>
          </w:p>
        </w:tc>
      </w:tr>
      <w:tr>
        <w:tc>
          <w:tcPr/>
          <w:p>
            <w:pPr>
              <w:pStyle w:val="Compact"/>
              <w:jc w:val="left"/>
            </w:pPr>
            <w:r>
              <w:t xml:space="preserve">Code splitting</w:t>
            </w:r>
          </w:p>
        </w:tc>
        <w:tc>
          <w:tcPr/>
          <w:p>
            <w:pPr>
              <w:pStyle w:val="Compact"/>
              <w:jc w:val="left"/>
            </w:pPr>
            <w:r>
              <w:t xml:space="preserve">✅ Present</w:t>
            </w:r>
          </w:p>
        </w:tc>
        <w:tc>
          <w:tcPr/>
          <w:p>
            <w:pPr>
              <w:pStyle w:val="Compact"/>
              <w:jc w:val="left"/>
            </w:pPr>
            <w:r>
              <w:t xml:space="preserve">Main bundle + vendor chunk</w:t>
            </w:r>
          </w:p>
        </w:tc>
        <w:tc>
          <w:tcPr/>
          <w:p>
            <w:pPr>
              <w:pStyle w:val="Compact"/>
              <w:jc w:val="left"/>
            </w:pPr>
            <w:r>
              <w:t xml:space="preserve">Good — parallel download and parsing</w:t>
            </w:r>
          </w:p>
        </w:tc>
      </w:tr>
      <w:tr>
        <w:tc>
          <w:tcPr/>
          <w:p>
            <w:pPr>
              <w:pStyle w:val="Compact"/>
              <w:jc w:val="left"/>
            </w:pPr>
            <w:r>
              <w:t xml:space="preserve">Bundle size</w:t>
            </w:r>
          </w:p>
        </w:tc>
        <w:tc>
          <w:tcPr/>
          <w:p>
            <w:pPr>
              <w:pStyle w:val="Compact"/>
              <w:jc w:val="left"/>
            </w:pPr>
            <w:r>
              <w:t xml:space="preserve">⚠️ Watch</w:t>
            </w:r>
          </w:p>
        </w:tc>
        <w:tc>
          <w:tcPr/>
          <w:p>
            <w:pPr>
              <w:pStyle w:val="Compact"/>
              <w:jc w:val="left"/>
            </w:pPr>
            <w:r>
              <w:t xml:space="preserve">Single JS bundle (no lazy routes)</w:t>
            </w:r>
          </w:p>
        </w:tc>
        <w:tc>
          <w:tcPr/>
          <w:p>
            <w:pPr>
              <w:pStyle w:val="Compact"/>
              <w:jc w:val="left"/>
            </w:pPr>
            <w:r>
              <w:t xml:space="preserve">Room for route-based code splitting</w:t>
            </w:r>
          </w:p>
        </w:tc>
      </w:tr>
    </w:tbl>
    <w:p>
      <w:pPr>
        <w:pStyle w:val="BodyText"/>
      </w:pPr>
      <w:r>
        <w:rPr>
          <w:bCs/>
          <w:b/>
        </w:rPr>
        <w:t xml:space="preserve">Table 3: Performance Indicators.</w:t>
      </w:r>
      <w:r>
        <w:t xml:space="preserve"> </w:t>
      </w:r>
      <w:r>
        <w:t xml:space="preserve">Client-side optimizations are well executed, but server-level caching is entirely absent, negating much of the frontend work. Source: curl response analysis,</w:t>
      </w:r>
      <w:r>
        <w:t xml:space="preserve"> </w:t>
      </w:r>
      <w:r>
        <w:rPr>
          <w:rStyle w:val="VerbatimChar"/>
        </w:rPr>
        <w:t xml:space="preserve">&lt;head&gt;</w:t>
      </w:r>
      <w:r>
        <w:t xml:space="preserve"> </w:t>
      </w:r>
      <w:r>
        <w:t xml:space="preserve">inspection</w:t>
      </w:r>
      <w:r>
        <w:t xml:space="preserve"> </w:t>
      </w:r>
      <w:fldSimple w:instr="NOTEREF _Ref_Footnote_1 \h \f">
        <w:r>
          <w:rPr>
            <w:vertAlign w:val="superscript"/>
          </w:rPr>
          <w:t>1</w:t>
        </w:r>
      </w:fldSimple>
      <w:r>
        <w:t xml:space="preserve">.</w:t>
      </w:r>
    </w:p>
    <w:bookmarkEnd w:id="67"/>
    <w:bookmarkStart w:id="68" w:name="X1fe55edfbd8ba2fdae7506562c09e21cf0aaf35"/>
    <w:p>
      <w:pPr>
        <w:pStyle w:val="Heading4"/>
      </w:pPr>
      <w:r>
        <w:t xml:space="preserve">2.4.2 Cache-Control max-age=0 — No Browser Caching</w:t>
      </w:r>
    </w:p>
    <w:p>
      <w:pPr>
        <w:pStyle w:val="FirstParagraph"/>
      </w:pPr>
      <w:r>
        <w:t xml:space="preserve">The</w:t>
      </w:r>
      <w:r>
        <w:t xml:space="preserve"> </w:t>
      </w:r>
      <w:r>
        <w:rPr>
          <w:rStyle w:val="VerbatimChar"/>
        </w:rPr>
        <w:t xml:space="preserve">Cache-Control: max-age=0, must-revalidate, no-transform</w:t>
      </w:r>
      <w:r>
        <w:t xml:space="preserve"> </w:t>
      </w:r>
      <w:r>
        <w:t xml:space="preserve">header on HTML responses instructs browsers to revalidate every request with the origin server before displaying cached content</w:t>
      </w:r>
      <w:r>
        <w:t xml:space="preserve"> </w:t>
      </w:r>
      <w:fldSimple w:instr="NOTEREF _Ref_Footnote_1 \h \f">
        <w:r>
          <w:rPr>
            <w:vertAlign w:val="superscript"/>
          </w:rPr>
          <w:t>1</w:t>
        </w:r>
      </w:fldSimple>
      <w:r>
        <w:t xml:space="preserve">. In practice, this means that every time a user navigates to SCITI—even revisiting within seconds—the browser sends a full HTTP request and waits for a 200 response before rendering anything. On slow or intermittent mobile connections (common in Thailand’s secondary cities), this creates a perceptible delay that the frontend optimizations cannot overcome.</w:t>
      </w:r>
    </w:p>
    <w:p>
      <w:pPr>
        <w:pStyle w:val="BodyText"/>
      </w:pPr>
      <w:r>
        <w:t xml:space="preserve">The</w:t>
      </w:r>
      <w:r>
        <w:t xml:space="preserve"> </w:t>
      </w:r>
      <w:r>
        <w:rPr>
          <w:rStyle w:val="VerbatimChar"/>
        </w:rPr>
        <w:t xml:space="preserve">must-revalidate</w:t>
      </w:r>
      <w:r>
        <w:t xml:space="preserve"> </w:t>
      </w:r>
      <w:r>
        <w:t xml:space="preserve">directive is particularly aggressive: it forbids browsers from serving stale content even when the origin is unreachable. For a static site whose HTML changes only on deployment, this is unnecessarily conservative. A more appropriate policy would be</w:t>
      </w:r>
      <w:r>
        <w:t xml:space="preserve"> </w:t>
      </w:r>
      <w:r>
        <w:rPr>
          <w:rStyle w:val="VerbatimChar"/>
        </w:rPr>
        <w:t xml:space="preserve">Cache-Control: public, max-age=3600</w:t>
      </w:r>
      <w:r>
        <w:t xml:space="preserve"> </w:t>
      </w:r>
      <w:r>
        <w:t xml:space="preserve">for HTML (one hour) and</w:t>
      </w:r>
      <w:r>
        <w:t xml:space="preserve"> </w:t>
      </w:r>
      <w:r>
        <w:rPr>
          <w:rStyle w:val="VerbatimChar"/>
        </w:rPr>
        <w:t xml:space="preserve">max-age=31536000, immutable</w:t>
      </w:r>
      <w:r>
        <w:t xml:space="preserve"> </w:t>
      </w:r>
      <w:r>
        <w:t xml:space="preserve">for versioned assets (JS, CSS, images with hash in filename). This would allow browsers to serve the page instantly on repeat visits while still revalidating periodically.</w:t>
      </w:r>
    </w:p>
    <w:bookmarkEnd w:id="68"/>
    <w:bookmarkStart w:id="69" w:name="Xaf45d82b48952e1ac897f72b45d7cc1a5e65022"/>
    <w:p>
      <w:pPr>
        <w:pStyle w:val="Heading4"/>
      </w:pPr>
      <w:r>
        <w:t xml:space="preserve">2.4.3 CF-Cache-Status DYNAMIC — Cloudflare Not Caching HTML</w:t>
      </w:r>
    </w:p>
    <w:p>
      <w:pPr>
        <w:pStyle w:val="FirstParagraph"/>
      </w:pPr>
      <w:r>
        <w:t xml:space="preserve">The</w:t>
      </w:r>
      <w:r>
        <w:t xml:space="preserve"> </w:t>
      </w:r>
      <w:r>
        <w:rPr>
          <w:rStyle w:val="VerbatimChar"/>
        </w:rPr>
        <w:t xml:space="preserve">CF-Cache-Status: DYNAMIC</w:t>
      </w:r>
      <w:r>
        <w:t xml:space="preserve"> </w:t>
      </w:r>
      <w:r>
        <w:t xml:space="preserve">header is the most concerning performance finding. In Cloudflare’s terminology,</w:t>
      </w:r>
      <w:r>
        <w:t xml:space="preserve"> </w:t>
      </w:r>
      <w:r>
        <w:rPr>
          <w:rStyle w:val="VerbatimChar"/>
        </w:rPr>
        <w:t xml:space="preserve">DYNAMIC</w:t>
      </w:r>
      <w:r>
        <w:t xml:space="preserve"> </w:t>
      </w:r>
      <w:r>
        <w:t xml:space="preserve">means the content is not cached at Cloudflare’s edge and is instead fetched from the origin (GitHub Pages) on every request</w:t>
      </w:r>
      <w:r>
        <w:t xml:space="preserve"> </w:t>
      </w:r>
      <w:fldSimple w:instr="NOTEREF _Ref_Footnote_1 \h \f">
        <w:r>
          <w:rPr>
            <w:vertAlign w:val="superscript"/>
          </w:rPr>
          <w:t>1</w:t>
        </w:r>
      </w:fldSimple>
      <w:r>
        <w:t xml:space="preserve">. This nullifies the primary benefit of using a CDN: serving content from a geographically close edge server rather than routing every request to GitHub’s US-based infrastructure.</w:t>
      </w:r>
    </w:p>
    <w:p>
      <w:pPr>
        <w:pStyle w:val="BodyText"/>
      </w:pPr>
      <w:r>
        <w:t xml:space="preserve">The combination of</w:t>
      </w:r>
      <w:r>
        <w:t xml:space="preserve"> </w:t>
      </w:r>
      <w:r>
        <w:rPr>
          <w:rStyle w:val="VerbatimChar"/>
        </w:rPr>
        <w:t xml:space="preserve">Cache-Control: max-age=0</w:t>
      </w:r>
      <w:r>
        <w:t xml:space="preserve"> </w:t>
      </w:r>
      <w:r>
        <w:t xml:space="preserve">and</w:t>
      </w:r>
      <w:r>
        <w:t xml:space="preserve"> </w:t>
      </w:r>
      <w:r>
        <w:rPr>
          <w:rStyle w:val="VerbatimChar"/>
        </w:rPr>
        <w:t xml:space="preserve">CF-Cache-Status: DYNAMIC</w:t>
      </w:r>
      <w:r>
        <w:t xml:space="preserve"> </w:t>
      </w:r>
      <w:r>
        <w:t xml:space="preserve">means that a user in Chiang Mai, Hat Yai, or Khon Kaen is making a full round-trip to GitHub Pages for every page load, through Cloudflare’s Bangkok or Singapore edge. The latency is not catastrophic—GitHub Pages has its own CDN—but it is suboptimal. More critically, it means SCITI gains no DDoS protection or origin shielding from Cloudflare for HTML content. If GitHub Pages experiences an outage or rate-limiting event, SCITI goes offline regardless of Cloudflare’s presence.</w:t>
      </w:r>
    </w:p>
    <w:p>
      <w:pPr>
        <w:pStyle w:val="BodyText"/>
      </w:pPr>
      <w:r>
        <w:t xml:space="preserve">The fix is a Cloudflare Page Rule: create a rule matching</w:t>
      </w:r>
      <w:r>
        <w:t xml:space="preserve"> </w:t>
      </w:r>
      <w:r>
        <w:rPr>
          <w:rStyle w:val="VerbatimChar"/>
        </w:rPr>
        <w:t xml:space="preserve">sciti.dopa.go.th/*</w:t>
      </w:r>
      <w:r>
        <w:t xml:space="preserve"> </w:t>
      </w:r>
      <w:r>
        <w:t xml:space="preserve">with the setting</w:t>
      </w:r>
      <w:r>
        <w:t xml:space="preserve"> </w:t>
      </w:r>
      <w:r>
        <w:t xml:space="preserve">“</w:t>
      </w:r>
      <w:r>
        <w:t xml:space="preserve">Cache Level: Cache Everything</w:t>
      </w:r>
      <w:r>
        <w:t xml:space="preserve">”</w:t>
      </w:r>
      <w:r>
        <w:t xml:space="preserve"> </w:t>
      </w:r>
      <w:r>
        <w:t xml:space="preserve">and a Browser Cache TTL of 2 hours. This instructs Cloudflare to treat HTML as cacheable while respecting the origin’s revalidation directives. For a site that deploys infrequently (monthly version updates per the methodology page), even a 24-hour edge cache would be safe and would dramatically improve perceived performance for repeat visitors</w:t>
      </w:r>
      <w:r>
        <w:t xml:space="preserve"> </w:t>
      </w:r>
      <w:fldSimple w:instr="NOTEREF _Ref_Footnote_11 \h \f">
        <w:r>
          <w:rPr>
            <w:vertAlign w:val="superscript"/>
          </w:rPr>
          <w:t>11</w:t>
        </w:r>
      </w:fldSimple>
      <w:r>
        <w:t xml:space="preserve">.</w:t>
      </w:r>
    </w:p>
    <w:p>
      <w:pPr>
        <w:pStyle w:val="BodyText"/>
      </w:pPr>
      <w:r>
        <w:t xml:space="preserve">Furthermore, the current setup does not leverage Cloudflare’s static asset optimization features. The JavaScript and CSS bundles, while code-split, are not served with</w:t>
      </w:r>
      <w:r>
        <w:t xml:space="preserve"> </w:t>
      </w:r>
      <w:r>
        <w:rPr>
          <w:rStyle w:val="VerbatimChar"/>
        </w:rPr>
        <w:t xml:space="preserve">CF-Cache-Status: HIT</w:t>
      </w:r>
      <w:r>
        <w:t xml:space="preserve"> </w:t>
      </w:r>
      <w:r>
        <w:t xml:space="preserve">consistently, suggesting that asset caching policies may also need review. Enabling Cloudflare’s Auto Minify for JavaScript and CSS, and ensuring proper cache-busting through Vite’s hashed filename generation (</w:t>
      </w:r>
      <w:r>
        <w:rPr>
          <w:rStyle w:val="VerbatimChar"/>
        </w:rPr>
        <w:t xml:space="preserve">assets/index-[hash].js</w:t>
      </w:r>
      <w:r>
        <w:t xml:space="preserve">), would complete a coherent caching strategy.</w:t>
      </w:r>
    </w:p>
    <w:p>
      <w:pPr>
        <w:pStyle w:val="BodyText"/>
      </w:pPr>
      <w:r>
        <w:t xml:space="preserve">The performance paradox of SCITI is this: the frontend is meticulously optimized with every modern technique available, while the server layer systematically undermines those efforts by refusing to cache anything. This is not uncommon in statically generated SPA deployments, where the development team focuses on bundle size and render performance while neglecting HTTP-level caching policy. The correction is entirely configuration-based—no code changes required—and should be treated as a priority fix before the next public communications push.</w:t>
      </w:r>
    </w:p>
    <w:p>
      <w:r>
        <w:pict>
          <v:rect style="width:0;height:1.5pt" o:hralign="center" o:hrstd="t" o:hr="t"/>
        </w:pict>
      </w:r>
    </w:p>
    <w:bookmarkEnd w:id="69"/>
    <w:bookmarkEnd w:id="70"/>
    <w:bookmarkStart w:id="71" w:name="summary-of-findings"/>
    <w:p>
      <w:pPr>
        <w:pStyle w:val="Heading3"/>
      </w:pPr>
      <w:r>
        <w:t xml:space="preserve">Summary of Findings</w:t>
      </w:r>
    </w:p>
    <w:p>
      <w:pPr>
        <w:pStyle w:val="FirstParagraph"/>
      </w:pPr>
      <w:r>
        <w:t xml:space="preserve">The backend audit reveals a platform with a sound architectural foundation (React 19 + Vite 6, version-controlled data, CDN fronting) that is undermined by security and caching misconfigurations at the edge. Three critical security headers are absent, creating exploitable vulnerabilities in a government context. Social metadata is well implemented but lacks page-level specificity. Frontend performance optimizations are state-of-the-art, yet entirely negated by zero caching on both browser and CDN layers. The PDPA compliance claim is contradicted by active Cloudflare analytics tracking. All identified issues can be resolved through Cloudflare configuration changes and minor React head-management enhancements, with no backend infrastructure modifications required.</w:t>
      </w:r>
    </w:p>
    <w:p>
      <w:pPr>
        <w:pStyle w:val="BodyText"/>
      </w:pPr>
      <w:fldSimple w:instr="NOTEREF _Ref_Footnote_1 \h \f">
        <w:r>
          <w:rPr>
            <w:vertAlign w:val="superscript"/>
          </w:rPr>
          <w:t>1</w:t>
        </w:r>
      </w:fldSimple>
      <w:r>
        <w:t xml:space="preserve">: Curl HTTP response header analysis, SCITI homepage (</w:t>
      </w:r>
      <w:r>
        <w:rPr>
          <w:rStyle w:val="VerbatimChar"/>
        </w:rPr>
        <w:t xml:space="preserve">sciti.dopa.go.th</w:t>
      </w:r>
      <w:r>
        <w:t xml:space="preserve">), conducted during audit session. See Section 1 Methodology for full curl command and raw output.</w:t>
      </w:r>
      <w:r>
        <w:t xml:space="preserve"> </w:t>
      </w:r>
      <w:fldSimple w:instr="NOTEREF _Ref_Footnote_2 \h \f">
        <w:r>
          <w:rPr>
            <w:vertAlign w:val="superscript"/>
          </w:rPr>
          <w:t>2</w:t>
        </w:r>
      </w:fldSimple>
      <w:r>
        <w:t xml:space="preserve">: Manual path testing,</w:t>
      </w:r>
      <w:r>
        <w:t xml:space="preserve"> </w:t>
      </w:r>
      <w:r>
        <w:rPr>
          <w:rStyle w:val="VerbatimChar"/>
        </w:rPr>
        <w:t xml:space="preserve">/city/phuket</w:t>
      </w:r>
      <w:r>
        <w:t xml:space="preserve"> </w:t>
      </w:r>
      <w:r>
        <w:t xml:space="preserve">and</w:t>
      </w:r>
      <w:r>
        <w:t xml:space="preserve"> </w:t>
      </w:r>
      <w:r>
        <w:rPr>
          <w:rStyle w:val="VerbatimChar"/>
        </w:rPr>
        <w:t xml:space="preserve">/city/phuket/</w:t>
      </w:r>
      <w:r>
        <w:t xml:space="preserve"> </w:t>
      </w:r>
      <w:r>
        <w:t xml:space="preserve">variants, both returned HTTP 404 with no redirect. See Frontend Audit findings.</w:t>
      </w:r>
      <w:r>
        <w:t xml:space="preserve"> </w:t>
      </w:r>
      <w:fldSimple w:instr="NOTEREF _Ref_Footnote_11 \h \f">
        <w:r>
          <w:rPr>
            <w:vertAlign w:val="superscript"/>
          </w:rPr>
          <w:t>11</w:t>
        </w:r>
      </w:fldSimple>
      <w:r>
        <w:t xml:space="preserve">: SCITI Methodology page (</w:t>
      </w:r>
      <w:r>
        <w:rPr>
          <w:rStyle w:val="VerbatimChar"/>
        </w:rPr>
        <w:t xml:space="preserve">/methodology</w:t>
      </w:r>
      <w:r>
        <w:t xml:space="preserve">), version history table and technology stack disclosure, accessed during audit.</w:t>
      </w:r>
      <w:r>
        <w:t xml:space="preserve"> </w:t>
      </w:r>
      <w:fldSimple w:instr="NOTEREF _Ref_Footnote_12 \h \f">
        <w:r>
          <w:rPr>
            <w:vertAlign w:val="superscript"/>
          </w:rPr>
          <w:t>12</w:t>
        </w:r>
      </w:fldSimple>
      <w:r>
        <w:t xml:space="preserve">: Mozilla Developer Network,</w:t>
      </w:r>
      <w:r>
        <w:t xml:space="preserve"> </w:t>
      </w:r>
      <w:r>
        <w:t xml:space="preserve">“</w:t>
      </w:r>
      <w:r>
        <w:t xml:space="preserve">Content-Security-Policy</w:t>
      </w:r>
      <w:r>
        <w:t xml:space="preserve">”</w:t>
      </w:r>
      <w:r>
        <w:t xml:space="preserve"> </w:t>
      </w:r>
      <w:r>
        <w:t xml:space="preserve">reference, developer.mozilla.org/en-US/docs/Web/HTTP/CSP.</w:t>
      </w:r>
      <w:r>
        <w:t xml:space="preserve"> </w:t>
      </w:r>
      <w:fldSimple w:instr="NOTEREF _Ref_Footnote_3 \h \f">
        <w:r>
          <w:rPr>
            <w:vertAlign w:val="superscript"/>
          </w:rPr>
          <w:t>3</w:t>
        </w:r>
      </w:fldSimple>
      <w:r>
        <w:t xml:space="preserve">: Thailand Personal Data Protection Act B.E. 2562 (2019), Section 4 (definitions of personal data) and Section 19 (consent requirements).</w:t>
      </w:r>
      <w:r>
        <w:t xml:space="preserve"> </w:t>
      </w:r>
      <w:fldSimple w:instr="NOTEREF _Ref_Footnote_13 \h \f">
        <w:r>
          <w:rPr>
            <w:vertAlign w:val="superscript"/>
          </w:rPr>
          <w:t>13</w:t>
        </w:r>
      </w:fldSimple>
      <w:r>
        <w:t xml:space="preserve">: Google Search Central,</w:t>
      </w:r>
      <w:r>
        <w:t xml:space="preserve"> </w:t>
      </w:r>
      <w:r>
        <w:t xml:space="preserve">“</w:t>
      </w:r>
      <w:r>
        <w:t xml:space="preserve">Structured data markup that Google Search supports,</w:t>
      </w:r>
      <w:r>
        <w:t xml:space="preserve">”</w:t>
      </w:r>
      <w:r>
        <w:t xml:space="preserve"> </w:t>
      </w:r>
      <w:r>
        <w:t xml:space="preserve">developers.google.com/search/docs/appearance/structured-data/search-gallery.</w:t>
      </w:r>
    </w:p>
    <w:p>
      <w:r>
        <w:pict>
          <v:rect style="width:0;height:1.5pt" o:hralign="center" o:hrstd="t" o:hr="t"/>
        </w:pict>
      </w:r>
    </w:p>
    <w:bookmarkEnd w:id="71"/>
    <w:bookmarkEnd w:id="72"/>
    <w:bookmarkStart w:id="86" w:name="critical-bugs-priority-fixes"/>
    <w:p>
      <w:pPr>
        <w:pStyle w:val="Heading2"/>
      </w:pPr>
      <w:r>
        <w:t xml:space="preserve">3. Critical Bugs: Priority Fixes</w:t>
      </w:r>
    </w:p>
    <w:p>
      <w:pPr>
        <w:pStyle w:val="FirstParagraph"/>
      </w:pPr>
      <w:r>
        <w:t xml:space="preserve">Chapters 1 and 2 documented SCITI’s considerable strengths — a polished frontend, sophisticated interactive features, and a transparency-first design philosophy. This chapter turns to what breaks. Eight distinct bugs were identified through systematic testing, ranging from routing failures that block access to entire pages, to a language mislabel that undermines credibility with Thai government stakeholders, to placeholder documents that damage trust in the platform’s evidentiary claims. Each bug is presented with the exact URL tested, the HTTP response received, the severity classification, and a specific recommended fix. The master Bug Priority Matrix at the end of this chapter consolidates all eight findings into an action-ready format for the development team.</w:t>
      </w:r>
    </w:p>
    <w:p>
      <w:pPr>
        <w:pStyle w:val="BodyText"/>
      </w:pPr>
      <w:r>
        <w:t xml:space="preserve">The severity framework used here has three tiers.</w:t>
      </w:r>
      <w:r>
        <w:t xml:space="preserve"> </w:t>
      </w:r>
      <w:r>
        <w:rPr>
          <w:bCs/>
          <w:b/>
        </w:rPr>
        <w:t xml:space="preserve">Show-stoppers</w:t>
      </w:r>
      <w:r>
        <w:t xml:space="preserve"> </w:t>
      </w:r>
      <w:r>
        <w:t xml:space="preserve">(Section 3.1) are bugs that must be resolved before the site is submitted for any government award, international index listing, or media promotion. They block functionality, return 404 errors on common URLs, or misrepresent the product’s cultural identity.</w:t>
      </w:r>
      <w:r>
        <w:t xml:space="preserve"> </w:t>
      </w:r>
      <w:r>
        <w:rPr>
          <w:bCs/>
          <w:b/>
        </w:rPr>
        <w:t xml:space="preserve">High-priority</w:t>
      </w:r>
      <w:r>
        <w:t xml:space="preserve"> </w:t>
      </w:r>
      <w:r>
        <w:t xml:space="preserve">bugs (Section 3.2) degrade trust and accessibility but do not block core navigation.</w:t>
      </w:r>
      <w:r>
        <w:t xml:space="preserve"> </w:t>
      </w:r>
      <w:r>
        <w:rPr>
          <w:bCs/>
          <w:b/>
        </w:rPr>
        <w:t xml:space="preserve">Medium-priority</w:t>
      </w:r>
      <w:r>
        <w:t xml:space="preserve"> </w:t>
      </w:r>
      <w:r>
        <w:t xml:space="preserve">bugs (Section 3.3) are UX gaps and technical debt that should be addressed in the next development sprint.</w:t>
      </w:r>
    </w:p>
    <w:p>
      <w:r>
        <w:pict>
          <v:rect style="width:0;height:1.5pt" o:hralign="center" o:hrstd="t" o:hr="t"/>
        </w:pict>
      </w:r>
    </w:p>
    <w:bookmarkStart w:id="76" w:name="X1ba04cdacd502e9eb7634ec18e874950c863209"/>
    <w:p>
      <w:pPr>
        <w:pStyle w:val="Heading3"/>
      </w:pPr>
      <w:r>
        <w:t xml:space="preserve">3.1 Show-Stoppers (Fix Before Award Submission)</w:t>
      </w:r>
    </w:p>
    <w:p>
      <w:pPr>
        <w:pStyle w:val="FirstParagraph"/>
      </w:pPr>
      <w:r>
        <w:t xml:space="preserve">Three bugs fall into the show-stopper category. Each has a direct, demonstrable impact on a user’s ability to access content or trust the platform. Together they represent the minimum viable repair set.</w:t>
      </w:r>
    </w:p>
    <w:bookmarkStart w:id="73" w:name="X923c34650592b9906891a0512c0628ffc5f6709"/>
    <w:p>
      <w:pPr>
        <w:pStyle w:val="Heading4"/>
      </w:pPr>
      <w:r>
        <w:t xml:space="preserve">3.1.1 SPA Routing:</w:t>
      </w:r>
      <w:r>
        <w:t xml:space="preserve"> </w:t>
      </w:r>
      <w:r>
        <w:rPr>
          <w:rStyle w:val="VerbatimChar"/>
        </w:rPr>
        <w:t xml:space="preserve">/rankings</w:t>
      </w:r>
      <w:r>
        <w:t xml:space="preserve"> </w:t>
      </w:r>
      <w:r>
        <w:t xml:space="preserve">Returns 404; Only</w:t>
      </w:r>
      <w:r>
        <w:t xml:space="preserve"> </w:t>
      </w:r>
      <w:r>
        <w:rPr>
          <w:rStyle w:val="VerbatimChar"/>
        </w:rPr>
        <w:t xml:space="preserve">/rankings/</w:t>
      </w:r>
      <w:r>
        <w:t xml:space="preserve"> </w:t>
      </w:r>
      <w:r>
        <w:t xml:space="preserve">Works</w:t>
      </w:r>
    </w:p>
    <w:p>
      <w:pPr>
        <w:pStyle w:val="FirstParagraph"/>
      </w:pPr>
      <w:r>
        <w:rPr>
          <w:bCs/>
          <w:b/>
        </w:rPr>
        <w:t xml:space="preserve">Test Result:</w:t>
      </w:r>
      <w:r>
        <w:t xml:space="preserve"> </w:t>
      </w:r>
      <w:r>
        <w:rPr>
          <w:rStyle w:val="VerbatimChar"/>
        </w:rPr>
        <w:t xml:space="preserve">GET https://sciti.dopa.go.th/rankings</w:t>
      </w:r>
      <w:r>
        <w:t xml:space="preserve"> </w:t>
      </w:r>
      <w:r>
        <w:t xml:space="preserve">→ HTTP 404 Not Found.</w:t>
      </w:r>
      <w:r>
        <w:t xml:space="preserve"> </w:t>
      </w:r>
      <w:r>
        <w:rPr>
          <w:rStyle w:val="VerbatimChar"/>
        </w:rPr>
        <w:t xml:space="preserve">GET https://sciti.dopa.go.th/rankings/</w:t>
      </w:r>
      <w:r>
        <w:t xml:space="preserve"> </w:t>
      </w:r>
      <w:r>
        <w:t xml:space="preserve">→ HTTP 200 OK</w:t>
      </w:r>
      <w:r>
        <w:t xml:space="preserve"> </w:t>
      </w:r>
      <w:fldSimple w:instr="NOTEREF _Ref_Footnote_2 \h \f">
        <w:r>
          <w:rPr>
            <w:vertAlign w:val="superscript"/>
          </w:rPr>
          <w:t>2</w:t>
        </w:r>
      </w:fldSimple>
      <w:r>
        <w:t xml:space="preserve">.</w:t>
      </w:r>
    </w:p>
    <w:p>
      <w:pPr>
        <w:pStyle w:val="BodyText"/>
      </w:pPr>
      <w:r>
        <w:t xml:space="preserve">This is the most technically straightforward of the show-stoppers and also the most damaging to discoverability. A user who types</w:t>
      </w:r>
      <w:r>
        <w:t xml:space="preserve"> </w:t>
      </w:r>
      <w:r>
        <w:rPr>
          <w:rStyle w:val="VerbatimChar"/>
        </w:rPr>
        <w:t xml:space="preserve">sciti.dopa.go.th/rankings</w:t>
      </w:r>
      <w:r>
        <w:t xml:space="preserve"> </w:t>
      </w:r>
      <w:r>
        <w:t xml:space="preserve">into a browser address bar — the natural form, without a trailing slash — receives a blank 404 page. The same user who clicks an internal navigation link within the SPA arrives at</w:t>
      </w:r>
      <w:r>
        <w:t xml:space="preserve"> </w:t>
      </w:r>
      <w:r>
        <w:rPr>
          <w:rStyle w:val="VerbatimChar"/>
        </w:rPr>
        <w:t xml:space="preserve">/rankings/</w:t>
      </w:r>
      <w:r>
        <w:t xml:space="preserve"> </w:t>
      </w:r>
      <w:r>
        <w:t xml:space="preserve">(with trailing slash) and sees the fully functional Rankings page with lens filtering, editor’s picks, and spider charts. The inconsistency between these two paths is invisible to users who navigate internally but fatal to anyone arriving from an external link, a bookmark, or manual entry.</w:t>
      </w:r>
    </w:p>
    <w:p>
      <w:pPr>
        <w:pStyle w:val="BodyText"/>
      </w:pPr>
      <w:r>
        <w:rPr>
          <w:bCs/>
          <w:b/>
        </w:rPr>
        <w:t xml:space="preserve">Root Cause:</w:t>
      </w:r>
      <w:r>
        <w:t xml:space="preserve"> </w:t>
      </w:r>
      <w:r>
        <w:t xml:space="preserve">SCITI is a React Router-based single-page application hosted on GitHub Pages. GitHub Pages is a static file server: it looks for a physical</w:t>
      </w:r>
      <w:r>
        <w:t xml:space="preserve"> </w:t>
      </w:r>
      <w:r>
        <w:rPr>
          <w:rStyle w:val="VerbatimChar"/>
        </w:rPr>
        <w:t xml:space="preserve">/rankings/index.html</w:t>
      </w:r>
      <w:r>
        <w:t xml:space="preserve"> </w:t>
      </w:r>
      <w:r>
        <w:t xml:space="preserve">file when</w:t>
      </w:r>
      <w:r>
        <w:t xml:space="preserve"> </w:t>
      </w:r>
      <w:r>
        <w:rPr>
          <w:rStyle w:val="VerbatimChar"/>
        </w:rPr>
        <w:t xml:space="preserve">/rankings/</w:t>
      </w:r>
      <w:r>
        <w:t xml:space="preserve"> </w:t>
      </w:r>
      <w:r>
        <w:t xml:space="preserve">is requested, and finds it. When</w:t>
      </w:r>
      <w:r>
        <w:t xml:space="preserve"> </w:t>
      </w:r>
      <w:r>
        <w:rPr>
          <w:rStyle w:val="VerbatimChar"/>
        </w:rPr>
        <w:t xml:space="preserve">/rankings</w:t>
      </w:r>
      <w:r>
        <w:t xml:space="preserve"> </w:t>
      </w:r>
      <w:r>
        <w:t xml:space="preserve">is requested (no trailing slash), GitHub Pages looks for a physical file named</w:t>
      </w:r>
      <w:r>
        <w:t xml:space="preserve"> </w:t>
      </w:r>
      <w:r>
        <w:rPr>
          <w:rStyle w:val="VerbatimChar"/>
        </w:rPr>
        <w:t xml:space="preserve">rankings</w:t>
      </w:r>
      <w:r>
        <w:t xml:space="preserve"> </w:t>
      </w:r>
      <w:r>
        <w:t xml:space="preserve">at the repository root — which does not exist — and returns 404</w:t>
      </w:r>
      <w:r>
        <w:t xml:space="preserve"> </w:t>
      </w:r>
      <w:fldSimple w:instr="NOTEREF _Ref_Footnote_2 \h \f">
        <w:r>
          <w:rPr>
            <w:vertAlign w:val="superscript"/>
          </w:rPr>
          <w:t>2</w:t>
        </w:r>
      </w:fldSimple>
      <w:r>
        <w:t xml:space="preserve">. React Router never gets a chance to handle the route because the server intercepts the request before the SPA JavaScript bundle loads.</w:t>
      </w:r>
    </w:p>
    <w:p>
      <w:pPr>
        <w:pStyle w:val="BodyText"/>
      </w:pPr>
      <w:r>
        <w:rPr>
          <w:bCs/>
          <w:b/>
        </w:rPr>
        <w:t xml:space="preserve">Why this matters pre-submission:</w:t>
      </w:r>
      <w:r>
        <w:t xml:space="preserve"> </w:t>
      </w:r>
      <w:r>
        <w:t xml:space="preserve">Award reviewers, journalists, and government evaluators frequently test sites by typing URLs directly. A 404 on</w:t>
      </w:r>
      <w:r>
        <w:t xml:space="preserve"> </w:t>
      </w:r>
      <w:r>
        <w:rPr>
          <w:rStyle w:val="VerbatimChar"/>
        </w:rPr>
        <w:t xml:space="preserve">/rankings</w:t>
      </w:r>
      <w:r>
        <w:t xml:space="preserve"> </w:t>
      </w:r>
      <w:r>
        <w:t xml:space="preserve">suggests the site is unfinished. The Rankings page is the intellectual core of the product — the page that delivers the index’s primary value proposition. If it is unreachable by the most natural URL form, the platform fails its core function for a meaningful segment of visitors.</w:t>
      </w:r>
    </w:p>
    <w:p>
      <w:pPr>
        <w:pStyle w:val="BodyText"/>
      </w:pPr>
      <w:r>
        <w:rPr>
          <w:bCs/>
          <w:b/>
        </w:rPr>
        <w:t xml:space="preserve">Recommended Fix:</w:t>
      </w:r>
      <w:r>
        <w:t xml:space="preserve"> </w:t>
      </w:r>
      <w:r>
        <w:t xml:space="preserve">The standard solution for SPAs on GitHub Pages is the</w:t>
      </w:r>
      <w:r>
        <w:t xml:space="preserve"> </w:t>
      </w:r>
      <w:r>
        <w:t xml:space="preserve">“</w:t>
      </w:r>
      <w:r>
        <w:t xml:space="preserve">404 redirect trick.</w:t>
      </w:r>
      <w:r>
        <w:t xml:space="preserve">”</w:t>
      </w:r>
      <w:r>
        <w:t xml:space="preserve"> </w:t>
      </w:r>
      <w:r>
        <w:t xml:space="preserve">Create a</w:t>
      </w:r>
      <w:r>
        <w:t xml:space="preserve"> </w:t>
      </w:r>
      <w:r>
        <w:rPr>
          <w:rStyle w:val="VerbatimChar"/>
        </w:rPr>
        <w:t xml:space="preserve">404.html</w:t>
      </w:r>
      <w:r>
        <w:t xml:space="preserve"> </w:t>
      </w:r>
      <w:r>
        <w:t xml:space="preserve">file at the repository root that duplicates</w:t>
      </w:r>
      <w:r>
        <w:t xml:space="preserve"> </w:t>
      </w:r>
      <w:r>
        <w:rPr>
          <w:rStyle w:val="VerbatimChar"/>
        </w:rPr>
        <w:t xml:space="preserve">index.html</w:t>
      </w:r>
      <w:r>
        <w:t xml:space="preserve"> </w:t>
      </w:r>
      <w:r>
        <w:t xml:space="preserve">in structure but contains a small script to capture the requested path, store it in</w:t>
      </w:r>
      <w:r>
        <w:t xml:space="preserve"> </w:t>
      </w:r>
      <w:r>
        <w:rPr>
          <w:rStyle w:val="VerbatimChar"/>
        </w:rPr>
        <w:t xml:space="preserve">sessionStorage</w:t>
      </w:r>
      <w:r>
        <w:t xml:space="preserve">, redirect to</w:t>
      </w:r>
      <w:r>
        <w:t xml:space="preserve"> </w:t>
      </w:r>
      <w:r>
        <w:rPr>
          <w:rStyle w:val="VerbatimChar"/>
        </w:rPr>
        <w:t xml:space="preserve">/#/path</w:t>
      </w:r>
      <w:r>
        <w:t xml:space="preserve">, and have the SPA router read the stored path on mount and navigate accordingly. This is a well-documented pattern for React SPAs on GitHub Pages and requires no server configuration changes. Alternatively, migrating hosting to Netlify or Vercel — which natively support SPA routing through</w:t>
      </w:r>
      <w:r>
        <w:t xml:space="preserve"> </w:t>
      </w:r>
      <w:r>
        <w:rPr>
          <w:rStyle w:val="VerbatimChar"/>
        </w:rPr>
        <w:t xml:space="preserve">_redirects</w:t>
      </w:r>
      <w:r>
        <w:t xml:space="preserve"> </w:t>
      </w:r>
      <w:r>
        <w:t xml:space="preserve">or</w:t>
      </w:r>
      <w:r>
        <w:t xml:space="preserve"> </w:t>
      </w:r>
      <w:r>
        <w:rPr>
          <w:rStyle w:val="VerbatimChar"/>
        </w:rPr>
        <w:t xml:space="preserve">vercel.json</w:t>
      </w:r>
      <w:r>
        <w:t xml:space="preserve"> </w:t>
      </w:r>
      <w:r>
        <w:t xml:space="preserve">configuration — eliminates the problem entirely and adds additional benefits (edge functions, preview deployments, better caching control). Either approach resolves the issue within one development day.</w:t>
      </w:r>
    </w:p>
    <w:p>
      <w:r>
        <w:pict>
          <v:rect style="width:0;height:1.5pt" o:hralign="center" o:hrstd="t" o:hr="t"/>
        </w:pict>
      </w:r>
    </w:p>
    <w:bookmarkEnd w:id="73"/>
    <w:bookmarkStart w:id="74" w:name="X8f41d90f3c91896578a2ef5829f985c3d3521df"/>
    <w:p>
      <w:pPr>
        <w:pStyle w:val="Heading4"/>
      </w:pPr>
      <w:r>
        <w:t xml:space="preserve">3.1.2 City Slug Mismatch:</w:t>
      </w:r>
      <w:r>
        <w:t xml:space="preserve"> </w:t>
      </w:r>
      <w:r>
        <w:rPr>
          <w:rStyle w:val="VerbatimChar"/>
        </w:rPr>
        <w:t xml:space="preserve">/city/phuket</w:t>
      </w:r>
      <w:r>
        <w:t xml:space="preserve"> </w:t>
      </w:r>
      <w:r>
        <w:t xml:space="preserve">404s; Actual Slug Is</w:t>
      </w:r>
      <w:r>
        <w:t xml:space="preserve"> </w:t>
      </w:r>
      <w:r>
        <w:rPr>
          <w:rStyle w:val="VerbatimChar"/>
        </w:rPr>
        <w:t xml:space="preserve">/city/phuket-smart-city</w:t>
      </w:r>
    </w:p>
    <w:p>
      <w:pPr>
        <w:pStyle w:val="FirstParagraph"/>
      </w:pPr>
      <w:r>
        <w:rPr>
          <w:bCs/>
          <w:b/>
        </w:rPr>
        <w:t xml:space="preserve">Test Result:</w:t>
      </w:r>
      <w:r>
        <w:t xml:space="preserve"> </w:t>
      </w:r>
      <w:r>
        <w:rPr>
          <w:rStyle w:val="VerbatimChar"/>
        </w:rPr>
        <w:t xml:space="preserve">GET https://sciti.dopa.go.th/city/phuket</w:t>
      </w:r>
      <w:r>
        <w:t xml:space="preserve"> </w:t>
      </w:r>
      <w:r>
        <w:t xml:space="preserve">→ HTTP 404 Not Found.</w:t>
      </w:r>
      <w:r>
        <w:t xml:space="preserve"> </w:t>
      </w:r>
      <w:r>
        <w:rPr>
          <w:rStyle w:val="VerbatimChar"/>
        </w:rPr>
        <w:t xml:space="preserve">GET https://sciti.dopa.go.th/city/phuket/</w:t>
      </w:r>
      <w:r>
        <w:t xml:space="preserve"> </w:t>
      </w:r>
      <w:r>
        <w:t xml:space="preserve">→ HTTP 404 Not Found</w:t>
      </w:r>
      <w:r>
        <w:t xml:space="preserve"> </w:t>
      </w:r>
      <w:fldSimple w:instr="NOTEREF _Ref_Footnote_2 \h \f">
        <w:r>
          <w:rPr>
            <w:vertAlign w:val="superscript"/>
          </w:rPr>
          <w:t>2</w:t>
        </w:r>
      </w:fldSimple>
      <w:r>
        <w:t xml:space="preserve">.</w:t>
      </w:r>
    </w:p>
    <w:p>
      <w:pPr>
        <w:pStyle w:val="BodyText"/>
      </w:pPr>
      <w:r>
        <w:t xml:space="preserve">Phuket is Thailand’s most internationally recognized city brand and the #1 ranked city in the SCITI index with a composite score of 72.6. It appears on the homepage as</w:t>
      </w:r>
      <w:r>
        <w:t xml:space="preserve"> </w:t>
      </w:r>
      <w:r>
        <w:t xml:space="preserve">“</w:t>
      </w:r>
      <w:r>
        <w:t xml:space="preserve">Phuket Smart City</w:t>
      </w:r>
      <w:r>
        <w:t xml:space="preserve">”</w:t>
      </w:r>
      <w:r>
        <w:t xml:space="preserve"> </w:t>
      </w:r>
      <w:r>
        <w:t xml:space="preserve">in the Seven Pillars Champions section (Livability champion, score 76) and as the #1 card in the Top Five section</w:t>
      </w:r>
      <w:r>
        <w:t xml:space="preserve"> </w:t>
      </w:r>
      <w:fldSimple w:instr="NOTEREF _Ref_Footnote_2 \h \f">
        <w:r>
          <w:rPr>
            <w:vertAlign w:val="superscript"/>
          </w:rPr>
          <w:t>2</w:t>
        </w:r>
      </w:fldSimple>
      <w:r>
        <w:t xml:space="preserve">. A user who sees</w:t>
      </w:r>
      <w:r>
        <w:t xml:space="preserve"> </w:t>
      </w:r>
      <w:r>
        <w:t xml:space="preserve">“</w:t>
      </w:r>
      <w:r>
        <w:t xml:space="preserve">Phuket</w:t>
      </w:r>
      <w:r>
        <w:t xml:space="preserve">”</w:t>
      </w:r>
      <w:r>
        <w:t xml:space="preserve"> </w:t>
      </w:r>
      <w:r>
        <w:t xml:space="preserve">on the homepage and reasonably types</w:t>
      </w:r>
      <w:r>
        <w:t xml:space="preserve"> </w:t>
      </w:r>
      <w:r>
        <w:rPr>
          <w:rStyle w:val="VerbatimChar"/>
        </w:rPr>
        <w:t xml:space="preserve">/city/phuket</w:t>
      </w:r>
      <w:r>
        <w:t xml:space="preserve"> </w:t>
      </w:r>
      <w:r>
        <w:t xml:space="preserve">into the address bar receives a 404 page with a</w:t>
      </w:r>
      <w:r>
        <w:t xml:space="preserve"> </w:t>
      </w:r>
      <w:r>
        <w:t xml:space="preserve">“</w:t>
      </w:r>
      <w:r>
        <w:t xml:space="preserve">City not found</w:t>
      </w:r>
      <w:r>
        <w:t xml:space="preserve">”</w:t>
      </w:r>
      <w:r>
        <w:t xml:space="preserve"> </w:t>
      </w:r>
      <w:r>
        <w:t xml:space="preserve">message and a feedback form. The actual dossier URL is</w:t>
      </w:r>
      <w:r>
        <w:t xml:space="preserve"> </w:t>
      </w:r>
      <w:r>
        <w:rPr>
          <w:rStyle w:val="VerbatimChar"/>
        </w:rPr>
        <w:t xml:space="preserve">/city/phuket-smart-city</w:t>
      </w:r>
      <w:r>
        <w:t xml:space="preserve"> </w:t>
      </w:r>
      <w:r>
        <w:t xml:space="preserve">— a slug that is neither visible on the homepage nor guessable from the display name.</w:t>
      </w:r>
    </w:p>
    <w:p>
      <w:pPr>
        <w:pStyle w:val="BodyText"/>
      </w:pPr>
      <w:r>
        <w:rPr>
          <w:bCs/>
          <w:b/>
        </w:rPr>
        <w:t xml:space="preserve">Root Cause:</w:t>
      </w:r>
      <w:r>
        <w:t xml:space="preserve"> </w:t>
      </w:r>
      <w:r>
        <w:t xml:space="preserve">The city slug generation logic appends</w:t>
      </w:r>
      <w:r>
        <w:t xml:space="preserve"> </w:t>
      </w:r>
      <w:r>
        <w:t xml:space="preserve">“</w:t>
      </w:r>
      <w:r>
        <w:t xml:space="preserve">-smart-city</w:t>
      </w:r>
      <w:r>
        <w:t xml:space="preserve">”</w:t>
      </w:r>
      <w:r>
        <w:t xml:space="preserve"> </w:t>
      </w:r>
      <w:r>
        <w:t xml:space="preserve">to certain city names but not others. The Phra Ram 4 dossier is accessible at</w:t>
      </w:r>
      <w:r>
        <w:t xml:space="preserve"> </w:t>
      </w:r>
      <w:r>
        <w:rPr>
          <w:rStyle w:val="VerbatimChar"/>
        </w:rPr>
        <w:t xml:space="preserve">/city/phra-ram-4</w:t>
      </w:r>
      <w:r>
        <w:t xml:space="preserve"> </w:t>
      </w:r>
      <w:r>
        <w:t xml:space="preserve">(no suffix), suggesting the suffix rule is inconsistent or manually applied. The homepage display name</w:t>
      </w:r>
      <w:r>
        <w:t xml:space="preserve"> </w:t>
      </w:r>
      <w:r>
        <w:t xml:space="preserve">“</w:t>
      </w:r>
      <w:r>
        <w:t xml:space="preserve">Phuket Smart City</w:t>
      </w:r>
      <w:r>
        <w:t xml:space="preserve">”</w:t>
      </w:r>
      <w:r>
        <w:t xml:space="preserve"> </w:t>
      </w:r>
      <w:r>
        <w:t xml:space="preserve">contains the suffix, but users do not internalize URL construction rules from display text — they type the shortest recognizable form.</w:t>
      </w:r>
    </w:p>
    <w:p>
      <w:pPr>
        <w:pStyle w:val="BodyText"/>
      </w:pPr>
      <w:r>
        <w:rPr>
          <w:bCs/>
          <w:b/>
        </w:rPr>
        <w:t xml:space="preserve">Why this matters pre-submission:</w:t>
      </w:r>
      <w:r>
        <w:t xml:space="preserve"> </w:t>
      </w:r>
      <w:r>
        <w:t xml:space="preserve">Phuket is the platform’s headline city. It is the first city mentioned in the Top Five, the Livability champion, and the archetype for</w:t>
      </w:r>
      <w:r>
        <w:t xml:space="preserve"> </w:t>
      </w:r>
      <w:r>
        <w:t xml:space="preserve">“</w:t>
      </w:r>
      <w:r>
        <w:t xml:space="preserve">The Heavyweight</w:t>
      </w:r>
      <w:r>
        <w:t xml:space="preserve">”</w:t>
      </w:r>
      <w:r>
        <w:t xml:space="preserve"> </w:t>
      </w:r>
      <w:r>
        <w:t xml:space="preserve">on the Story page</w:t>
      </w:r>
      <w:r>
        <w:t xml:space="preserve"> </w:t>
      </w:r>
      <w:fldSimple w:instr="NOTEREF _Ref_Footnote_2 \h \f">
        <w:r>
          <w:rPr>
            <w:vertAlign w:val="superscript"/>
          </w:rPr>
          <w:t>2</w:t>
        </w:r>
      </w:fldSimple>
      <w:r>
        <w:t xml:space="preserve">. A 404 on</w:t>
      </w:r>
      <w:r>
        <w:t xml:space="preserve"> </w:t>
      </w:r>
      <w:r>
        <w:rPr>
          <w:rStyle w:val="VerbatimChar"/>
        </w:rPr>
        <w:t xml:space="preserve">/city/phuket</w:t>
      </w:r>
      <w:r>
        <w:t xml:space="preserve"> </w:t>
      </w:r>
      <w:r>
        <w:t xml:space="preserve">is not an edge case — it is the most likely city dossier URL that a first-time visitor would attempt to access. The</w:t>
      </w:r>
      <w:r>
        <w:t xml:space="preserve"> </w:t>
      </w:r>
      <w:r>
        <w:t xml:space="preserve">“</w:t>
      </w:r>
      <w:r>
        <w:t xml:space="preserve">City not found</w:t>
      </w:r>
      <w:r>
        <w:t xml:space="preserve">”</w:t>
      </w:r>
      <w:r>
        <w:t xml:space="preserve"> </w:t>
      </w:r>
      <w:r>
        <w:t xml:space="preserve">page, while offering a feedback form routing to</w:t>
      </w:r>
      <w:r>
        <w:t xml:space="preserve"> </w:t>
      </w:r>
      <w:r>
        <w:rPr>
          <w:rStyle w:val="VerbatimChar"/>
        </w:rPr>
        <w:t xml:space="preserve">non.ar@depa.or.th</w:t>
      </w:r>
      <w:r>
        <w:t xml:space="preserve">, is a dead-end experience that converts curiosity into frustration.</w:t>
      </w:r>
    </w:p>
    <w:p>
      <w:pPr>
        <w:pStyle w:val="BodyText"/>
      </w:pPr>
      <w:r>
        <w:rPr>
          <w:bCs/>
          <w:b/>
        </w:rPr>
        <w:t xml:space="preserve">Recommended Fix:</w:t>
      </w:r>
      <w:r>
        <w:t xml:space="preserve"> </w:t>
      </w:r>
      <w:r>
        <w:t xml:space="preserve">Implement slug aliases. The router should accept</w:t>
      </w:r>
      <w:r>
        <w:t xml:space="preserve"> </w:t>
      </w:r>
      <w:r>
        <w:rPr>
          <w:rStyle w:val="VerbatimChar"/>
        </w:rPr>
        <w:t xml:space="preserve">/city/phuket</w:t>
      </w:r>
      <w:r>
        <w:t xml:space="preserve"> </w:t>
      </w:r>
      <w:r>
        <w:t xml:space="preserve">and redirect (HTTP 301) to</w:t>
      </w:r>
      <w:r>
        <w:t xml:space="preserve"> </w:t>
      </w:r>
      <w:r>
        <w:rPr>
          <w:rStyle w:val="VerbatimChar"/>
        </w:rPr>
        <w:t xml:space="preserve">/city/phuket-smart-city</w:t>
      </w:r>
      <w:r>
        <w:t xml:space="preserve">. This can be achieved by maintaining a mapping table of common name variants to canonical slugs, or by adding a redirect rule in the routing configuration. At minimum, the 10 most prominent cities (the Top Five plus the Seven Pillars Champions, with overlap removed) should have alias entries. A more robust approach is to generate slugs deterministically from city names using a consistent normalization function (lowercase, hyphenate spaces, remove special characters) and apply it uniformly across the dataset — eliminating the</w:t>
      </w:r>
      <w:r>
        <w:t xml:space="preserve"> </w:t>
      </w:r>
      <w:r>
        <w:t xml:space="preserve">“</w:t>
      </w:r>
      <w:r>
        <w:t xml:space="preserve">-smart-city</w:t>
      </w:r>
      <w:r>
        <w:t xml:space="preserve">”</w:t>
      </w:r>
      <w:r>
        <w:t xml:space="preserve"> </w:t>
      </w:r>
      <w:r>
        <w:t xml:space="preserve">suffix rule entirely if it cannot be applied consistently.</w:t>
      </w:r>
    </w:p>
    <w:p>
      <w:r>
        <w:pict>
          <v:rect style="width:0;height:1.5pt" o:hralign="center" o:hrstd="t" o:hr="t"/>
        </w:pict>
      </w:r>
    </w:p>
    <w:bookmarkEnd w:id="74"/>
    <w:bookmarkStart w:id="75" w:name="X3a0d2a90bc0c31bf5c118667b7b5bb3f44100f0"/>
    <w:p>
      <w:pPr>
        <w:pStyle w:val="Heading4"/>
      </w:pPr>
      <w:r>
        <w:t xml:space="preserve">3.1.3 Language Button Labeled</w:t>
      </w:r>
      <w:r>
        <w:t xml:space="preserve"> </w:t>
      </w:r>
      <w:r>
        <w:t xml:space="preserve">“</w:t>
      </w:r>
      <w:r>
        <w:t xml:space="preserve">TH</w:t>
      </w:r>
      <w:r>
        <w:t xml:space="preserve">”</w:t>
      </w:r>
      <w:r>
        <w:t xml:space="preserve"> </w:t>
      </w:r>
      <w:r>
        <w:t xml:space="preserve">Shows Chinese — Credibility-Damaging for Thai Government Site</w:t>
      </w:r>
    </w:p>
    <w:p>
      <w:pPr>
        <w:pStyle w:val="FirstParagraph"/>
      </w:pPr>
      <w:r>
        <w:rPr>
          <w:bCs/>
          <w:b/>
        </w:rPr>
        <w:t xml:space="preserve">Test Result:</w:t>
      </w:r>
      <w:r>
        <w:t xml:space="preserve"> </w:t>
      </w:r>
      <w:r>
        <w:t xml:space="preserve">Clicked top-right language button labeled</w:t>
      </w:r>
      <w:r>
        <w:t xml:space="preserve"> </w:t>
      </w:r>
      <w:r>
        <w:t xml:space="preserve">“</w:t>
      </w:r>
      <w:r>
        <w:t xml:space="preserve">TH</w:t>
      </w:r>
      <w:r>
        <w:t xml:space="preserve">”</w:t>
      </w:r>
      <w:r>
        <w:t xml:space="preserve"> </w:t>
      </w:r>
      <w:r>
        <w:t xml:space="preserve">(element index 5 in the navigation bar). Page content switched to Simplified Chinese: navigation labels became 首页, 排名, 方法, 故事, 网络; the Phra Ram 4 dossier title became 四世皇路智慧城市; dossier tabs became 概览, 分析, 执行, 证据, 下一步</w:t>
      </w:r>
      <w:r>
        <w:t xml:space="preserve"> </w:t>
      </w:r>
      <w:fldSimple w:instr="NOTEREF _Ref_Footnote_2 \h \f">
        <w:r>
          <w:rPr>
            <w:vertAlign w:val="superscript"/>
          </w:rPr>
          <w:t>2</w:t>
        </w:r>
      </w:fldSimple>
      <w:r>
        <w:t xml:space="preserve">.</w:t>
      </w:r>
    </w:p>
    <w:p>
      <w:pPr>
        <w:pStyle w:val="BodyText"/>
      </w:pPr>
      <w:r>
        <w:t xml:space="preserve">This is the most credibility-damaging bug in the entire application. The</w:t>
      </w:r>
      <w:r>
        <w:t xml:space="preserve"> </w:t>
      </w:r>
      <w:r>
        <w:t xml:space="preserve">“</w:t>
      </w:r>
      <w:r>
        <w:t xml:space="preserve">TH</w:t>
      </w:r>
      <w:r>
        <w:t xml:space="preserve">”</w:t>
      </w:r>
      <w:r>
        <w:t xml:space="preserve"> </w:t>
      </w:r>
      <w:r>
        <w:t xml:space="preserve">button uses the ISO 3166-1 alpha-2 country code for Thailand. A Thai government official, municipal officer, or citizen clicking a button labeled</w:t>
      </w:r>
      <w:r>
        <w:t xml:space="preserve"> </w:t>
      </w:r>
      <w:r>
        <w:t xml:space="preserve">“</w:t>
      </w:r>
      <w:r>
        <w:t xml:space="preserve">TH</w:t>
      </w:r>
      <w:r>
        <w:t xml:space="preserve">”</w:t>
      </w:r>
      <w:r>
        <w:t xml:space="preserve"> </w:t>
      </w:r>
      <w:r>
        <w:t xml:space="preserve">expects Thai-language content (ภาษาไทย). Instead, they receive Simplified Chinese — a language associated with a different country entirely. The Chinese translation itself is complete and high-quality, but the button label fundamentally misrepresents what it delivers.</w:t>
      </w:r>
    </w:p>
    <w:p>
      <w:pPr>
        <w:pStyle w:val="BodyText"/>
      </w:pPr>
      <w:r>
        <w:rPr>
          <w:bCs/>
          <w:b/>
        </w:rPr>
        <w:t xml:space="preserve">Root Cause:</w:t>
      </w:r>
      <w:r>
        <w:t xml:space="preserve"> </w:t>
      </w:r>
      <w:r>
        <w:t xml:space="preserve">The language configuration maps the</w:t>
      </w:r>
      <w:r>
        <w:t xml:space="preserve"> </w:t>
      </w:r>
      <w:r>
        <w:t xml:space="preserve">“</w:t>
      </w:r>
      <w:r>
        <w:t xml:space="preserve">TH</w:t>
      </w:r>
      <w:r>
        <w:t xml:space="preserve">”</w:t>
      </w:r>
      <w:r>
        <w:t xml:space="preserve"> </w:t>
      </w:r>
      <w:r>
        <w:t xml:space="preserve">locale code to Chinese content, or the button label was copy-pasted from a different locale setting and never corrected. The Simplified Chinese translation (evidenced by characters like 智, 能, 城, 市) is labeled as</w:t>
      </w:r>
      <w:r>
        <w:t xml:space="preserve"> </w:t>
      </w:r>
      <w:r>
        <w:t xml:space="preserve">“</w:t>
      </w:r>
      <w:r>
        <w:t xml:space="preserve">TH</w:t>
      </w:r>
      <w:r>
        <w:t xml:space="preserve">”</w:t>
      </w:r>
      <w:r>
        <w:t xml:space="preserve"> </w:t>
      </w:r>
      <w:r>
        <w:t xml:space="preserve">in the UI. This is almost certainly a copy-paste error during internationalization setup — the developer implemented Chinese (zh-CN) content but assigned it the wrong locale label.</w:t>
      </w:r>
    </w:p>
    <w:p>
      <w:pPr>
        <w:pStyle w:val="BodyText"/>
      </w:pPr>
      <w:r>
        <w:rPr>
          <w:bCs/>
          <w:b/>
        </w:rPr>
        <w:t xml:space="preserve">Why this matters pre-submission:</w:t>
      </w:r>
      <w:r>
        <w:t xml:space="preserve"> </w:t>
      </w:r>
      <w:r>
        <w:t xml:space="preserve">SCITI is positioned as a Thai government-backed smart city index. Its domain (</w:t>
      </w:r>
      <w:r>
        <w:rPr>
          <w:rStyle w:val="VerbatimChar"/>
        </w:rPr>
        <w:t xml:space="preserve">dopa.go.th</w:t>
      </w:r>
      <w:r>
        <w:t xml:space="preserve">) is a Thai government domain. Its primary audience includes Thai municipal officers who may not read English fluently. A</w:t>
      </w:r>
      <w:r>
        <w:t xml:space="preserve"> </w:t>
      </w:r>
      <w:r>
        <w:t xml:space="preserve">“</w:t>
      </w:r>
      <w:r>
        <w:t xml:space="preserve">TH</w:t>
      </w:r>
      <w:r>
        <w:t xml:space="preserve">”</w:t>
      </w:r>
      <w:r>
        <w:t xml:space="preserve"> </w:t>
      </w:r>
      <w:r>
        <w:t xml:space="preserve">button that delivers Chinese is not merely a bug — it is a political liability. A Thai government platform that cannot correctly label its own national language undermines the very credibility the index is designed to establish. The phonetic guide on the homepage itself references Thai script (</w:t>
      </w:r>
      <w:r>
        <w:t xml:space="preserve">“</w:t>
      </w:r>
      <w:r>
        <w:t xml:space="preserve">Samastiti ≈ สมาร์ทซิตี้</w:t>
      </w:r>
      <w:r>
        <w:t xml:space="preserve">”</w:t>
      </w:r>
      <w:r>
        <w:t xml:space="preserve">), confirming that Thai integration is part of the project’s conceptual framework</w:t>
      </w:r>
      <w:r>
        <w:t xml:space="preserve"> </w:t>
      </w:r>
      <w:fldSimple w:instr="NOTEREF _Ref_Footnote_2 \h \f">
        <w:r>
          <w:rPr>
            <w:vertAlign w:val="superscript"/>
          </w:rPr>
          <w:t>2</w:t>
        </w:r>
      </w:fldSimple>
      <w:r>
        <w:t xml:space="preserve">.</w:t>
      </w:r>
    </w:p>
    <w:p>
      <w:pPr>
        <w:pStyle w:val="BodyText"/>
      </w:pPr>
      <w:r>
        <w:rPr>
          <w:bCs/>
          <w:b/>
        </w:rPr>
        <w:t xml:space="preserve">Recommended Fix:</w:t>
      </w:r>
      <w:r>
        <w:t xml:space="preserve"> </w:t>
      </w:r>
      <w:r>
        <w:t xml:space="preserve">This is a one-line change in the i18n configuration. The locale label</w:t>
      </w:r>
      <w:r>
        <w:t xml:space="preserve"> </w:t>
      </w:r>
      <w:r>
        <w:t xml:space="preserve">“</w:t>
      </w:r>
      <w:r>
        <w:t xml:space="preserve">TH</w:t>
      </w:r>
      <w:r>
        <w:t xml:space="preserve">”</w:t>
      </w:r>
      <w:r>
        <w:t xml:space="preserve"> </w:t>
      </w:r>
      <w:r>
        <w:t xml:space="preserve">must be remapped to Thai-language content. If Thai translations are not yet available, the button label should be changed to</w:t>
      </w:r>
      <w:r>
        <w:t xml:space="preserve"> </w:t>
      </w:r>
      <w:r>
        <w:t xml:space="preserve">“</w:t>
      </w:r>
      <w:r>
        <w:t xml:space="preserve">CN</w:t>
      </w:r>
      <w:r>
        <w:t xml:space="preserve">”</w:t>
      </w:r>
      <w:r>
        <w:t xml:space="preserve"> </w:t>
      </w:r>
      <w:r>
        <w:t xml:space="preserve">or</w:t>
      </w:r>
      <w:r>
        <w:t xml:space="preserve"> </w:t>
      </w:r>
      <w:r>
        <w:t xml:space="preserve">“</w:t>
      </w:r>
      <w:r>
        <w:t xml:space="preserve">中文</w:t>
      </w:r>
      <w:r>
        <w:t xml:space="preserve">”</w:t>
      </w:r>
      <w:r>
        <w:t xml:space="preserve"> </w:t>
      </w:r>
      <w:r>
        <w:t xml:space="preserve">immediately — restoring truth-in-labeling — and Thai content should be prioritized in the next localization sprint. The current Chinese content can remain; it simply needs the correct label. Do not let the perfect (full Thai translation) be the enemy of the urgent (a button that tells the truth).</w:t>
      </w:r>
    </w:p>
    <w:p>
      <w:r>
        <w:pict>
          <v:rect style="width:0;height:1.5pt" o:hralign="center" o:hrstd="t" o:hr="t"/>
        </w:pict>
      </w:r>
    </w:p>
    <w:bookmarkEnd w:id="75"/>
    <w:bookmarkEnd w:id="76"/>
    <w:bookmarkStart w:id="80" w:name="high-priority"/>
    <w:p>
      <w:pPr>
        <w:pStyle w:val="Heading3"/>
      </w:pPr>
      <w:r>
        <w:t xml:space="preserve">3.2 High Priority</w:t>
      </w:r>
    </w:p>
    <w:p>
      <w:pPr>
        <w:pStyle w:val="FirstParagraph"/>
      </w:pPr>
      <w:r>
        <w:t xml:space="preserve">Three bugs fall into the high-priority category. They do not block navigation but erode trust in the platform’s evidentiary claims and accessibility commitments.</w:t>
      </w:r>
    </w:p>
    <w:bookmarkStart w:id="77" w:name="pdf-downloads-are-5-kb-placeholders"/>
    <w:p>
      <w:pPr>
        <w:pStyle w:val="Heading4"/>
      </w:pPr>
      <w:r>
        <w:t xml:space="preserve">3.2.1 PDF Downloads Are ~5 KB Placeholders</w:t>
      </w:r>
    </w:p>
    <w:p>
      <w:pPr>
        <w:pStyle w:val="FirstParagraph"/>
      </w:pPr>
      <w:r>
        <w:rPr>
          <w:bCs/>
          <w:b/>
        </w:rPr>
        <w:t xml:space="preserve">Test Result:</w:t>
      </w:r>
      <w:r>
        <w:t xml:space="preserve"> </w:t>
      </w:r>
      <w:r>
        <w:rPr>
          <w:rStyle w:val="VerbatimChar"/>
        </w:rPr>
        <w:t xml:space="preserve">GET https://sciti.dopa.go.th/downloads/SCITI-2026-Executive-Summary.pdf</w:t>
      </w:r>
      <w:r>
        <w:t xml:space="preserve"> </w:t>
      </w:r>
      <w:r>
        <w:t xml:space="preserve">→ 4,997 bytes (4.88 KB). Same approximate size for Methodology Paper, Full Report, and Performance Audit PDFs</w:t>
      </w:r>
      <w:r>
        <w:t xml:space="preserve"> </w:t>
      </w:r>
      <w:fldSimple w:instr="NOTEREF _Ref_Footnote_2 \h \f">
        <w:r>
          <w:rPr>
            <w:vertAlign w:val="superscript"/>
          </w:rPr>
          <w:t>2</w:t>
        </w:r>
      </w:fldSimple>
      <w:r>
        <w:t xml:space="preserve">.</w:t>
      </w:r>
    </w:p>
    <w:p>
      <w:pPr>
        <w:pStyle w:val="BodyText"/>
      </w:pPr>
      <w:r>
        <w:t xml:space="preserve">The open-data section on the homepage offers four PDF download buttons under a CC BY 4.0 license: Executive Summary, Methodology Paper, Full Report, and Performance Audit</w:t>
      </w:r>
      <w:r>
        <w:t xml:space="preserve"> </w:t>
      </w:r>
      <w:fldSimple w:instr="NOTEREF _Ref_Footnote_2 \h \f">
        <w:r>
          <w:rPr>
            <w:vertAlign w:val="superscript"/>
          </w:rPr>
          <w:t>2</w:t>
        </w:r>
      </w:fldSimple>
      <w:r>
        <w:t xml:space="preserve">. These documents are the evidentiary backbone of the platform’s transparency claims. A genuine executive summary for a 118-city smart city index would be 20–50 pages and several megabytes. A methodology paper with evidence-source documentation, composite formula derivation, and version history would exceed 1 MB. The downloaded files are 4.88 KB — smaller than the site’s favicon. They are placeholders, not documents.</w:t>
      </w:r>
    </w:p>
    <w:p>
      <w:pPr>
        <w:pStyle w:val="BodyText"/>
      </w:pPr>
      <w:r>
        <w:rPr>
          <w:bCs/>
          <w:b/>
        </w:rPr>
        <w:t xml:space="preserve">Root Cause:</w:t>
      </w:r>
      <w:r>
        <w:t xml:space="preserve"> </w:t>
      </w:r>
      <w:r>
        <w:t xml:space="preserve">The PDF files are likely empty or minimally-generated PDF shells created as build artifacts. They have the correct filenames and MIME types (</w:t>
      </w:r>
      <w:r>
        <w:rPr>
          <w:rStyle w:val="VerbatimChar"/>
        </w:rPr>
        <w:t xml:space="preserve">application/pdf</w:t>
      </w:r>
      <w:r>
        <w:t xml:space="preserve">) but contain no substantive content — possibly just a title page or a blank page with margins.</w:t>
      </w:r>
    </w:p>
    <w:p>
      <w:pPr>
        <w:pStyle w:val="BodyText"/>
      </w:pPr>
      <w:r>
        <w:rPr>
          <w:bCs/>
          <w:b/>
        </w:rPr>
        <w:t xml:space="preserve">Impact:</w:t>
      </w:r>
      <w:r>
        <w:t xml:space="preserve"> </w:t>
      </w:r>
      <w:r>
        <w:t xml:space="preserve">This is a credibility trap. Users who click</w:t>
      </w:r>
      <w:r>
        <w:t xml:space="preserve"> </w:t>
      </w:r>
      <w:r>
        <w:t xml:space="preserve">“</w:t>
      </w:r>
      <w:r>
        <w:t xml:space="preserve">Download Methodology Paper</w:t>
      </w:r>
      <w:r>
        <w:t xml:space="preserve">”</w:t>
      </w:r>
      <w:r>
        <w:t xml:space="preserve"> </w:t>
      </w:r>
      <w:r>
        <w:t xml:space="preserve">and receive a 5 KB file will conclude the methodology does not exist — undermining every claim about evidence-based scoring and transparency. The CC BY 4.0 license slogan</w:t>
      </w:r>
      <w:r>
        <w:t xml:space="preserve"> </w:t>
      </w:r>
      <w:r>
        <w:t xml:space="preserve">“</w:t>
      </w:r>
      <w:r>
        <w:t xml:space="preserve">Take the data. Audit the method. Build on it.</w:t>
      </w:r>
      <w:r>
        <w:t xml:space="preserve">”</w:t>
      </w:r>
      <w:r>
        <w:t xml:space="preserve"> </w:t>
      </w:r>
      <w:r>
        <w:t xml:space="preserve">becomes ironic when the method is not actually available for audit. For award submissions, peer review, and academic citation, downloadable methodology documentation is essential.</w:t>
      </w:r>
    </w:p>
    <w:p>
      <w:pPr>
        <w:pStyle w:val="BodyText"/>
      </w:pPr>
      <w:r>
        <w:rPr>
          <w:bCs/>
          <w:b/>
        </w:rPr>
        <w:t xml:space="preserve">Recommended Fix:</w:t>
      </w:r>
      <w:r>
        <w:t xml:space="preserve"> </w:t>
      </w:r>
      <w:r>
        <w:t xml:space="preserve">Generate the actual documents. The methodology page already contains rich content — version history, composite formula, evidence sources, tech stack disclosure</w:t>
      </w:r>
      <w:r>
        <w:t xml:space="preserve"> </w:t>
      </w:r>
      <w:fldSimple w:instr="NOTEREF _Ref_Footnote_11 \h \f">
        <w:r>
          <w:rPr>
            <w:vertAlign w:val="superscript"/>
          </w:rPr>
          <w:t>11</w:t>
        </w:r>
      </w:fldSimple>
      <w:r>
        <w:t xml:space="preserve">. Exporting this to PDF is a matter of rendering the page to print media via browser print-to-PDF or a headless Chromium pipeline. The Full Report can be compiled from city dossier data with a template. Until real documents are ready, replace the download buttons with</w:t>
      </w:r>
      <w:r>
        <w:t xml:space="preserve"> </w:t>
      </w:r>
      <w:r>
        <w:t xml:space="preserve">“</w:t>
      </w:r>
      <w:r>
        <w:t xml:space="preserve">Coming Soon</w:t>
      </w:r>
      <w:r>
        <w:t xml:space="preserve">”</w:t>
      </w:r>
      <w:r>
        <w:t xml:space="preserve"> </w:t>
      </w:r>
      <w:r>
        <w:t xml:space="preserve">labels or remove them entirely. Offering broken downloads is worse than offering none.</w:t>
      </w:r>
    </w:p>
    <w:p>
      <w:r>
        <w:pict>
          <v:rect style="width:0;height:1.5pt" o:hralign="center" o:hrstd="t" o:hr="t"/>
        </w:pict>
      </w:r>
    </w:p>
    <w:bookmarkEnd w:id="77"/>
    <w:bookmarkStart w:id="78" w:name="X124e1604d402519c5799084c83c49ba51070fe3"/>
    <w:p>
      <w:pPr>
        <w:pStyle w:val="Heading4"/>
      </w:pPr>
      <w:r>
        <w:t xml:space="preserve">3.2.2 Thai Language Translation Potentially Missing — 67 Million Thai Speakers Cannot Use Site</w:t>
      </w:r>
    </w:p>
    <w:p>
      <w:pPr>
        <w:pStyle w:val="FirstParagraph"/>
      </w:pPr>
      <w:r>
        <w:rPr>
          <w:bCs/>
          <w:b/>
        </w:rPr>
        <w:t xml:space="preserve">Test Result:</w:t>
      </w:r>
      <w:r>
        <w:t xml:space="preserve"> </w:t>
      </w:r>
      <w:r>
        <w:t xml:space="preserve">No Thai-language content (ภาษาไทย) was found anywhere in the application during testing. The</w:t>
      </w:r>
      <w:r>
        <w:t xml:space="preserve"> </w:t>
      </w:r>
      <w:r>
        <w:t xml:space="preserve">“</w:t>
      </w:r>
      <w:r>
        <w:t xml:space="preserve">TH</w:t>
      </w:r>
      <w:r>
        <w:t xml:space="preserve">”</w:t>
      </w:r>
      <w:r>
        <w:t xml:space="preserve"> </w:t>
      </w:r>
      <w:r>
        <w:t xml:space="preserve">button delivers Simplified Chinese. No alternative Thai toggle exists</w:t>
      </w:r>
      <w:r>
        <w:t xml:space="preserve"> </w:t>
      </w:r>
      <w:fldSimple w:instr="NOTEREF _Ref_Footnote_2 \h \f">
        <w:r>
          <w:rPr>
            <w:vertAlign w:val="superscript"/>
          </w:rPr>
          <w:t>2</w:t>
        </w:r>
      </w:fldSimple>
      <w:r>
        <w:t xml:space="preserve">.</w:t>
      </w:r>
    </w:p>
    <w:p>
      <w:pPr>
        <w:pStyle w:val="BodyText"/>
      </w:pPr>
      <w:r>
        <w:t xml:space="preserve">Thailand has a population of approximately 71 million, of whom roughly 67 million are Thai speakers. English proficiency is concentrated in urban professional populations; municipal officers in secondary cities, provincial governors, and community stakeholders frequently operate exclusively in Thai. A Thai government digital product that offers only English and Chinese — with the Chinese mislabeled as Thai — fails its primary domestic audience.</w:t>
      </w:r>
    </w:p>
    <w:p>
      <w:pPr>
        <w:pStyle w:val="BodyText"/>
      </w:pPr>
      <w:r>
        <w:rPr>
          <w:bCs/>
          <w:b/>
        </w:rPr>
        <w:t xml:space="preserve">Root Cause:</w:t>
      </w:r>
      <w:r>
        <w:t xml:space="preserve"> </w:t>
      </w:r>
      <w:r>
        <w:t xml:space="preserve">Thai localization may be planned but not yet implemented, or the translation files may exist but be incorrectly mapped (as suggested by the</w:t>
      </w:r>
      <w:r>
        <w:t xml:space="preserve"> </w:t>
      </w:r>
      <w:r>
        <w:t xml:space="preserve">“</w:t>
      </w:r>
      <w:r>
        <w:t xml:space="preserve">TH</w:t>
      </w:r>
      <w:r>
        <w:t xml:space="preserve">”</w:t>
      </w:r>
      <w:r>
        <w:t xml:space="preserve"> </w:t>
      </w:r>
      <w:r>
        <w:t xml:space="preserve">→ Chinese mislabel in Section 3.1.3). The phonetic guide on the homepage (</w:t>
      </w:r>
      <w:r>
        <w:t xml:space="preserve">“</w:t>
      </w:r>
      <w:r>
        <w:t xml:space="preserve">Samastiti ≈ สมาร์ทซิตี้</w:t>
      </w:r>
      <w:r>
        <w:t xml:space="preserve">”</w:t>
      </w:r>
      <w:r>
        <w:t xml:space="preserve">) demonstrates that the project team is comfortable with Thai script and that Thai integration is conceptually intended</w:t>
      </w:r>
      <w:r>
        <w:t xml:space="preserve"> </w:t>
      </w:r>
      <w:fldSimple w:instr="NOTEREF _Ref_Footnote_2 \h \f">
        <w:r>
          <w:rPr>
            <w:vertAlign w:val="superscript"/>
          </w:rPr>
          <w:t>2</w:t>
        </w:r>
      </w:fldSimple>
      <w:r>
        <w:t xml:space="preserve">.</w:t>
      </w:r>
    </w:p>
    <w:p>
      <w:pPr>
        <w:pStyle w:val="BodyText"/>
      </w:pPr>
      <w:r>
        <w:rPr>
          <w:bCs/>
          <w:b/>
        </w:rPr>
        <w:t xml:space="preserve">Impact:</w:t>
      </w:r>
      <w:r>
        <w:t xml:space="preserve"> </w:t>
      </w:r>
      <w:r>
        <w:t xml:space="preserve">Domestic adoption is the pathway to institutional legitimacy. If Thai municipal officers cannot read the site in their own language, SCITI remains a foreign-facing showcase rather than a domestic tool. For a platform whose mission is to</w:t>
      </w:r>
      <w:r>
        <w:t xml:space="preserve"> </w:t>
      </w:r>
      <w:r>
        <w:t xml:space="preserve">“</w:t>
      </w:r>
      <w:r>
        <w:t xml:space="preserve">close the gap between announcements and outcomes</w:t>
      </w:r>
      <w:r>
        <w:t xml:space="preserve">”</w:t>
      </w:r>
      <w:r>
        <w:t xml:space="preserve"> </w:t>
      </w:r>
      <w:r>
        <w:t xml:space="preserve">in Thai cities, the absence of Thai content is a foundational gap.</w:t>
      </w:r>
    </w:p>
    <w:p>
      <w:pPr>
        <w:pStyle w:val="BodyText"/>
      </w:pPr>
      <w:r>
        <w:rPr>
          <w:bCs/>
          <w:b/>
        </w:rPr>
        <w:t xml:space="preserve">Recommended Fix:</w:t>
      </w:r>
      <w:r>
        <w:t xml:space="preserve"> </w:t>
      </w:r>
      <w:r>
        <w:t xml:space="preserve">Commission Thai translation of all UI strings, navigation labels, and city dossier narratives. Prioritize the homepage, navigation, and Top Five city dossiers. If budget is constrained, machine translation (Google Translate API or DeepL Thai) with professional post-editing can produce usable results faster than full manual translation. The i18n framework is already in place (evidenced by the working English-Chinese toggle); adding Thai is a matter of adding a</w:t>
      </w:r>
      <w:r>
        <w:t xml:space="preserve"> </w:t>
      </w:r>
      <w:r>
        <w:rPr>
          <w:rStyle w:val="VerbatimChar"/>
        </w:rPr>
        <w:t xml:space="preserve">th</w:t>
      </w:r>
      <w:r>
        <w:t xml:space="preserve"> </w:t>
      </w:r>
      <w:r>
        <w:t xml:space="preserve">locale file, not architectural work.</w:t>
      </w:r>
    </w:p>
    <w:p>
      <w:r>
        <w:pict>
          <v:rect style="width:0;height:1.5pt" o:hralign="center" o:hrstd="t" o:hr="t"/>
        </w:pict>
      </w:r>
    </w:p>
    <w:bookmarkEnd w:id="78"/>
    <w:bookmarkStart w:id="79" w:name="Xf99729471e3e03f0779cf82671a288db15e2fa9"/>
    <w:p>
      <w:pPr>
        <w:pStyle w:val="Heading4"/>
      </w:pPr>
      <w:r>
        <w:t xml:space="preserve">3.2.3 Cloudflare Beacon Contradicts</w:t>
      </w:r>
      <w:r>
        <w:t xml:space="preserve"> </w:t>
      </w:r>
      <w:r>
        <w:t xml:space="preserve">“</w:t>
      </w:r>
      <w:r>
        <w:t xml:space="preserve">No Trackers</w:t>
      </w:r>
      <w:r>
        <w:t xml:space="preserve">”</w:t>
      </w:r>
      <w:r>
        <w:t xml:space="preserve"> </w:t>
      </w:r>
      <w:r>
        <w:t xml:space="preserve">Claim</w:t>
      </w:r>
    </w:p>
    <w:p>
      <w:pPr>
        <w:pStyle w:val="FirstParagraph"/>
      </w:pPr>
      <w:r>
        <w:rPr>
          <w:bCs/>
          <w:b/>
        </w:rPr>
        <w:t xml:space="preserve">Test Result:</w:t>
      </w:r>
      <w:r>
        <w:t xml:space="preserve"> </w:t>
      </w:r>
      <w:r>
        <w:rPr>
          <w:rStyle w:val="VerbatimChar"/>
        </w:rPr>
        <w:t xml:space="preserve">curl</w:t>
      </w:r>
      <w:r>
        <w:t xml:space="preserve"> </w:t>
      </w:r>
      <w:r>
        <w:t xml:space="preserve">analysis of the HTML response reveals</w:t>
      </w:r>
      <w:r>
        <w:t xml:space="preserve"> </w:t>
      </w:r>
      <w:r>
        <w:rPr>
          <w:rStyle w:val="VerbatimChar"/>
        </w:rPr>
        <w:t xml:space="preserve">cloudflareinsights.com</w:t>
      </w:r>
      <w:r>
        <w:t xml:space="preserve"> </w:t>
      </w:r>
      <w:r>
        <w:t xml:space="preserve">beacon script embedded in the page. The</w:t>
      </w:r>
      <w:r>
        <w:t xml:space="preserve"> </w:t>
      </w:r>
      <w:r>
        <w:rPr>
          <w:rStyle w:val="VerbatimChar"/>
        </w:rPr>
        <w:t xml:space="preserve">CF-Cache-Status: DYNAMIC</w:t>
      </w:r>
      <w:r>
        <w:t xml:space="preserve"> </w:t>
      </w:r>
      <w:r>
        <w:t xml:space="preserve">header confirms active Cloudflare processing</w:t>
      </w:r>
      <w:r>
        <w:t xml:space="preserve"> </w:t>
      </w:r>
      <w:fldSimple w:instr="NOTEREF _Ref_Footnote_1 \h \f">
        <w:r>
          <w:rPr>
            <w:vertAlign w:val="superscript"/>
          </w:rPr>
          <w:t>1</w:t>
        </w:r>
      </w:fldSimple>
      <w:r>
        <w:t xml:space="preserve">. The footer carries a PDPA B.E. 2562 badge with the text</w:t>
      </w:r>
      <w:r>
        <w:t xml:space="preserve"> </w:t>
      </w:r>
      <w:r>
        <w:t xml:space="preserve">“</w:t>
      </w:r>
      <w:r>
        <w:t xml:space="preserve">No personal data collected. No cookies. No trackers</w:t>
      </w:r>
      <w:r>
        <w:t xml:space="preserve">”</w:t>
      </w:r>
      <w:r>
        <w:t xml:space="preserve"> </w:t>
      </w:r>
      <w:fldSimple w:instr="NOTEREF _Ref_Footnote_1 \h \f">
        <w:r>
          <w:rPr>
            <w:vertAlign w:val="superscript"/>
          </w:rPr>
          <w:t>1</w:t>
        </w:r>
      </w:fldSimple>
      <w:r>
        <w:t xml:space="preserve">.</w:t>
      </w:r>
    </w:p>
    <w:p>
      <w:pPr>
        <w:pStyle w:val="BodyText"/>
      </w:pPr>
      <w:r>
        <w:t xml:space="preserve">These two facts are directly contradictory. Cloudflare Analytics (the</w:t>
      </w:r>
      <w:r>
        <w:t xml:space="preserve"> </w:t>
      </w:r>
      <w:r>
        <w:rPr>
          <w:rStyle w:val="VerbatimChar"/>
        </w:rPr>
        <w:t xml:space="preserve">cloudflareinsights.com</w:t>
      </w:r>
      <w:r>
        <w:t xml:space="preserve"> </w:t>
      </w:r>
      <w:r>
        <w:t xml:space="preserve">beacon) collects visitor IP addresses, user agent strings, request timestamps, and browsing patterns — all classified as personal data under Thailand’s Personal Data Protection Act B.E. 2562 (2019)</w:t>
      </w:r>
      <w:r>
        <w:t xml:space="preserve"> </w:t>
      </w:r>
      <w:fldSimple w:instr="NOTEREF _Ref_Footnote_3 \h \f">
        <w:r>
          <w:rPr>
            <w:vertAlign w:val="superscript"/>
          </w:rPr>
          <w:t>3</w:t>
        </w:r>
      </w:fldSimple>
      <w:r>
        <w:t xml:space="preserve">. The claim</w:t>
      </w:r>
      <w:r>
        <w:t xml:space="preserve"> </w:t>
      </w:r>
      <w:r>
        <w:t xml:space="preserve">“</w:t>
      </w:r>
      <w:r>
        <w:t xml:space="preserve">No trackers</w:t>
      </w:r>
      <w:r>
        <w:t xml:space="preserve">”</w:t>
      </w:r>
      <w:r>
        <w:t xml:space="preserve"> </w:t>
      </w:r>
      <w:r>
        <w:t xml:space="preserve">is false as a matter of technical fact.</w:t>
      </w:r>
    </w:p>
    <w:p>
      <w:pPr>
        <w:pStyle w:val="BodyText"/>
      </w:pPr>
      <w:r>
        <w:rPr>
          <w:bCs/>
          <w:b/>
        </w:rPr>
        <w:t xml:space="preserve">Root Cause:</w:t>
      </w:r>
      <w:r>
        <w:t xml:space="preserve"> </w:t>
      </w:r>
      <w:r>
        <w:t xml:space="preserve">The Cloudflare beacon is likely enabled by default in the Cloudflare dashboard — a common configuration for sites using Cloudflare’s free tier. The</w:t>
      </w:r>
      <w:r>
        <w:t xml:space="preserve"> </w:t>
      </w:r>
      <w:r>
        <w:t xml:space="preserve">“</w:t>
      </w:r>
      <w:r>
        <w:t xml:space="preserve">No trackers</w:t>
      </w:r>
      <w:r>
        <w:t xml:space="preserve">”</w:t>
      </w:r>
      <w:r>
        <w:t xml:space="preserve"> </w:t>
      </w:r>
      <w:r>
        <w:t xml:space="preserve">claim in the footer appears to have been written without awareness that the beacon is active.</w:t>
      </w:r>
    </w:p>
    <w:p>
      <w:pPr>
        <w:pStyle w:val="BodyText"/>
      </w:pPr>
      <w:r>
        <w:rPr>
          <w:bCs/>
          <w:b/>
        </w:rPr>
        <w:t xml:space="preserve">Impact:</w:t>
      </w:r>
      <w:r>
        <w:t xml:space="preserve"> </w:t>
      </w:r>
      <w:r>
        <w:t xml:space="preserve">This is a legal and credibility risk, not merely a technical inconsistency. PDPA compliance requires explicit consent for personal data collection, a clear privacy notice, and potentially a data processing agreement with Cloudflare Inc. </w:t>
      </w:r>
      <w:fldSimple w:instr="NOTEREF _Ref_Footnote_3 \h \f">
        <w:r>
          <w:rPr>
            <w:vertAlign w:val="superscript"/>
          </w:rPr>
          <w:t>3</w:t>
        </w:r>
      </w:fldSimple>
      <w:r>
        <w:t xml:space="preserve">. If a regulatory audit or investigative journalist tests the claim and discovers the beacon, the resulting coverage will focus on the discrepancy rather than the product’s merits. For a platform whose brand is built on transparency, a falsified privacy claim is especially damaging.</w:t>
      </w:r>
    </w:p>
    <w:p>
      <w:pPr>
        <w:pStyle w:val="BodyText"/>
      </w:pPr>
      <w:r>
        <w:rPr>
          <w:bCs/>
          <w:b/>
        </w:rPr>
        <w:t xml:space="preserve">Recommended Fix:</w:t>
      </w:r>
      <w:r>
        <w:t xml:space="preserve"> </w:t>
      </w:r>
      <w:r>
        <w:t xml:space="preserve">Two viable paths exist.</w:t>
      </w:r>
      <w:r>
        <w:t xml:space="preserve"> </w:t>
      </w:r>
      <w:r>
        <w:rPr>
          <w:bCs/>
          <w:b/>
        </w:rPr>
        <w:t xml:space="preserve">Path A (recommended):</w:t>
      </w:r>
      <w:r>
        <w:t xml:space="preserve"> </w:t>
      </w:r>
      <w:r>
        <w:t xml:space="preserve">Remove the Cloudflare beacon from the Cloudflare dashboard (Analytics → Client-side analytics → Disable) and rely on server-side logs, which can be anonymized at the origin. This restores truth to the</w:t>
      </w:r>
      <w:r>
        <w:t xml:space="preserve"> </w:t>
      </w:r>
      <w:r>
        <w:t xml:space="preserve">“</w:t>
      </w:r>
      <w:r>
        <w:t xml:space="preserve">No trackers</w:t>
      </w:r>
      <w:r>
        <w:t xml:space="preserve">”</w:t>
      </w:r>
      <w:r>
        <w:t xml:space="preserve"> </w:t>
      </w:r>
      <w:r>
        <w:t xml:space="preserve">claim with zero code changes.</w:t>
      </w:r>
      <w:r>
        <w:t xml:space="preserve"> </w:t>
      </w:r>
      <w:r>
        <w:rPr>
          <w:bCs/>
          <w:b/>
        </w:rPr>
        <w:t xml:space="preserve">Path B:</w:t>
      </w:r>
      <w:r>
        <w:t xml:space="preserve"> </w:t>
      </w:r>
      <w:r>
        <w:t xml:space="preserve">If analytics are operationally necessary, replace the</w:t>
      </w:r>
      <w:r>
        <w:t xml:space="preserve"> </w:t>
      </w:r>
      <w:r>
        <w:t xml:space="preserve">“</w:t>
      </w:r>
      <w:r>
        <w:t xml:space="preserve">No trackers</w:t>
      </w:r>
      <w:r>
        <w:t xml:space="preserve">”</w:t>
      </w:r>
      <w:r>
        <w:t xml:space="preserve"> </w:t>
      </w:r>
      <w:r>
        <w:t xml:space="preserve">badge with a full privacy notice that discloses Cloudflare’s role as a data processor, describes what data is collected, and provides a consent mechanism. Path B requires legal review and administrative effort but maintains analytics capability.</w:t>
      </w:r>
    </w:p>
    <w:p>
      <w:r>
        <w:pict>
          <v:rect style="width:0;height:1.5pt" o:hralign="center" o:hrstd="t" o:hr="t"/>
        </w:pict>
      </w:r>
    </w:p>
    <w:bookmarkEnd w:id="79"/>
    <w:bookmarkEnd w:id="80"/>
    <w:bookmarkStart w:id="84" w:name="medium-priority"/>
    <w:p>
      <w:pPr>
        <w:pStyle w:val="Heading3"/>
      </w:pPr>
      <w:r>
        <w:t xml:space="preserve">3.3 Medium Priority</w:t>
      </w:r>
    </w:p>
    <w:p>
      <w:pPr>
        <w:pStyle w:val="FirstParagraph"/>
      </w:pPr>
      <w:r>
        <w:t xml:space="preserve">Three bugs fall into the medium-priority category. They are UX gaps and technical debt that should be addressed in the next development sprint but do not block core functionality or credibility.</w:t>
      </w:r>
    </w:p>
    <w:bookmarkStart w:id="81" w:name="X7c346c5dc8758f394b87b631fbc30353e531436"/>
    <w:p>
      <w:pPr>
        <w:pStyle w:val="Heading4"/>
      </w:pPr>
      <w:r>
        <w:t xml:space="preserve">3.3.1 No Search Functionality Across 118 Cities</w:t>
      </w:r>
    </w:p>
    <w:p>
      <w:pPr>
        <w:pStyle w:val="FirstParagraph"/>
      </w:pPr>
      <w:r>
        <w:t xml:space="preserve">SCITI indexes 118 cities across 77 provinces but provides no search interface</w:t>
      </w:r>
      <w:r>
        <w:t xml:space="preserve"> </w:t>
      </w:r>
      <w:fldSimple w:instr="NOTEREF _Ref_Footnote_2 \h \f">
        <w:r>
          <w:rPr>
            <w:vertAlign w:val="superscript"/>
          </w:rPr>
          <w:t>2</w:t>
        </w:r>
      </w:fldSimple>
      <w:r>
        <w:t xml:space="preserve">. Users must browse the Rankings page (which lists all cities) or use the</w:t>
      </w:r>
      <w:r>
        <w:t xml:space="preserve"> </w:t>
      </w:r>
      <w:r>
        <w:t xml:space="preserve">“</w:t>
      </w:r>
      <w:r>
        <w:t xml:space="preserve">Your City</w:t>
      </w:r>
      <w:r>
        <w:t xml:space="preserve">”</w:t>
      </w:r>
      <w:r>
        <w:t xml:space="preserve"> </w:t>
      </w:r>
      <w:r>
        <w:t xml:space="preserve">matcher to find cities by pillar preference. There is no text search by city name, province, or keyword. For a user looking for</w:t>
      </w:r>
      <w:r>
        <w:t xml:space="preserve"> </w:t>
      </w:r>
      <w:r>
        <w:t xml:space="preserve">“</w:t>
      </w:r>
      <w:r>
        <w:t xml:space="preserve">Nakhon Ratchasima</w:t>
      </w:r>
      <w:r>
        <w:t xml:space="preserve">”</w:t>
      </w:r>
      <w:r>
        <w:t xml:space="preserve"> </w:t>
      </w:r>
      <w:r>
        <w:t xml:space="preserve">or</w:t>
      </w:r>
      <w:r>
        <w:t xml:space="preserve"> </w:t>
      </w:r>
      <w:r>
        <w:t xml:space="preserve">“</w:t>
      </w:r>
      <w:r>
        <w:t xml:space="preserve">Korat</w:t>
      </w:r>
      <w:r>
        <w:t xml:space="preserve">”</w:t>
      </w:r>
      <w:r>
        <w:t xml:space="preserve"> </w:t>
      </w:r>
      <w:r>
        <w:t xml:space="preserve">(the city’s common name), the only path is manual scrolling through a ranked list. This is a basic UX gap that becomes more painful as the dataset grows. A client-side search box indexing city names, provinces, and common aliases would resolve this with minimal implementation effort — the data is already loaded in the JavaScript bundle, so no backend search infrastructure is needed.</w:t>
      </w:r>
    </w:p>
    <w:p>
      <w:r>
        <w:pict>
          <v:rect style="width:0;height:1.5pt" o:hralign="center" o:hrstd="t" o:hr="t"/>
        </w:pict>
      </w:r>
    </w:p>
    <w:bookmarkEnd w:id="81"/>
    <w:bookmarkStart w:id="82" w:name="mobile-responsiveness-untested"/>
    <w:p>
      <w:pPr>
        <w:pStyle w:val="Heading4"/>
      </w:pPr>
      <w:r>
        <w:t xml:space="preserve">3.3.2 Mobile Responsiveness Untested</w:t>
      </w:r>
    </w:p>
    <w:p>
      <w:pPr>
        <w:pStyle w:val="FirstParagraph"/>
      </w:pPr>
      <w:r>
        <w:t xml:space="preserve">The SCITI layouts adapt to viewport width (evidenced by responsive grid patterns on the Rankings and Compare pages), but no dedicated mobile testing was performed during this audit</w:t>
      </w:r>
      <w:r>
        <w:t xml:space="preserve"> </w:t>
      </w:r>
      <w:fldSimple w:instr="NOTEREF _Ref_Footnote_2 \h \f">
        <w:r>
          <w:rPr>
            <w:vertAlign w:val="superscript"/>
          </w:rPr>
          <w:t>2</w:t>
        </w:r>
      </w:fldSimple>
      <w:r>
        <w:t xml:space="preserve">. Thailand has one of the highest mobile internet usage rates in Southeast Asia — the majority of domestic traffic to a government site will come from smartphones. The interactive features (pillar matcher A→B→C cycling, comparison basket with add/remove pills, lens-based filtering) are complex touch interactions that may have usability issues on small screens. The spider charts, while rendering correctly on desktop, may be unreadable at mobile viewport widths. A dedicated mobile audit should be performed using Chrome DevTools device emulation and physical devices (iPhone, Android) before the site is promoted to general audiences.</w:t>
      </w:r>
    </w:p>
    <w:p>
      <w:r>
        <w:pict>
          <v:rect style="width:0;height:1.5pt" o:hralign="center" o:hrstd="t" o:hr="t"/>
        </w:pict>
      </w:r>
    </w:p>
    <w:bookmarkEnd w:id="82"/>
    <w:bookmarkStart w:id="83" w:name="X3403ed53edf2d6de386a407f1a00d15f42edc2c"/>
    <w:p>
      <w:pPr>
        <w:pStyle w:val="Heading4"/>
      </w:pPr>
      <w:r>
        <w:t xml:space="preserve">3.3.3 No Schema.org Structured Data for Google Dataset Search Discovery</w:t>
      </w:r>
    </w:p>
    <w:p>
      <w:pPr>
        <w:pStyle w:val="FirstParagraph"/>
      </w:pPr>
      <w:r>
        <w:t xml:space="preserve">SCITI contains no Schema.org JSON-LD structured data in its HTML</w:t>
      </w:r>
      <w:r>
        <w:t xml:space="preserve"> </w:t>
      </w:r>
      <w:fldSimple w:instr="NOTEREF _Ref_Footnote_1 \h \f">
        <w:r>
          <w:rPr>
            <w:vertAlign w:val="superscript"/>
          </w:rPr>
          <w:t>1</w:t>
        </w:r>
      </w:fldSimple>
      <w:r>
        <w:t xml:space="preserve">. This omission means Google cannot understand that the site is a structured dataset of city assessments, cannot generate rich snippets for city dossiers, and cannot include SCITI in Google Dataset Search — a specialized search engine for discoverable datasets. For an open-data platform whose competitive advantage is transparency, the inability to be discovered through structured data search is a missed opportunity.</w:t>
      </w:r>
    </w:p>
    <w:p>
      <w:pPr>
        <w:pStyle w:val="BodyText"/>
      </w:pPr>
      <w:r>
        <w:t xml:space="preserve">Three schemas would deliver immediate value. A</w:t>
      </w:r>
      <w:r>
        <w:t xml:space="preserve"> </w:t>
      </w:r>
      <w:r>
        <w:rPr>
          <w:rStyle w:val="VerbatimChar"/>
        </w:rPr>
        <w:t xml:space="preserve">WebSite</w:t>
      </w:r>
      <w:r>
        <w:t xml:space="preserve"> </w:t>
      </w:r>
      <w:r>
        <w:t xml:space="preserve">schema with</w:t>
      </w:r>
      <w:r>
        <w:t xml:space="preserve"> </w:t>
      </w:r>
      <w:r>
        <w:rPr>
          <w:rStyle w:val="VerbatimChar"/>
        </w:rPr>
        <w:t xml:space="preserve">SearchAction</w:t>
      </w:r>
      <w:r>
        <w:t xml:space="preserve"> </w:t>
      </w:r>
      <w:r>
        <w:t xml:space="preserve">would enable a site search box in Google results. An</w:t>
      </w:r>
      <w:r>
        <w:t xml:space="preserve"> </w:t>
      </w:r>
      <w:r>
        <w:rPr>
          <w:rStyle w:val="VerbatimChar"/>
        </w:rPr>
        <w:t xml:space="preserve">Organization</w:t>
      </w:r>
      <w:r>
        <w:t xml:space="preserve"> </w:t>
      </w:r>
      <w:r>
        <w:t xml:space="preserve">schema would properly identify DEPA as the publisher. A</w:t>
      </w:r>
      <w:r>
        <w:t xml:space="preserve"> </w:t>
      </w:r>
      <w:r>
        <w:rPr>
          <w:rStyle w:val="VerbatimChar"/>
        </w:rPr>
        <w:t xml:space="preserve">Dataset</w:t>
      </w:r>
      <w:r>
        <w:t xml:space="preserve"> </w:t>
      </w:r>
      <w:r>
        <w:t xml:space="preserve">schema on the open-data section would register SCITI with Google Dataset Search, making the 118-city index discoverable to researchers worldwide</w:t>
      </w:r>
      <w:r>
        <w:t xml:space="preserve"> </w:t>
      </w:r>
      <w:fldSimple w:instr="NOTEREF _Ref_Footnote_13 \h \f">
        <w:r>
          <w:rPr>
            <w:vertAlign w:val="superscript"/>
          </w:rPr>
          <w:t>13</w:t>
        </w:r>
      </w:fldSimple>
      <w:r>
        <w:t xml:space="preserve">. Implementation requires adding</w:t>
      </w:r>
      <w:r>
        <w:t xml:space="preserve"> </w:t>
      </w:r>
      <w:r>
        <w:rPr>
          <w:rStyle w:val="VerbatimChar"/>
        </w:rPr>
        <w:t xml:space="preserve">&lt;script type="application/ld+json"&gt;</w:t>
      </w:r>
      <w:r>
        <w:t xml:space="preserve"> </w:t>
      </w:r>
      <w:r>
        <w:t xml:space="preserve">blocks to the HTML</w:t>
      </w:r>
      <w:r>
        <w:t xml:space="preserve"> </w:t>
      </w:r>
      <w:r>
        <w:rPr>
          <w:rStyle w:val="VerbatimChar"/>
        </w:rPr>
        <w:t xml:space="preserve">&lt;head&gt;</w:t>
      </w:r>
      <w:r>
        <w:t xml:space="preserve"> </w:t>
      </w:r>
      <w:r>
        <w:t xml:space="preserve">— a task estimated at two to four hours for a developer familiar with JSON-LD syntax.</w:t>
      </w:r>
    </w:p>
    <w:p>
      <w:r>
        <w:pict>
          <v:rect style="width:0;height:1.5pt" o:hralign="center" o:hrstd="t" o:hr="t"/>
        </w:pict>
      </w:r>
    </w:p>
    <w:bookmarkEnd w:id="83"/>
    <w:bookmarkEnd w:id="84"/>
    <w:bookmarkStart w:id="85" w:name="bug-priority-matrix"/>
    <w:p>
      <w:pPr>
        <w:pStyle w:val="Heading3"/>
      </w:pPr>
      <w:r>
        <w:t xml:space="preserve">3.4 Bug Priority Matrix</w:t>
      </w:r>
    </w:p>
    <w:p>
      <w:pPr>
        <w:pStyle w:val="FirstParagraph"/>
      </w:pPr>
      <w:r>
        <w:t xml:space="preserve">The following table consolidates all eight bugs into a single action-ready matrix. Severity is classified as Show-stopper (S), High (H), or Medium (M). Impact describes the user or institutional consequence. Fix complexity estimates the development effort. Recommended action specifies the concrete next step.</w:t>
      </w:r>
    </w:p>
    <w:tbl>
      <w:tblPr>
        <w:tblStyle w:val="Table"/>
        <w:tblW w:type="pct" w:w="5000"/>
        <w:tblLook w:firstRow="1" w:lastRow="0" w:firstColumn="0" w:lastColumn="0" w:noHBand="0" w:noVBand="0" w:val="0020"/>
      </w:tblPr>
      <w:tblGrid>
        <w:gridCol w:w="671"/>
        <w:gridCol w:w="1342"/>
        <w:gridCol w:w="1073"/>
        <w:gridCol w:w="2147"/>
        <w:gridCol w:w="2684"/>
      </w:tblGrid>
      <w:tr>
        <w:trPr>
          <w:tblHeader w:val="true"/>
        </w:trPr>
        <w:tc>
          <w:tcPr/>
          <w:p>
            <w:pPr>
              <w:pStyle w:val="Compact"/>
              <w:jc w:val="left"/>
            </w:pPr>
            <w:r>
              <w:t xml:space="preserve">Bug</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Fix Complexity</w:t>
            </w:r>
          </w:p>
        </w:tc>
        <w:tc>
          <w:tcPr/>
          <w:p>
            <w:pPr>
              <w:pStyle w:val="Compact"/>
              <w:jc w:val="left"/>
            </w:pPr>
            <w:r>
              <w:t xml:space="preserve">Recommended Action</w:t>
            </w:r>
          </w:p>
        </w:tc>
      </w:tr>
      <w:tr>
        <w:tc>
          <w:tcPr/>
          <w:p>
            <w:pPr>
              <w:pStyle w:val="Compact"/>
              <w:jc w:val="left"/>
            </w:pPr>
            <w:r>
              <w:t xml:space="preserve">SPA routing:</w:t>
            </w:r>
            <w:r>
              <w:t xml:space="preserve"> </w:t>
            </w:r>
            <w:r>
              <w:rPr>
                <w:rStyle w:val="VerbatimChar"/>
              </w:rPr>
              <w:t xml:space="preserve">/rankings</w:t>
            </w:r>
            <w:r>
              <w:t xml:space="preserve"> </w:t>
            </w:r>
            <w:r>
              <w:t xml:space="preserve">404; only</w:t>
            </w:r>
            <w:r>
              <w:t xml:space="preserve"> </w:t>
            </w:r>
            <w:r>
              <w:rPr>
                <w:rStyle w:val="VerbatimChar"/>
              </w:rPr>
              <w:t xml:space="preserve">/rankings/</w:t>
            </w:r>
            <w:r>
              <w:t xml:space="preserve"> </w:t>
            </w:r>
            <w:r>
              <w:t xml:space="preserve">works</w:t>
            </w:r>
            <w:r>
              <w:t xml:space="preserve"> </w:t>
            </w:r>
            <w:fldSimple w:instr="NOTEREF _Ref_Footnote_2 \h \f">
              <w:r>
                <w:rPr>
                  <w:vertAlign w:val="superscript"/>
                </w:rPr>
                <w:t>2</w:t>
              </w:r>
            </w:fldSimple>
          </w:p>
        </w:tc>
        <w:tc>
          <w:tcPr/>
          <w:p>
            <w:pPr>
              <w:pStyle w:val="Compact"/>
              <w:jc w:val="left"/>
            </w:pPr>
            <w:r>
              <w:t xml:space="preserve">S</w:t>
            </w:r>
          </w:p>
        </w:tc>
        <w:tc>
          <w:tcPr/>
          <w:p>
            <w:pPr>
              <w:pStyle w:val="Compact"/>
              <w:jc w:val="left"/>
            </w:pPr>
            <w:r>
              <w:t xml:space="preserve">External links, bookmarks, direct URL entry fail for all SPA routes</w:t>
            </w:r>
          </w:p>
        </w:tc>
        <w:tc>
          <w:tcPr/>
          <w:p>
            <w:pPr>
              <w:pStyle w:val="Compact"/>
              <w:jc w:val="left"/>
            </w:pPr>
            <w:r>
              <w:t xml:space="preserve">Low (1 day)</w:t>
            </w:r>
          </w:p>
        </w:tc>
        <w:tc>
          <w:tcPr/>
          <w:p>
            <w:pPr>
              <w:pStyle w:val="Compact"/>
              <w:jc w:val="left"/>
            </w:pPr>
            <w:r>
              <w:t xml:space="preserve">Add 404.html redirect trick for GitHub Pages SPA, or migrate to Netlify/Vercel</w:t>
            </w:r>
          </w:p>
        </w:tc>
      </w:tr>
      <w:tr>
        <w:tc>
          <w:tcPr/>
          <w:p>
            <w:pPr>
              <w:pStyle w:val="Compact"/>
              <w:jc w:val="left"/>
            </w:pPr>
            <w:r>
              <w:t xml:space="preserve">City slug mismatch:</w:t>
            </w:r>
            <w:r>
              <w:t xml:space="preserve"> </w:t>
            </w:r>
            <w:r>
              <w:rPr>
                <w:rStyle w:val="VerbatimChar"/>
              </w:rPr>
              <w:t xml:space="preserve">/city/phuket</w:t>
            </w:r>
            <w:r>
              <w:t xml:space="preserve"> </w:t>
            </w:r>
            <w:r>
              <w:t xml:space="preserve">404s</w:t>
            </w:r>
            <w:r>
              <w:t xml:space="preserve"> </w:t>
            </w:r>
            <w:fldSimple w:instr="NOTEREF _Ref_Footnote_2 \h \f">
              <w:r>
                <w:rPr>
                  <w:vertAlign w:val="superscript"/>
                </w:rPr>
                <w:t>2</w:t>
              </w:r>
            </w:fldSimple>
          </w:p>
        </w:tc>
        <w:tc>
          <w:tcPr/>
          <w:p>
            <w:pPr>
              <w:pStyle w:val="Compact"/>
              <w:jc w:val="left"/>
            </w:pPr>
            <w:r>
              <w:t xml:space="preserve">S</w:t>
            </w:r>
          </w:p>
        </w:tc>
        <w:tc>
          <w:tcPr/>
          <w:p>
            <w:pPr>
              <w:pStyle w:val="Compact"/>
              <w:jc w:val="left"/>
            </w:pPr>
            <w:r>
              <w:t xml:space="preserve">Most prominent city dossier unreachable by intuitive URL</w:t>
            </w:r>
          </w:p>
        </w:tc>
        <w:tc>
          <w:tcPr/>
          <w:p>
            <w:pPr>
              <w:pStyle w:val="Compact"/>
              <w:jc w:val="left"/>
            </w:pPr>
            <w:r>
              <w:t xml:space="preserve">Low (½ day)</w:t>
            </w:r>
          </w:p>
        </w:tc>
        <w:tc>
          <w:tcPr/>
          <w:p>
            <w:pPr>
              <w:pStyle w:val="Compact"/>
              <w:jc w:val="left"/>
            </w:pPr>
            <w:r>
              <w:t xml:space="preserve">Implement slug aliases:</w:t>
            </w:r>
            <w:r>
              <w:t xml:space="preserve"> </w:t>
            </w:r>
            <w:r>
              <w:rPr>
                <w:rStyle w:val="VerbatimChar"/>
              </w:rPr>
              <w:t xml:space="preserve">/city/phuket</w:t>
            </w:r>
            <w:r>
              <w:t xml:space="preserve"> </w:t>
            </w:r>
            <w:r>
              <w:t xml:space="preserve">→ 301 →</w:t>
            </w:r>
            <w:r>
              <w:t xml:space="preserve"> </w:t>
            </w:r>
            <w:r>
              <w:rPr>
                <w:rStyle w:val="VerbatimChar"/>
              </w:rPr>
              <w:t xml:space="preserve">/city/phuket-smart-city</w:t>
            </w:r>
            <w:r>
              <w:t xml:space="preserve">; apply to Top 10 cities</w:t>
            </w:r>
          </w:p>
        </w:tc>
      </w:tr>
      <w:tr>
        <w:tc>
          <w:tcPr/>
          <w:p>
            <w:pPr>
              <w:pStyle w:val="Compact"/>
              <w:jc w:val="left"/>
            </w:pPr>
            <w:r>
              <w:t xml:space="preserve">“</w:t>
            </w:r>
            <w:r>
              <w:t xml:space="preserve">TH</w:t>
            </w:r>
            <w:r>
              <w:t xml:space="preserve">”</w:t>
            </w:r>
            <w:r>
              <w:t xml:space="preserve"> </w:t>
            </w:r>
            <w:r>
              <w:t xml:space="preserve">button renders Chinese (四世皇路智慧城市)</w:t>
            </w:r>
            <w:r>
              <w:t xml:space="preserve"> </w:t>
            </w:r>
            <w:fldSimple w:instr="NOTEREF _Ref_Footnote_2 \h \f">
              <w:r>
                <w:rPr>
                  <w:vertAlign w:val="superscript"/>
                </w:rPr>
                <w:t>2</w:t>
              </w:r>
            </w:fldSimple>
          </w:p>
        </w:tc>
        <w:tc>
          <w:tcPr/>
          <w:p>
            <w:pPr>
              <w:pStyle w:val="Compact"/>
              <w:jc w:val="left"/>
            </w:pPr>
            <w:r>
              <w:t xml:space="preserve">S</w:t>
            </w:r>
          </w:p>
        </w:tc>
        <w:tc>
          <w:tcPr/>
          <w:p>
            <w:pPr>
              <w:pStyle w:val="Compact"/>
              <w:jc w:val="left"/>
            </w:pPr>
            <w:r>
              <w:t xml:space="preserve">Credibility collapse with Thai government stakeholders; political liability</w:t>
            </w:r>
          </w:p>
        </w:tc>
        <w:tc>
          <w:tcPr/>
          <w:p>
            <w:pPr>
              <w:pStyle w:val="Compact"/>
              <w:jc w:val="left"/>
            </w:pPr>
            <w:r>
              <w:t xml:space="preserve">Trivial (1 hour)</w:t>
            </w:r>
          </w:p>
        </w:tc>
        <w:tc>
          <w:tcPr/>
          <w:p>
            <w:pPr>
              <w:pStyle w:val="Compact"/>
              <w:jc w:val="left"/>
            </w:pPr>
            <w:r>
              <w:t xml:space="preserve">Remap</w:t>
            </w:r>
            <w:r>
              <w:t xml:space="preserve"> </w:t>
            </w:r>
            <w:r>
              <w:t xml:space="preserve">“</w:t>
            </w:r>
            <w:r>
              <w:t xml:space="preserve">TH</w:t>
            </w:r>
            <w:r>
              <w:t xml:space="preserve">”</w:t>
            </w:r>
            <w:r>
              <w:t xml:space="preserve"> </w:t>
            </w:r>
            <w:r>
              <w:t xml:space="preserve">locale to Thai content; if unavailable, relabel button to</w:t>
            </w:r>
            <w:r>
              <w:t xml:space="preserve"> </w:t>
            </w:r>
            <w:r>
              <w:t xml:space="preserve">“</w:t>
            </w:r>
            <w:r>
              <w:t xml:space="preserve">CN</w:t>
            </w:r>
            <w:r>
              <w:t xml:space="preserve">”</w:t>
            </w:r>
            <w:r>
              <w:t xml:space="preserve">/</w:t>
            </w:r>
            <w:r>
              <w:t xml:space="preserve">“</w:t>
            </w:r>
            <w:r>
              <w:t xml:space="preserve">中文</w:t>
            </w:r>
            <w:r>
              <w:t xml:space="preserve">”</w:t>
            </w:r>
            <w:r>
              <w:t xml:space="preserve"> </w:t>
            </w:r>
            <w:r>
              <w:t xml:space="preserve">immediately</w:t>
            </w:r>
          </w:p>
        </w:tc>
      </w:tr>
      <w:tr>
        <w:tc>
          <w:tcPr/>
          <w:p>
            <w:pPr>
              <w:pStyle w:val="Compact"/>
              <w:jc w:val="left"/>
            </w:pPr>
            <w:r>
              <w:t xml:space="preserve">PDF downloads are ~5 KB placeholders</w:t>
            </w:r>
            <w:r>
              <w:t xml:space="preserve"> </w:t>
            </w:r>
            <w:fldSimple w:instr="NOTEREF _Ref_Footnote_2 \h \f">
              <w:r>
                <w:rPr>
                  <w:vertAlign w:val="superscript"/>
                </w:rPr>
                <w:t>2</w:t>
              </w:r>
            </w:fldSimple>
          </w:p>
        </w:tc>
        <w:tc>
          <w:tcPr/>
          <w:p>
            <w:pPr>
              <w:pStyle w:val="Compact"/>
              <w:jc w:val="left"/>
            </w:pPr>
            <w:r>
              <w:t xml:space="preserve">H</w:t>
            </w:r>
          </w:p>
        </w:tc>
        <w:tc>
          <w:tcPr/>
          <w:p>
            <w:pPr>
              <w:pStyle w:val="Compact"/>
              <w:jc w:val="left"/>
            </w:pPr>
            <w:r>
              <w:t xml:space="preserve">Transparency claims undermined; methodology unauditable</w:t>
            </w:r>
          </w:p>
        </w:tc>
        <w:tc>
          <w:tcPr/>
          <w:p>
            <w:pPr>
              <w:pStyle w:val="Compact"/>
              <w:jc w:val="left"/>
            </w:pPr>
            <w:r>
              <w:t xml:space="preserve">Medium (3–5 days)</w:t>
            </w:r>
          </w:p>
        </w:tc>
        <w:tc>
          <w:tcPr/>
          <w:p>
            <w:pPr>
              <w:pStyle w:val="Compact"/>
              <w:jc w:val="left"/>
            </w:pPr>
            <w:r>
              <w:t xml:space="preserve">Generate real PDFs from existing page content, or replace buttons with</w:t>
            </w:r>
            <w:r>
              <w:t xml:space="preserve"> </w:t>
            </w:r>
            <w:r>
              <w:t xml:space="preserve">“</w:t>
            </w:r>
            <w:r>
              <w:t xml:space="preserve">Coming Soon</w:t>
            </w:r>
            <w:r>
              <w:t xml:space="preserve">”</w:t>
            </w:r>
            <w:r>
              <w:t xml:space="preserve"> </w:t>
            </w:r>
            <w:r>
              <w:t xml:space="preserve">labels</w:t>
            </w:r>
          </w:p>
        </w:tc>
      </w:tr>
      <w:tr>
        <w:tc>
          <w:tcPr/>
          <w:p>
            <w:pPr>
              <w:pStyle w:val="Compact"/>
              <w:jc w:val="left"/>
            </w:pPr>
            <w:r>
              <w:t xml:space="preserve">Thai language content missing (67M speakers)</w:t>
            </w:r>
            <w:r>
              <w:t xml:space="preserve"> </w:t>
            </w:r>
            <w:fldSimple w:instr="NOTEREF _Ref_Footnote_2 \h \f">
              <w:r>
                <w:rPr>
                  <w:vertAlign w:val="superscript"/>
                </w:rPr>
                <w:t>2</w:t>
              </w:r>
            </w:fldSimple>
          </w:p>
        </w:tc>
        <w:tc>
          <w:tcPr/>
          <w:p>
            <w:pPr>
              <w:pStyle w:val="Compact"/>
              <w:jc w:val="left"/>
            </w:pPr>
            <w:r>
              <w:t xml:space="preserve">H</w:t>
            </w:r>
          </w:p>
        </w:tc>
        <w:tc>
          <w:tcPr/>
          <w:p>
            <w:pPr>
              <w:pStyle w:val="Compact"/>
              <w:jc w:val="left"/>
            </w:pPr>
            <w:r>
              <w:t xml:space="preserve">Domestic audience cannot use the site; government site without Thai</w:t>
            </w:r>
          </w:p>
        </w:tc>
        <w:tc>
          <w:tcPr/>
          <w:p>
            <w:pPr>
              <w:pStyle w:val="Compact"/>
              <w:jc w:val="left"/>
            </w:pPr>
            <w:r>
              <w:t xml:space="preserve">Medium (1–2 weeks)</w:t>
            </w:r>
          </w:p>
        </w:tc>
        <w:tc>
          <w:tcPr/>
          <w:p>
            <w:pPr>
              <w:pStyle w:val="Compact"/>
              <w:jc w:val="left"/>
            </w:pPr>
            <w:r>
              <w:t xml:space="preserve">Commission Thai translation; prioritize UI strings and Top 5 dossiers; use MT+post-edit if budget-constrained</w:t>
            </w:r>
          </w:p>
        </w:tc>
      </w:tr>
      <w:tr>
        <w:tc>
          <w:tcPr/>
          <w:p>
            <w:pPr>
              <w:pStyle w:val="Compact"/>
              <w:jc w:val="left"/>
            </w:pPr>
            <w:r>
              <w:t xml:space="preserve">Cloudflare beacon contradicts</w:t>
            </w:r>
            <w:r>
              <w:t xml:space="preserve"> </w:t>
            </w:r>
            <w:r>
              <w:t xml:space="preserve">“</w:t>
            </w:r>
            <w:r>
              <w:t xml:space="preserve">no trackers</w:t>
            </w:r>
            <w:r>
              <w:t xml:space="preserve">”</w:t>
            </w:r>
            <w:r>
              <w:t xml:space="preserve"> </w:t>
            </w:r>
            <w:r>
              <w:t xml:space="preserve">claim</w:t>
            </w:r>
            <w:r>
              <w:t xml:space="preserve"> </w:t>
            </w:r>
            <w:fldSimple w:instr="NOTEREF _Ref_Footnote_1 \h \f">
              <w:r>
                <w:rPr>
                  <w:vertAlign w:val="superscript"/>
                </w:rPr>
                <w:t>1</w:t>
              </w:r>
            </w:fldSimple>
          </w:p>
        </w:tc>
        <w:tc>
          <w:tcPr/>
          <w:p>
            <w:pPr>
              <w:pStyle w:val="Compact"/>
              <w:jc w:val="left"/>
            </w:pPr>
            <w:r>
              <w:t xml:space="preserve">H</w:t>
            </w:r>
          </w:p>
        </w:tc>
        <w:tc>
          <w:tcPr/>
          <w:p>
            <w:pPr>
              <w:pStyle w:val="Compact"/>
              <w:jc w:val="left"/>
            </w:pPr>
            <w:r>
              <w:t xml:space="preserve">PDPA compliance risk; credibility damage if exposed; legal liability</w:t>
            </w:r>
          </w:p>
        </w:tc>
        <w:tc>
          <w:tcPr/>
          <w:p>
            <w:pPr>
              <w:pStyle w:val="Compact"/>
              <w:jc w:val="left"/>
            </w:pPr>
            <w:r>
              <w:t xml:space="preserve">Low (1 hour)</w:t>
            </w:r>
          </w:p>
        </w:tc>
        <w:tc>
          <w:tcPr/>
          <w:p>
            <w:pPr>
              <w:pStyle w:val="Compact"/>
              <w:jc w:val="left"/>
            </w:pPr>
            <w:r>
              <w:t xml:space="preserve">Disable Cloudflare client-side analytics in dashboard, or add full privacy notice + consent mechanism</w:t>
            </w:r>
          </w:p>
        </w:tc>
      </w:tr>
      <w:tr>
        <w:tc>
          <w:tcPr/>
          <w:p>
            <w:pPr>
              <w:pStyle w:val="Compact"/>
              <w:jc w:val="left"/>
            </w:pPr>
            <w:r>
              <w:t xml:space="preserve">No search across 118 cities</w:t>
            </w:r>
            <w:r>
              <w:t xml:space="preserve"> </w:t>
            </w:r>
            <w:fldSimple w:instr="NOTEREF _Ref_Footnote_2 \h \f">
              <w:r>
                <w:rPr>
                  <w:vertAlign w:val="superscript"/>
                </w:rPr>
                <w:t>2</w:t>
              </w:r>
            </w:fldSimple>
          </w:p>
        </w:tc>
        <w:tc>
          <w:tcPr/>
          <w:p>
            <w:pPr>
              <w:pStyle w:val="Compact"/>
              <w:jc w:val="left"/>
            </w:pPr>
            <w:r>
              <w:t xml:space="preserve">M</w:t>
            </w:r>
          </w:p>
        </w:tc>
        <w:tc>
          <w:tcPr/>
          <w:p>
            <w:pPr>
              <w:pStyle w:val="Compact"/>
              <w:jc w:val="left"/>
            </w:pPr>
            <w:r>
              <w:t xml:space="preserve">Users must manually browse; worsens with dataset growth</w:t>
            </w:r>
          </w:p>
        </w:tc>
        <w:tc>
          <w:tcPr/>
          <w:p>
            <w:pPr>
              <w:pStyle w:val="Compact"/>
              <w:jc w:val="left"/>
            </w:pPr>
            <w:r>
              <w:t xml:space="preserve">Low (1–2 days)</w:t>
            </w:r>
          </w:p>
        </w:tc>
        <w:tc>
          <w:tcPr/>
          <w:p>
            <w:pPr>
              <w:pStyle w:val="Compact"/>
              <w:jc w:val="left"/>
            </w:pPr>
            <w:r>
              <w:t xml:space="preserve">Add client-side search box indexing city names, provinces, and aliases; no backend needed</w:t>
            </w:r>
          </w:p>
        </w:tc>
      </w:tr>
      <w:tr>
        <w:tc>
          <w:tcPr/>
          <w:p>
            <w:pPr>
              <w:pStyle w:val="Compact"/>
              <w:jc w:val="left"/>
            </w:pPr>
            <w:r>
              <w:t xml:space="preserve">Mobile responsiveness untested</w:t>
            </w:r>
            <w:r>
              <w:t xml:space="preserve"> </w:t>
            </w:r>
            <w:fldSimple w:instr="NOTEREF _Ref_Footnote_2 \h \f">
              <w:r>
                <w:rPr>
                  <w:vertAlign w:val="superscript"/>
                </w:rPr>
                <w:t>2</w:t>
              </w:r>
            </w:fldSimple>
          </w:p>
        </w:tc>
        <w:tc>
          <w:tcPr/>
          <w:p>
            <w:pPr>
              <w:pStyle w:val="Compact"/>
              <w:jc w:val="left"/>
            </w:pPr>
            <w:r>
              <w:t xml:space="preserve">M</w:t>
            </w:r>
          </w:p>
        </w:tc>
        <w:tc>
          <w:tcPr/>
          <w:p>
            <w:pPr>
              <w:pStyle w:val="Compact"/>
              <w:jc w:val="left"/>
            </w:pPr>
            <w:r>
              <w:t xml:space="preserve">Majority of Thai traffic is mobile; complex interactions untested on touch</w:t>
            </w:r>
          </w:p>
        </w:tc>
        <w:tc>
          <w:tcPr/>
          <w:p>
            <w:pPr>
              <w:pStyle w:val="Compact"/>
              <w:jc w:val="left"/>
            </w:pPr>
            <w:r>
              <w:t xml:space="preserve">Low (2–3 days)</w:t>
            </w:r>
          </w:p>
        </w:tc>
        <w:tc>
          <w:tcPr/>
          <w:p>
            <w:pPr>
              <w:pStyle w:val="Compact"/>
              <w:jc w:val="left"/>
            </w:pPr>
            <w:r>
              <w:t xml:space="preserve">Run Chrome DevTools mobile emulation + physical device tests; fix touch-target sizes and chart readability</w:t>
            </w:r>
          </w:p>
        </w:tc>
      </w:tr>
      <w:tr>
        <w:tc>
          <w:tcPr/>
          <w:p>
            <w:pPr>
              <w:pStyle w:val="Compact"/>
              <w:jc w:val="left"/>
            </w:pPr>
            <w:r>
              <w:t xml:space="preserve">No Schema.org structured data</w:t>
            </w:r>
            <w:r>
              <w:t xml:space="preserve"> </w:t>
            </w:r>
            <w:fldSimple w:instr="NOTEREF _Ref_Footnote_1 \h \f">
              <w:r>
                <w:rPr>
                  <w:vertAlign w:val="superscript"/>
                </w:rPr>
                <w:t>1</w:t>
              </w:r>
            </w:fldSimple>
          </w:p>
        </w:tc>
        <w:tc>
          <w:tcPr/>
          <w:p>
            <w:pPr>
              <w:pStyle w:val="Compact"/>
              <w:jc w:val="left"/>
            </w:pPr>
            <w:r>
              <w:t xml:space="preserve">M</w:t>
            </w:r>
          </w:p>
        </w:tc>
        <w:tc>
          <w:tcPr/>
          <w:p>
            <w:pPr>
              <w:pStyle w:val="Compact"/>
              <w:jc w:val="left"/>
            </w:pPr>
            <w:r>
              <w:t xml:space="preserve">Invisible to Google Dataset Search; no rich snippets; missed research discovery</w:t>
            </w:r>
          </w:p>
        </w:tc>
        <w:tc>
          <w:tcPr/>
          <w:p>
            <w:pPr>
              <w:pStyle w:val="Compact"/>
              <w:jc w:val="left"/>
            </w:pPr>
            <w:r>
              <w:t xml:space="preserve">Low (½ day)</w:t>
            </w:r>
          </w:p>
        </w:tc>
        <w:tc>
          <w:tcPr/>
          <w:p>
            <w:pPr>
              <w:pStyle w:val="Compact"/>
              <w:jc w:val="left"/>
            </w:pPr>
            <w:r>
              <w:t xml:space="preserve">Add JSON-LD blocks for WebSite, Organization, and Dataset schemas; register with Google Dataset Search</w:t>
            </w:r>
          </w:p>
        </w:tc>
      </w:tr>
    </w:tbl>
    <w:p>
      <w:pPr>
        <w:pStyle w:val="BodyText"/>
      </w:pPr>
      <w:r>
        <w:rPr>
          <w:bCs/>
          <w:b/>
        </w:rPr>
        <w:t xml:space="preserve">Table 4: Bug Priority Matrix.</w:t>
      </w:r>
      <w:r>
        <w:t xml:space="preserve"> </w:t>
      </w:r>
      <w:r>
        <w:t xml:space="preserve">Eight bugs organized by severity, impact, effort, and concrete action. Show-stoppers must be resolved before any public promotion; high-priority items before institutional adoption; medium-priority items in the next sprint. Sources: manual page testing</w:t>
      </w:r>
      <w:r>
        <w:t xml:space="preserve"> </w:t>
      </w:r>
      <w:fldSimple w:instr="NOTEREF _Ref_Footnote_2 \h \f">
        <w:r>
          <w:rPr>
            <w:vertAlign w:val="superscript"/>
          </w:rPr>
          <w:t>2</w:t>
        </w:r>
      </w:fldSimple>
      <w:r>
        <w:t xml:space="preserve">, curl header analysis</w:t>
      </w:r>
      <w:r>
        <w:t xml:space="preserve"> </w:t>
      </w:r>
      <w:fldSimple w:instr="NOTEREF _Ref_Footnote_1 \h \f">
        <w:r>
          <w:rPr>
            <w:vertAlign w:val="superscript"/>
          </w:rPr>
          <w:t>1</w:t>
        </w:r>
      </w:fldSimple>
      <w:r>
        <w:t xml:space="preserve">.</w:t>
      </w:r>
    </w:p>
    <w:p>
      <w:pPr>
        <w:pStyle w:val="BodyText"/>
      </w:pPr>
      <w:r>
        <w:rPr>
          <w:bCs/>
          <w:b/>
        </w:rPr>
        <w:t xml:space="preserve">Interpretation:</w:t>
      </w:r>
      <w:r>
        <w:t xml:space="preserve"> </w:t>
      </w:r>
      <w:r>
        <w:t xml:space="preserve">Three of the eight bugs are show-stoppers that can each be resolved within one development day. The SPA routing fix (404.html redirect) and the</w:t>
      </w:r>
      <w:r>
        <w:t xml:space="preserve"> </w:t>
      </w:r>
      <w:r>
        <w:t xml:space="preserve">“</w:t>
      </w:r>
      <w:r>
        <w:t xml:space="preserve">TH</w:t>
      </w:r>
      <w:r>
        <w:t xml:space="preserve">”</w:t>
      </w:r>
      <w:r>
        <w:t xml:space="preserve"> </w:t>
      </w:r>
      <w:r>
        <w:t xml:space="preserve">button relabel are both low-effort, high-impact changes. The slug alias implementation requires a mapping table but no architectural work. Collectively, the three show-stoppers represent approximately two days of focused development — a small investment to remove the most visible failures before award submission or media coverage.</w:t>
      </w:r>
    </w:p>
    <w:p>
      <w:pPr>
        <w:pStyle w:val="BodyText"/>
      </w:pPr>
      <w:r>
        <w:t xml:space="preserve">The high-priority bugs require more substantive effort. Thai translation is the largest single item at one to two weeks, but it unlocks domestic adoption by 67 million speakers. PDF generation is a content-production task rather than a development task — the engineering work (rendering pages to PDF) is straightforward, but the content must be written and reviewed. The Cloudflare beacon fix is a dashboard toggle that takes minutes.</w:t>
      </w:r>
    </w:p>
    <w:p>
      <w:pPr>
        <w:pStyle w:val="BodyText"/>
      </w:pPr>
      <w:r>
        <w:t xml:space="preserve">The medium-priority items — search, mobile testing, and structured data — are all low-effort enhancements that would measurably improve usability and discoverability. A client-side search box is particularly valuable because the data is already in the bundle; implementation requires only a fuzzy-match library ( Fuse.js or similar) and a UI component. Schema.org markup is a one-time addition that pays ongoing dividends in search visibility.</w:t>
      </w:r>
    </w:p>
    <w:p>
      <w:pPr>
        <w:pStyle w:val="BodyText"/>
      </w:pPr>
      <w:r>
        <w:t xml:space="preserve">The total repair effort for all eight bugs is estimated at three to four weeks of one developer’s time, with Thai translation being the only multi-week item. Addressing just the show-stoppers and high-priority bugs (excluding Thai translation) would require less than one week. For a platform of this ambition and quality, the gap between current state and a bug-free submission is narrow — but the show-stoppers must be cleared first.</w:t>
      </w:r>
    </w:p>
    <w:p>
      <w:pPr>
        <w:pStyle w:val="BodyText"/>
      </w:pPr>
      <w:fldSimple w:instr="NOTEREF _Ref_Footnote_1 \h \f">
        <w:r>
          <w:rPr>
            <w:vertAlign w:val="superscript"/>
          </w:rPr>
          <w:t>1</w:t>
        </w:r>
      </w:fldSimple>
      <w:r>
        <w:t xml:space="preserve">: Curl HTTP response header analysis, SCITI homepage (</w:t>
      </w:r>
      <w:r>
        <w:rPr>
          <w:rStyle w:val="VerbatimChar"/>
        </w:rPr>
        <w:t xml:space="preserve">sciti.dopa.go.th</w:t>
      </w:r>
      <w:r>
        <w:t xml:space="preserve">), conducted during audit session. See Section 2 Methodology for full curl command and raw output.</w:t>
      </w:r>
      <w:r>
        <w:t xml:space="preserve"> </w:t>
      </w:r>
      <w:fldSimple w:instr="NOTEREF _Ref_Footnote_2 \h \f">
        <w:r>
          <w:rPr>
            <w:vertAlign w:val="superscript"/>
          </w:rPr>
          <w:t>2</w:t>
        </w:r>
      </w:fldSimple>
      <w:r>
        <w:t xml:space="preserve">: Manual page testing, element interaction testing, and language toggle testing across all reachable routes and features. See Section 1 Frontend Audit for detailed test logs.</w:t>
      </w:r>
      <w:r>
        <w:t xml:space="preserve"> </w:t>
      </w:r>
      <w:fldSimple w:instr="NOTEREF _Ref_Footnote_11 \h \f">
        <w:r>
          <w:rPr>
            <w:vertAlign w:val="superscript"/>
          </w:rPr>
          <w:t>11</w:t>
        </w:r>
      </w:fldSimple>
      <w:r>
        <w:t xml:space="preserve">: SCITI Methodology page (</w:t>
      </w:r>
      <w:r>
        <w:rPr>
          <w:rStyle w:val="VerbatimChar"/>
        </w:rPr>
        <w:t xml:space="preserve">/methodology</w:t>
      </w:r>
      <w:r>
        <w:t xml:space="preserve">), version history table and technology stack disclosure, accessed during audit.</w:t>
      </w:r>
      <w:r>
        <w:t xml:space="preserve"> </w:t>
      </w:r>
      <w:fldSimple w:instr="NOTEREF _Ref_Footnote_3 \h \f">
        <w:r>
          <w:rPr>
            <w:vertAlign w:val="superscript"/>
          </w:rPr>
          <w:t>3</w:t>
        </w:r>
      </w:fldSimple>
      <w:r>
        <w:t xml:space="preserve">: Thailand Personal Data Protection Act B.E. 2562 (2019), Section 4 (definitions of personal data) and Section 19 (consent requirements).</w:t>
      </w:r>
      <w:r>
        <w:t xml:space="preserve"> </w:t>
      </w:r>
      <w:fldSimple w:instr="NOTEREF _Ref_Footnote_13 \h \f">
        <w:r>
          <w:rPr>
            <w:vertAlign w:val="superscript"/>
          </w:rPr>
          <w:t>13</w:t>
        </w:r>
      </w:fldSimple>
      <w:r>
        <w:t xml:space="preserve">: Google Search Central,</w:t>
      </w:r>
      <w:r>
        <w:t xml:space="preserve"> </w:t>
      </w:r>
      <w:r>
        <w:t xml:space="preserve">“</w:t>
      </w:r>
      <w:r>
        <w:t xml:space="preserve">Structured data markup that Google Search supports,</w:t>
      </w:r>
      <w:r>
        <w:t xml:space="preserve">”</w:t>
      </w:r>
      <w:r>
        <w:t xml:space="preserve"> </w:t>
      </w:r>
      <w:r>
        <w:t xml:space="preserve">developers.google.com/search/docs/appearance/structured-data/search-gallery.</w:t>
      </w:r>
    </w:p>
    <w:p>
      <w:r>
        <w:pict>
          <v:rect style="width:0;height:1.5pt" o:hralign="center" o:hrstd="t" o:hr="t"/>
        </w:pict>
      </w:r>
    </w:p>
    <w:bookmarkEnd w:id="85"/>
    <w:bookmarkEnd w:id="86"/>
    <w:bookmarkStart w:id="103" w:name="global-smart-city-index-benchmarking"/>
    <w:p>
      <w:pPr>
        <w:pStyle w:val="Heading2"/>
      </w:pPr>
      <w:r>
        <w:t xml:space="preserve">4. Global Smart City Index Benchmarking</w:t>
      </w:r>
    </w:p>
    <w:bookmarkStart w:id="91" w:name="X6b353670c77899e411a57aa88ba889d8b805424"/>
    <w:p>
      <w:pPr>
        <w:pStyle w:val="Heading3"/>
      </w:pPr>
      <w:r>
        <w:t xml:space="preserve">4.1 What Award-Winning Indexes Do That SCITI Doesn’t</w:t>
      </w:r>
    </w:p>
    <w:p>
      <w:pPr>
        <w:pStyle w:val="FirstParagraph"/>
      </w:pPr>
      <w:r>
        <w:t xml:space="preserve">Thailand’s Smart City Thailand Index (SCITI) operates in a crowded field. At least a dozen major indexes worldwide claim to measure urban</w:t>
      </w:r>
      <w:r>
        <w:t xml:space="preserve"> </w:t>
      </w:r>
      <w:r>
        <w:t xml:space="preserve">“</w:t>
      </w:r>
      <w:r>
        <w:t xml:space="preserve">smartness,</w:t>
      </w:r>
      <w:r>
        <w:t xml:space="preserve">”</w:t>
      </w:r>
      <w:r>
        <w:t xml:space="preserve"> </w:t>
      </w:r>
      <w:r>
        <w:t xml:space="preserve">and several have established methodological and reputational advantages that SCITI has yet to match. This section dissects four of the most credible global benchmarks — IMD, IESE, Copenhagenize, and EIU — to identify specific capabilities SCITI should either adopt or reference.</w:t>
      </w:r>
    </w:p>
    <w:p>
      <w:pPr>
        <w:pStyle w:val="BodyText"/>
      </w:pPr>
      <w:r>
        <w:t xml:space="preserve">The operational reality is stark: SCITI currently evaluates certified Thai smart cities across seven dimensions (Environment, Energy, Mobility, Economy, Living, People, and Governance) with quantitative thresholds such as CO</w:t>
      </w:r>
      <w:r>
        <w:rPr>
          <w:vertAlign w:val="subscript"/>
        </w:rPr>
        <w:t xml:space="preserve">2</w:t>
      </w:r>
      <w:r>
        <w:t xml:space="preserve"> </w:t>
      </w:r>
      <w:r>
        <w:t xml:space="preserve">reduction &gt;=1% annually and citizen information access &gt;=60%</w:t>
      </w:r>
      <w:r>
        <w:t xml:space="preserve"> </w:t>
      </w:r>
      <w:r>
        <w:rPr>
          <w:vertAlign w:val="superscript"/>
        </w:rPr>
        <w:footnoteReference w:id="14"/>
      </w:r>
      <w:r>
        <w:t xml:space="preserve">. Yet research across Thailand’s 36 certified smart cities reveals a</w:t>
      </w:r>
      <w:r>
        <w:t xml:space="preserve"> </w:t>
      </w:r>
      <w:r>
        <w:t xml:space="preserve">“</w:t>
      </w:r>
      <w:r>
        <w:t xml:space="preserve">systematic imbalance</w:t>
      </w:r>
      <w:r>
        <w:t xml:space="preserve">”</w:t>
      </w:r>
      <w:r>
        <w:t xml:space="preserve"> </w:t>
      </w:r>
      <w:r>
        <w:t xml:space="preserve">— governance demand for data is high (NPI 0.769-0.890 across domains), but actual data availability is critically low (coverage 0.110-0.231)</w:t>
      </w:r>
      <w:r>
        <w:t xml:space="preserve"> </w:t>
      </w:r>
      <w:r>
        <w:rPr>
          <w:vertAlign w:val="superscript"/>
        </w:rPr>
        <w:footnoteReference w:id="15"/>
      </w:r>
      <w:r>
        <w:t xml:space="preserve">. This means SCITI is attempting to run an index on a fraction of the data infrastructure that powers its global competitors. Understanding what those competitors do differently is not academic curiosity — it is an operational necessity.</w:t>
      </w:r>
    </w:p>
    <w:bookmarkStart w:id="87" w:name="X8966e954f852cdb0e4a86add876821e56a72fc9"/>
    <w:p>
      <w:pPr>
        <w:pStyle w:val="Heading4"/>
      </w:pPr>
      <w:r>
        <w:t xml:space="preserve">4.1.1 IMD Smart City Index: Citizen Perception Surveys (120 Residents/City)</w:t>
      </w:r>
    </w:p>
    <w:p>
      <w:pPr>
        <w:pStyle w:val="FirstParagraph"/>
      </w:pPr>
      <w:r>
        <w:t xml:space="preserve">The IMD Smart City Index, published by the Institute for Management Development in partnership with the Singapore University of Technology and Design (SUTD), now ranks 146 cities in its 7th edition (2025)</w:t>
      </w:r>
      <w:r>
        <w:t xml:space="preserve"> </w:t>
      </w:r>
      <w:fldSimple w:instr="NOTEREF _Ref_Footnote_4 \h \f">
        <w:r>
          <w:rPr>
            <w:vertAlign w:val="superscript"/>
          </w:rPr>
          <w:t>4</w:t>
        </w:r>
      </w:fldSimple>
      <w:r>
        <w:t xml:space="preserve"> </w:t>
      </w:r>
      <w:r>
        <w:rPr>
          <w:vertAlign w:val="superscript"/>
        </w:rPr>
        <w:footnoteReference w:id="16"/>
      </w:r>
      <w:r>
        <w:t xml:space="preserve">. Singapore has topped the ranking for three consecutive years</w:t>
      </w:r>
      <w:r>
        <w:t xml:space="preserve"> </w:t>
      </w:r>
      <w:r>
        <w:rPr>
          <w:vertAlign w:val="superscript"/>
        </w:rPr>
        <w:footnoteReference w:id="17"/>
      </w:r>
      <w:r>
        <w:t xml:space="preserve">. What distinguishes IMD from every other index is its methodological center of gravity: citizen perception.</w:t>
      </w:r>
    </w:p>
    <w:p>
      <w:pPr>
        <w:pStyle w:val="BodyText"/>
      </w:pPr>
      <w:r>
        <w:t xml:space="preserve">Rather than compiling infrastructure metrics from secondary sources, IMD collects data from approximately</w:t>
      </w:r>
      <w:r>
        <w:t xml:space="preserve"> </w:t>
      </w:r>
      <w:r>
        <w:rPr>
          <w:bCs/>
          <w:b/>
        </w:rPr>
        <w:t xml:space="preserve">120 residents per city</w:t>
      </w:r>
      <w:r>
        <w:t xml:space="preserve"> </w:t>
      </w:r>
      <w:r>
        <w:t xml:space="preserve">who answer structured questions about their lived experience of urban technology and infrastructure</w:t>
      </w:r>
      <w:r>
        <w:t xml:space="preserve"> </w:t>
      </w:r>
      <w:r>
        <w:rPr>
          <w:vertAlign w:val="superscript"/>
        </w:rPr>
        <w:footnoteReference w:id="18"/>
      </w:r>
      <w:r>
        <w:t xml:space="preserve"> </w:t>
      </w:r>
      <w:fldSimple w:instr="NOTEREF _Ref_Footnote_17 \h \f">
        <w:r>
          <w:rPr>
            <w:vertAlign w:val="superscript"/>
          </w:rPr>
          <w:t>17</w:t>
        </w:r>
      </w:fldSimple>
      <w:r>
        <w:t xml:space="preserve">. This is not a satisfaction supplement appended to a data-heavy framework — it is the core methodology. The survey asks residents how they experience health services, mobility systems, cultural activities, work opportunities, and governance, producing a resident-centric authenticity that infrastructure counts alone cannot replicate.</w:t>
      </w:r>
    </w:p>
    <w:p>
      <w:pPr>
        <w:pStyle w:val="BodyText"/>
      </w:pPr>
      <w:r>
        <w:t xml:space="preserve">IMD’s methodological sophistication extends beyond survey design. The index uses a</w:t>
      </w:r>
      <w:r>
        <w:t xml:space="preserve"> </w:t>
      </w:r>
      <w:r>
        <w:rPr>
          <w:bCs/>
          <w:b/>
        </w:rPr>
        <w:t xml:space="preserve">two-pillar framework</w:t>
      </w:r>
      <w:r>
        <w:t xml:space="preserve"> </w:t>
      </w:r>
      <w:r>
        <w:t xml:space="preserve">— Structures (physical infrastructure quality) and Technology (availability and effectiveness of solutions) — evaluated across five key areas: Health and Safety, Mobility, Activities, Opportunities, and Governance</w:t>
      </w:r>
      <w:r>
        <w:t xml:space="preserve"> </w:t>
      </w:r>
      <w:fldSimple w:instr="NOTEREF _Ref_Footnote_18 \h \f">
        <w:r>
          <w:rPr>
            <w:vertAlign w:val="superscript"/>
          </w:rPr>
          <w:t>18</w:t>
        </w:r>
      </w:fldSimple>
      <w:r>
        <w:t xml:space="preserve"> </w:t>
      </w:r>
      <w:fldSimple w:instr="NOTEREF _Ref_Footnote_7 \h \f">
        <w:r>
          <w:rPr>
            <w:vertAlign w:val="superscript"/>
          </w:rPr>
          <w:t>7</w:t>
        </w:r>
      </w:fldSimple>
      <w:r>
        <w:t xml:space="preserve">. It applies</w:t>
      </w:r>
      <w:r>
        <w:t xml:space="preserve"> </w:t>
      </w:r>
      <w:r>
        <w:rPr>
          <w:bCs/>
          <w:b/>
        </w:rPr>
        <w:t xml:space="preserve">temporal smoothing</w:t>
      </w:r>
      <w:r>
        <w:t xml:space="preserve"> </w:t>
      </w:r>
      <w:r>
        <w:t xml:space="preserve">via a 3-year weighted average (3:2:1 ratio for 2024:2023:2021) to reduce noise from one-off events</w:t>
      </w:r>
      <w:r>
        <w:t xml:space="preserve"> </w:t>
      </w:r>
      <w:fldSimple w:instr="NOTEREF _Ref_Footnote_18 \h \f">
        <w:r>
          <w:rPr>
            <w:vertAlign w:val="superscript"/>
          </w:rPr>
          <w:t>18</w:t>
        </w:r>
      </w:fldSimple>
      <w:r>
        <w:t xml:space="preserve"> </w:t>
      </w:r>
      <w:fldSimple w:instr="NOTEREF _Ref_Footnote_7 \h \f">
        <w:r>
          <w:rPr>
            <w:vertAlign w:val="superscript"/>
          </w:rPr>
          <w:t>7</w:t>
        </w:r>
      </w:fldSimple>
      <w:r>
        <w:t xml:space="preserve">. Most importantly, it categorizes cities into</w:t>
      </w:r>
      <w:r>
        <w:t xml:space="preserve"> </w:t>
      </w:r>
      <w:r>
        <w:rPr>
          <w:bCs/>
          <w:b/>
        </w:rPr>
        <w:t xml:space="preserve">four HDI-based peer groups</w:t>
      </w:r>
      <w:r>
        <w:t xml:space="preserve">, ensuring that Zurich is not directly compared to Nairobi — a context-sensitive comparison framework that SCITI, focused on Thai cities at broadly similar development levels, could adapt for ASEAN regional comparisons</w:t>
      </w:r>
      <w:r>
        <w:t xml:space="preserve"> </w:t>
      </w:r>
      <w:fldSimple w:instr="NOTEREF _Ref_Footnote_18 \h \f">
        <w:r>
          <w:rPr>
            <w:vertAlign w:val="superscript"/>
          </w:rPr>
          <w:t>18</w:t>
        </w:r>
      </w:fldSimple>
      <w:r>
        <w:t xml:space="preserve"> </w:t>
      </w:r>
      <w:fldSimple w:instr="NOTEREF _Ref_Footnote_7 \h \f">
        <w:r>
          <w:rPr>
            <w:vertAlign w:val="superscript"/>
          </w:rPr>
          <w:t>7</w:t>
        </w:r>
      </w:fldSimple>
      <w:r>
        <w:t xml:space="preserve">.</w:t>
      </w:r>
    </w:p>
    <w:p>
      <w:pPr>
        <w:pStyle w:val="BodyText"/>
      </w:pPr>
      <w:r>
        <w:t xml:space="preserve">The output format is equally instructive. Each city receives an individual profile page with letter-grade ratings (AAA to D) within its HDI peer group, priority area charts showing citizen-selected concerns, and attitude tracking on privacy, facial recognition comfort, and digital payment adoption</w:t>
      </w:r>
      <w:r>
        <w:t xml:space="preserve"> </w:t>
      </w:r>
      <w:fldSimple w:instr="NOTEREF _Ref_Footnote_7 \h \f">
        <w:r>
          <w:rPr>
            <w:vertAlign w:val="superscript"/>
          </w:rPr>
          <w:t>7</w:t>
        </w:r>
      </w:fldSimple>
      <w:r>
        <w:t xml:space="preserve">. Affordable housing emerged as the #1 concern worldwide in recent editions</w:t>
      </w:r>
      <w:r>
        <w:t xml:space="preserve"> </w:t>
      </w:r>
      <w:fldSimple w:instr="NOTEREF _Ref_Footnote_17 \h \f">
        <w:r>
          <w:rPr>
            <w:vertAlign w:val="superscript"/>
          </w:rPr>
          <w:t>17</w:t>
        </w:r>
      </w:fldSimple>
      <w:r>
        <w:t xml:space="preserve">— the kind of policy-relevant insight that turns an index into</w:t>
      </w:r>
      <w:r>
        <w:t xml:space="preserve"> </w:t>
      </w:r>
      <w:r>
        <w:t xml:space="preserve">“</w:t>
      </w:r>
      <w:r>
        <w:t xml:space="preserve">a tool for action</w:t>
      </w:r>
      <w:r>
        <w:t xml:space="preserve">”</w:t>
      </w:r>
      <w:r>
        <w:t xml:space="preserve"> </w:t>
      </w:r>
      <w:fldSimple w:instr="NOTEREF _Ref_Footnote_7 \h \f">
        <w:r>
          <w:rPr>
            <w:vertAlign w:val="superscript"/>
          </w:rPr>
          <w:t>7</w:t>
        </w:r>
      </w:fldSimple>
      <w:r>
        <w:t xml:space="preserve">.</w:t>
      </w:r>
    </w:p>
    <w:p>
      <w:pPr>
        <w:pStyle w:val="BodyText"/>
      </w:pPr>
      <w:r>
        <w:rPr>
          <w:bCs/>
          <w:b/>
        </w:rPr>
        <w:t xml:space="preserve">The SCITI gap:</w:t>
      </w:r>
      <w:r>
        <w:t xml:space="preserve"> </w:t>
      </w:r>
      <w:r>
        <w:t xml:space="preserve">SCITI has no citizen perception survey component. Its evaluation relies on administrative data submitted by city governments — data that may be incomplete, unaudited, or disconnected from resident experience. Adding even a modest 100-resident perception survey per certified city would immediately differentiate SCITI from every other national smart city index in Southeast Asia.</w:t>
      </w:r>
    </w:p>
    <w:bookmarkEnd w:id="87"/>
    <w:bookmarkStart w:id="88" w:name="X46266b462a8755bdd056e17d7a7ac547af3c173"/>
    <w:p>
      <w:pPr>
        <w:pStyle w:val="Heading4"/>
      </w:pPr>
      <w:r>
        <w:t xml:space="preserve">4.1.2 IESE Cities in Motion Index: 183 Cities, 9 Dimensions, Cluster Analysis</w:t>
      </w:r>
    </w:p>
    <w:p>
      <w:pPr>
        <w:pStyle w:val="FirstParagraph"/>
      </w:pPr>
      <w:r>
        <w:t xml:space="preserve">The IESE Cities in Motion Index (CIMI), published by IESE Business School at the University of Navarra, is the most academically rigorous city benchmark globally. Its 2026 edition covers</w:t>
      </w:r>
      <w:r>
        <w:t xml:space="preserve"> </w:t>
      </w:r>
      <w:r>
        <w:rPr>
          <w:bCs/>
          <w:b/>
        </w:rPr>
        <w:t xml:space="preserve">183 cities across 92 countries</w:t>
      </w:r>
      <w:r>
        <w:t xml:space="preserve"> </w:t>
      </w:r>
      <w:r>
        <w:rPr>
          <w:vertAlign w:val="superscript"/>
        </w:rPr>
        <w:footnoteReference w:id="19"/>
      </w:r>
      <w:r>
        <w:t xml:space="preserve"> </w:t>
      </w:r>
      <w:r>
        <w:rPr>
          <w:vertAlign w:val="superscript"/>
        </w:rPr>
        <w:footnoteReference w:id="20"/>
      </w:r>
      <w:r>
        <w:t xml:space="preserve">— among the widest geographical coverage of any city index.</w:t>
      </w:r>
    </w:p>
    <w:p>
      <w:pPr>
        <w:pStyle w:val="BodyText"/>
      </w:pPr>
      <w:r>
        <w:t xml:space="preserve">CIMI’s methodology rests on three pillars of statistical credibility. First, it evaluates cities across</w:t>
      </w:r>
      <w:r>
        <w:t xml:space="preserve"> </w:t>
      </w:r>
      <w:r>
        <w:rPr>
          <w:bCs/>
          <w:b/>
        </w:rPr>
        <w:t xml:space="preserve">9 dimensions</w:t>
      </w:r>
      <w:r>
        <w:t xml:space="preserve"> </w:t>
      </w:r>
      <w:r>
        <w:t xml:space="preserve">with rigorously derived weights: Economy (1.0), Governance (0.714), Technology (0.615), Social Cohesion (0.592), International Profile (0.581), Urban Planning (0.575), Mobility and Transportation (0.473), Environment (0.386), and Human Capital (0.392)</w:t>
      </w:r>
      <w:r>
        <w:t xml:space="preserve"> </w:t>
      </w:r>
      <w:fldSimple w:instr="NOTEREF _Ref_Footnote_5 \h \f">
        <w:r>
          <w:rPr>
            <w:vertAlign w:val="superscript"/>
          </w:rPr>
          <w:t>5</w:t>
        </w:r>
      </w:fldSimple>
      <w:r>
        <w:t xml:space="preserve"> </w:t>
      </w:r>
      <w:r>
        <w:rPr>
          <w:vertAlign w:val="superscript"/>
        </w:rPr>
        <w:footnoteReference w:id="21"/>
      </w:r>
      <w:r>
        <w:t xml:space="preserve">. Second, it uses over</w:t>
      </w:r>
      <w:r>
        <w:t xml:space="preserve"> </w:t>
      </w:r>
      <w:r>
        <w:rPr>
          <w:bCs/>
          <w:b/>
        </w:rPr>
        <w:t xml:space="preserve">100 statistical indicators per city</w:t>
      </w:r>
      <w:r>
        <w:t xml:space="preserve">, combining objective data (GDP, broadband subscriptions, metro network length) with subjective assessments (purchasing power, women’s development indicators)</w:t>
      </w:r>
      <w:r>
        <w:t xml:space="preserve"> </w:t>
      </w:r>
      <w:r>
        <w:rPr>
          <w:vertAlign w:val="superscript"/>
        </w:rPr>
        <w:footnoteReference w:id="22"/>
      </w:r>
      <w:r>
        <w:t xml:space="preserve"> </w:t>
      </w:r>
      <w:fldSimple w:instr="NOTEREF _Ref_Footnote_5 \h \f">
        <w:r>
          <w:rPr>
            <w:vertAlign w:val="superscript"/>
          </w:rPr>
          <w:t>5</w:t>
        </w:r>
      </w:fldSimple>
      <w:r>
        <w:t xml:space="preserve">. Third, and most distinctively, it employs the</w:t>
      </w:r>
      <w:r>
        <w:t xml:space="preserve"> </w:t>
      </w:r>
      <w:r>
        <w:rPr>
          <w:bCs/>
          <w:b/>
        </w:rPr>
        <w:t xml:space="preserve">DP2 technique</w:t>
      </w:r>
      <w:r>
        <w:t xml:space="preserve"> </w:t>
      </w:r>
      <w:r>
        <w:t xml:space="preserve">— a distance-based aggregation method published in peer-reviewed frameworks that addresses interdependence among sub-indicators to avoid the over-sensitivity problems of simple weighted averages</w:t>
      </w:r>
      <w:r>
        <w:t xml:space="preserve"> </w:t>
      </w:r>
      <w:fldSimple w:instr="NOTEREF _Ref_Footnote_5 \h \f">
        <w:r>
          <w:rPr>
            <w:vertAlign w:val="superscript"/>
          </w:rPr>
          <w:t>5</w:t>
        </w:r>
      </w:fldSimple>
      <w:r>
        <w:t xml:space="preserve"> </w:t>
      </w:r>
      <w:r>
        <w:rPr>
          <w:vertAlign w:val="superscript"/>
        </w:rPr>
        <w:footnoteReference w:id="23"/>
      </w:r>
      <w:r>
        <w:t xml:space="preserve">.</w:t>
      </w:r>
    </w:p>
    <w:p>
      <w:pPr>
        <w:pStyle w:val="BodyText"/>
      </w:pPr>
      <w:r>
        <w:t xml:space="preserve">The visual and analytical toolkit is equally advanced. CIMI’s</w:t>
      </w:r>
      <w:r>
        <w:t xml:space="preserve"> </w:t>
      </w:r>
      <w:r>
        <w:rPr>
          <w:bCs/>
          <w:b/>
        </w:rPr>
        <w:t xml:space="preserve">interactive radar charts</w:t>
      </w:r>
      <w:r>
        <w:t xml:space="preserve"> </w:t>
      </w:r>
      <w:r>
        <w:t xml:space="preserve">profile all 183 cities across the 9 dimensions, enabling intuitive side-by-side comparison</w:t>
      </w:r>
      <w:r>
        <w:t xml:space="preserve"> </w:t>
      </w:r>
      <w:fldSimple w:instr="NOTEREF _Ref_Footnote_23 \h \f">
        <w:r>
          <w:rPr>
            <w:vertAlign w:val="superscript"/>
          </w:rPr>
          <w:t>23</w:t>
        </w:r>
      </w:fldSimple>
      <w:r>
        <w:t xml:space="preserve"> </w:t>
      </w:r>
      <w:r>
        <w:rPr>
          <w:vertAlign w:val="superscript"/>
        </w:rPr>
        <w:footnoteReference w:id="24"/>
      </w:r>
      <w:r>
        <w:t xml:space="preserve">. Its</w:t>
      </w:r>
      <w:r>
        <w:t xml:space="preserve"> </w:t>
      </w:r>
      <w:r>
        <w:rPr>
          <w:bCs/>
          <w:b/>
        </w:rPr>
        <w:t xml:space="preserve">Performance Coverage Area</w:t>
      </w:r>
      <w:r>
        <w:t xml:space="preserve"> </w:t>
      </w:r>
      <w:r>
        <w:t xml:space="preserve">indicator shows both current performance and growth potential — London’s 73% coverage, for instance, signals a 27% margin to theoretical perfection</w:t>
      </w:r>
      <w:r>
        <w:t xml:space="preserve"> </w:t>
      </w:r>
      <w:fldSimple w:instr="NOTEREF _Ref_Footnote_24 \h \f">
        <w:r>
          <w:rPr>
            <w:vertAlign w:val="superscript"/>
          </w:rPr>
          <w:t>24</w:t>
        </w:r>
      </w:fldSimple>
      <w:r>
        <w:t xml:space="preserve">. Heat-mapped rankings tables use color gradients for instant pattern recognition</w:t>
      </w:r>
      <w:r>
        <w:t xml:space="preserve"> </w:t>
      </w:r>
      <w:r>
        <w:rPr>
          <w:vertAlign w:val="superscript"/>
        </w:rPr>
        <w:footnoteReference w:id="25"/>
      </w:r>
      <w:r>
        <w:t xml:space="preserve">.</w:t>
      </w:r>
    </w:p>
    <w:p>
      <w:pPr>
        <w:pStyle w:val="BodyText"/>
      </w:pPr>
      <w:r>
        <w:t xml:space="preserve">The 2024 edition introduced</w:t>
      </w:r>
      <w:r>
        <w:t xml:space="preserve"> </w:t>
      </w:r>
      <w:r>
        <w:rPr>
          <w:bCs/>
          <w:b/>
        </w:rPr>
        <w:t xml:space="preserve">statistical cluster analysis</w:t>
      </w:r>
      <w:r>
        <w:t xml:space="preserve"> </w:t>
      </w:r>
      <w:r>
        <w:t xml:space="preserve">identifying 6 distinct city groups based on technology, green infrastructure, and labor market characteristics — providing an alternative analytical lens beyond traditional rankings</w:t>
      </w:r>
      <w:r>
        <w:t xml:space="preserve"> </w:t>
      </w:r>
      <w:fldSimple w:instr="NOTEREF _Ref_Footnote_5 \h \f">
        <w:r>
          <w:rPr>
            <w:vertAlign w:val="superscript"/>
          </w:rPr>
          <w:t>5</w:t>
        </w:r>
      </w:fldSimple>
      <w:r>
        <w:t xml:space="preserve">. This is the kind of segmentation analysis that could help Thai cities identify which global peer group they belong to and what trajectory they are on.</w:t>
      </w:r>
    </w:p>
    <w:p>
      <w:pPr>
        <w:pStyle w:val="BodyText"/>
      </w:pPr>
      <w:r>
        <w:t xml:space="preserve">IESE also publishes a ~130-page full PDF report with sensitivity studies demonstrating methodological robustness and explicit acknowledgment of data limitations — transparency that builds long-term credibility</w:t>
      </w:r>
      <w:r>
        <w:t xml:space="preserve"> </w:t>
      </w:r>
      <w:fldSimple w:instr="NOTEREF _Ref_Footnote_5 \h \f">
        <w:r>
          <w:rPr>
            <w:vertAlign w:val="superscript"/>
          </w:rPr>
          <w:t>5</w:t>
        </w:r>
      </w:fldSimple>
      <w:r>
        <w:t xml:space="preserve">.</w:t>
      </w:r>
    </w:p>
    <w:p>
      <w:pPr>
        <w:pStyle w:val="BodyText"/>
      </w:pPr>
      <w:r>
        <w:rPr>
          <w:bCs/>
          <w:b/>
        </w:rPr>
        <w:t xml:space="preserve">The SCITI gap:</w:t>
      </w:r>
      <w:r>
        <w:t xml:space="preserve"> </w:t>
      </w:r>
      <w:r>
        <w:t xml:space="preserve">SCITI lacks published methodology documentation, interactive visual comparison tools, cluster-based city segmentation, and sensitivity analyses. The DP2 technique alone represents a level of statistical rigor that would require an academic partnership to implement — but that partnership is precisely what builds credibility, as IESE’s collaboration with the University of Navarra demonstrates.</w:t>
      </w:r>
    </w:p>
    <w:bookmarkEnd w:id="88"/>
    <w:bookmarkStart w:id="89" w:name="X0785027d43aba494770edf7f7760c331f28fc9d"/>
    <w:p>
      <w:pPr>
        <w:pStyle w:val="Heading4"/>
      </w:pPr>
      <w:r>
        <w:t xml:space="preserve">4.1.3 Copenhagenize:</w:t>
      </w:r>
      <w:r>
        <w:t xml:space="preserve"> </w:t>
      </w:r>
      <w:r>
        <w:t xml:space="preserve">“</w:t>
      </w:r>
      <w:r>
        <w:t xml:space="preserve">The Way Forward</w:t>
      </w:r>
      <w:r>
        <w:t xml:space="preserve">”</w:t>
      </w:r>
      <w:r>
        <w:t xml:space="preserve"> </w:t>
      </w:r>
      <w:r>
        <w:t xml:space="preserve">Policy Recommendations Per City</w:t>
      </w:r>
    </w:p>
    <w:p>
      <w:pPr>
        <w:pStyle w:val="FirstParagraph"/>
      </w:pPr>
      <w:r>
        <w:t xml:space="preserve">The Copenhagenize Index, now in its 2025 EIT Urban Mobility Edition, is the world’s most comprehensive ranking of bicycle-friendly cities, evaluating 100 cities globally with detailed analysis of the Top 30</w:t>
      </w:r>
      <w:r>
        <w:t xml:space="preserve"> </w:t>
      </w:r>
      <w:fldSimple w:instr="NOTEREF _Ref_Footnote_6 \h \f">
        <w:r>
          <w:rPr>
            <w:vertAlign w:val="superscript"/>
          </w:rPr>
          <w:t>6</w:t>
        </w:r>
      </w:fldSimple>
      <w:r>
        <w:t xml:space="preserve"> </w:t>
      </w:r>
      <w:r>
        <w:rPr>
          <w:vertAlign w:val="superscript"/>
        </w:rPr>
        <w:footnoteReference w:id="26"/>
      </w:r>
      <w:r>
        <w:t xml:space="preserve">. Its 13-indicator framework across three pillars (Safe &amp; Connected Infrastructure, Usage &amp; Reach, Policy &amp; Support)</w:t>
      </w:r>
      <w:r>
        <w:t xml:space="preserve"> </w:t>
      </w:r>
      <w:r>
        <w:rPr>
          <w:vertAlign w:val="superscript"/>
        </w:rPr>
        <w:footnoteReference w:id="27"/>
      </w:r>
      <w:r>
        <w:t xml:space="preserve"> </w:t>
      </w:r>
      <w:fldSimple w:instr="NOTEREF _Ref_Footnote_6 \h \f">
        <w:r>
          <w:rPr>
            <w:vertAlign w:val="superscript"/>
          </w:rPr>
          <w:t>6</w:t>
        </w:r>
      </w:fldSimple>
      <w:r>
        <w:t xml:space="preserve">is not what makes it a model for SCITI. What makes it exemplary is what happens</w:t>
      </w:r>
      <w:r>
        <w:t xml:space="preserve"> </w:t>
      </w:r>
      <w:r>
        <w:rPr>
          <w:iCs/>
          <w:i/>
        </w:rPr>
        <w:t xml:space="preserve">after</w:t>
      </w:r>
      <w:r>
        <w:t xml:space="preserve"> </w:t>
      </w:r>
      <w:r>
        <w:t xml:space="preserve">the ranking.</w:t>
      </w:r>
    </w:p>
    <w:p>
      <w:pPr>
        <w:pStyle w:val="BodyText"/>
      </w:pPr>
      <w:r>
        <w:t xml:space="preserve">Every Top 30 city receives a multi-paragraph narrative analysis plus a dedicated</w:t>
      </w:r>
      <w:r>
        <w:t xml:space="preserve"> </w:t>
      </w:r>
      <w:r>
        <w:rPr>
          <w:bCs/>
          <w:b/>
        </w:rPr>
        <w:t xml:space="preserve">“</w:t>
      </w:r>
      <w:r>
        <w:rPr>
          <w:bCs/>
          <w:b/>
        </w:rPr>
        <w:t xml:space="preserve">The Way Forward</w:t>
      </w:r>
      <w:r>
        <w:rPr>
          <w:bCs/>
          <w:b/>
        </w:rPr>
        <w:t xml:space="preserve">”</w:t>
      </w:r>
      <w:r>
        <w:rPr>
          <w:bCs/>
          <w:b/>
        </w:rPr>
        <w:t xml:space="preserve"> </w:t>
      </w:r>
      <w:r>
        <w:rPr>
          <w:bCs/>
          <w:b/>
        </w:rPr>
        <w:t xml:space="preserve">section</w:t>
      </w:r>
      <w:r>
        <w:t xml:space="preserve"> </w:t>
      </w:r>
      <w:r>
        <w:t xml:space="preserve">providing specific, actionable policy recommendations</w:t>
      </w:r>
      <w:r>
        <w:t xml:space="preserve"> </w:t>
      </w:r>
      <w:fldSimple w:instr="NOTEREF _Ref_Footnote_6 \h \f">
        <w:r>
          <w:rPr>
            <w:vertAlign w:val="superscript"/>
          </w:rPr>
          <w:t>6</w:t>
        </w:r>
      </w:fldSimple>
      <w:r>
        <w:t xml:space="preserve">. Bonn’s profile, for example, documents modal share growth from 15% (2017) to 21% (2024) alongside infrastructure investment details and targeted recommendations for further improvement</w:t>
      </w:r>
      <w:r>
        <w:t xml:space="preserve"> </w:t>
      </w:r>
      <w:fldSimple w:instr="NOTEREF _Ref_Footnote_6 \h \f">
        <w:r>
          <w:rPr>
            <w:vertAlign w:val="superscript"/>
          </w:rPr>
          <w:t>6</w:t>
        </w:r>
      </w:fldSimple>
      <w:r>
        <w:t xml:space="preserve">. The index is positioned explicitly as a</w:t>
      </w:r>
      <w:r>
        <w:t xml:space="preserve"> </w:t>
      </w:r>
      <w:r>
        <w:rPr>
          <w:bCs/>
          <w:b/>
        </w:rPr>
        <w:t xml:space="preserve">diagnostic tool</w:t>
      </w:r>
      <w:r>
        <w:t xml:space="preserve">, not merely a ranking —</w:t>
      </w:r>
      <w:r>
        <w:t xml:space="preserve"> </w:t>
      </w:r>
      <w:r>
        <w:t xml:space="preserve">“</w:t>
      </w:r>
      <w:r>
        <w:t xml:space="preserve">the user (cyclist) at the heart of the assessment</w:t>
      </w:r>
      <w:r>
        <w:t xml:space="preserve">”</w:t>
      </w:r>
      <w:r>
        <w:t xml:space="preserve"> </w:t>
      </w:r>
      <w:fldSimple w:instr="NOTEREF _Ref_Footnote_27 \h \f">
        <w:r>
          <w:rPr>
            <w:vertAlign w:val="superscript"/>
          </w:rPr>
          <w:t>27</w:t>
        </w:r>
      </w:fldSimple>
      <w:r>
        <w:t xml:space="preserve">.</w:t>
      </w:r>
    </w:p>
    <w:p>
      <w:pPr>
        <w:pStyle w:val="BodyText"/>
      </w:pPr>
      <w:r>
        <w:t xml:space="preserve">Copenhagenize extends this diagnostic approach into a service ecosystem. It offers paid</w:t>
      </w:r>
      <w:r>
        <w:t xml:space="preserve"> </w:t>
      </w:r>
      <w:r>
        <w:rPr>
          <w:bCs/>
          <w:b/>
        </w:rPr>
        <w:t xml:space="preserve">Bicycle-Friendly City Benchmark Reports</w:t>
      </w:r>
      <w:r>
        <w:t xml:space="preserve"> </w:t>
      </w:r>
      <w:r>
        <w:t xml:space="preserve">(EUR 2,800-4,800) — 16-page illustrated tailored reports comparing a city’s performance against 5 peer cities plus Top 30 and regional averages, delivered within 15 working days</w:t>
      </w:r>
      <w:r>
        <w:t xml:space="preserve"> </w:t>
      </w:r>
      <w:r>
        <w:rPr>
          <w:vertAlign w:val="superscript"/>
        </w:rPr>
        <w:footnoteReference w:id="28"/>
      </w:r>
      <w:r>
        <w:t xml:space="preserve">. It runs</w:t>
      </w:r>
      <w:r>
        <w:t xml:space="preserve"> </w:t>
      </w:r>
      <w:r>
        <w:rPr>
          <w:bCs/>
          <w:b/>
        </w:rPr>
        <w:t xml:space="preserve">capacity-building workshops and master classes</w:t>
      </w:r>
      <w:r>
        <w:t xml:space="preserve"> </w:t>
      </w:r>
      <w:r>
        <w:t xml:space="preserve">on cycling strategy, infrastructure design, and communication</w:t>
      </w:r>
      <w:r>
        <w:t xml:space="preserve"> </w:t>
      </w:r>
      <w:r>
        <w:rPr>
          <w:vertAlign w:val="superscript"/>
        </w:rPr>
        <w:footnoteReference w:id="29"/>
      </w:r>
      <w:r>
        <w:t xml:space="preserve">. It provides</w:t>
      </w:r>
      <w:r>
        <w:t xml:space="preserve"> </w:t>
      </w:r>
      <w:r>
        <w:rPr>
          <w:bCs/>
          <w:b/>
        </w:rPr>
        <w:t xml:space="preserve">strategic presentations to elected officials</w:t>
      </w:r>
      <w:r>
        <w:t xml:space="preserve"> </w:t>
      </w:r>
      <w:r>
        <w:t xml:space="preserve">(EUR 500)</w:t>
      </w:r>
      <w:r>
        <w:t xml:space="preserve"> </w:t>
      </w:r>
      <w:fldSimple w:instr="NOTEREF _Ref_Footnote_28 \h \f">
        <w:r>
          <w:rPr>
            <w:vertAlign w:val="superscript"/>
          </w:rPr>
          <w:t>28</w:t>
        </w:r>
      </w:fldSimple>
      <w:r>
        <w:t xml:space="preserve">. The index generates revenue, builds capacity, and drives policy change — all from a ranking platform.</w:t>
      </w:r>
    </w:p>
    <w:p>
      <w:pPr>
        <w:pStyle w:val="BodyText"/>
      </w:pPr>
      <w:r>
        <w:rPr>
          <w:bCs/>
          <w:b/>
        </w:rPr>
        <w:t xml:space="preserve">The SCITI gap:</w:t>
      </w:r>
      <w:r>
        <w:t xml:space="preserve"> </w:t>
      </w:r>
      <w:r>
        <w:t xml:space="preserve">SCITI produces rankings but not per-city policy recommendations. It offers no paid benchmarking services, no training programs for city officials, and no narrative storytelling beyond data tables. Copenhagenize demonstrates that an index can be both a public good and a sustainable operation — if it translates insights into action.</w:t>
      </w:r>
    </w:p>
    <w:bookmarkEnd w:id="89"/>
    <w:bookmarkStart w:id="90" w:name="Xc6af5a58e0a83bbaa14ecd38c0a066b1e983b21"/>
    <w:p>
      <w:pPr>
        <w:pStyle w:val="Heading4"/>
      </w:pPr>
      <w:r>
        <w:t xml:space="preserve">4.1.4 EIU Livability: 20+ Year Time Series,</w:t>
      </w:r>
      <w:r>
        <w:t xml:space="preserve"> </w:t>
      </w:r>
      <w:r>
        <w:t xml:space="preserve">“</w:t>
      </w:r>
      <w:r>
        <w:t xml:space="preserve">Biggest Movers</w:t>
      </w:r>
      <w:r>
        <w:t xml:space="preserve">”</w:t>
      </w:r>
      <w:r>
        <w:t xml:space="preserve"> </w:t>
      </w:r>
      <w:r>
        <w:t xml:space="preserve">Analysis</w:t>
      </w:r>
    </w:p>
    <w:p>
      <w:pPr>
        <w:pStyle w:val="FirstParagraph"/>
      </w:pPr>
      <w:r>
        <w:t xml:space="preserve">The Economist Intelligence Unit’s Global Liveability Index is the longest-running city benchmark of its kind. First launched in 2004, it now ranks 173 cities across five categories (Stability, Healthcare, Culture &amp; Environment, Education, Infrastructure) with 30+ indicators each</w:t>
      </w:r>
      <w:r>
        <w:t xml:space="preserve"> </w:t>
      </w:r>
      <w:r>
        <w:rPr>
          <w:vertAlign w:val="superscript"/>
        </w:rPr>
        <w:footnoteReference w:id="30"/>
      </w:r>
      <w:r>
        <w:t xml:space="preserve"> </w:t>
      </w:r>
      <w:r>
        <w:rPr>
          <w:vertAlign w:val="superscript"/>
        </w:rPr>
        <w:footnoteReference w:id="31"/>
      </w:r>
      <w:r>
        <w:t xml:space="preserve"> </w:t>
      </w:r>
      <w:r>
        <w:rPr>
          <w:vertAlign w:val="superscript"/>
        </w:rPr>
        <w:footnoteReference w:id="32"/>
      </w:r>
      <w:r>
        <w:t xml:space="preserve">. Its 20+ year track record gives it a historical depth no competitor can match.</w:t>
      </w:r>
    </w:p>
    <w:p>
      <w:pPr>
        <w:pStyle w:val="BodyText"/>
      </w:pPr>
      <w:r>
        <w:t xml:space="preserve">EIU’s methodology uses a 5-point qualitative rating scale (Acceptable to Intolerable) producing scores from 1 to 100</w:t>
      </w:r>
      <w:r>
        <w:t xml:space="preserve"> </w:t>
      </w:r>
      <w:fldSimple w:instr="NOTEREF _Ref_Footnote_32 \h \f">
        <w:r>
          <w:rPr>
            <w:vertAlign w:val="superscript"/>
          </w:rPr>
          <w:t>32</w:t>
        </w:r>
      </w:fldSimple>
      <w:r>
        <w:t xml:space="preserve">— a transparent framework that multinational corporations use to calculate expatriate hardship allowances (80-100: 0% allowance; 50-60: 15% allowance)</w:t>
      </w:r>
      <w:r>
        <w:t xml:space="preserve"> </w:t>
      </w:r>
      <w:fldSimple w:instr="NOTEREF _Ref_Footnote_32 \h \f">
        <w:r>
          <w:rPr>
            <w:vertAlign w:val="superscript"/>
          </w:rPr>
          <w:t>32</w:t>
        </w:r>
      </w:fldSimple>
      <w:r>
        <w:t xml:space="preserve">. This practical applicability ensures the index is read not just by urban planners but by CFOs and HR directors worldwide.</w:t>
      </w:r>
    </w:p>
    <w:p>
      <w:pPr>
        <w:pStyle w:val="BodyText"/>
      </w:pPr>
      <w:r>
        <w:t xml:space="preserve">The editorial framing is equally professional. Each edition includes</w:t>
      </w:r>
      <w:r>
        <w:t xml:space="preserve"> </w:t>
      </w:r>
      <w:r>
        <w:rPr>
          <w:bCs/>
          <w:b/>
        </w:rPr>
        <w:t xml:space="preserve">“</w:t>
      </w:r>
      <w:r>
        <w:rPr>
          <w:bCs/>
          <w:b/>
        </w:rPr>
        <w:t xml:space="preserve">Biggest Movers</w:t>
      </w:r>
      <w:r>
        <w:rPr>
          <w:bCs/>
          <w:b/>
        </w:rPr>
        <w:t xml:space="preserve">”</w:t>
      </w:r>
      <w:r>
        <w:rPr>
          <w:bCs/>
          <w:b/>
        </w:rPr>
        <w:t xml:space="preserve"> </w:t>
      </w:r>
      <w:r>
        <w:rPr>
          <w:bCs/>
          <w:b/>
        </w:rPr>
        <w:t xml:space="preserve">analysis</w:t>
      </w:r>
      <w:r>
        <w:t xml:space="preserve"> </w:t>
      </w:r>
      <w:r>
        <w:t xml:space="preserve">tracking risers and fallers with explanatory narrative — Al Khobar climbed 13 places due to Saudi Vision 2030 healthcare investments; Calgary fell 13 places due to healthcare service strains</w:t>
      </w:r>
      <w:r>
        <w:t xml:space="preserve"> </w:t>
      </w:r>
      <w:fldSimple w:instr="NOTEREF _Ref_Footnote_30 \h \f">
        <w:r>
          <w:rPr>
            <w:vertAlign w:val="superscript"/>
          </w:rPr>
          <w:t>30</w:t>
        </w:r>
      </w:fldSimple>
      <w:r>
        <w:t xml:space="preserve">. Regional analysis sections examine performance patterns across Western Europe, North America, Asia-Pacific, and the Middle East</w:t>
      </w:r>
      <w:r>
        <w:t xml:space="preserve"> </w:t>
      </w:r>
      <w:fldSimple w:instr="NOTEREF _Ref_Footnote_30 \h \f">
        <w:r>
          <w:rPr>
            <w:vertAlign w:val="superscript"/>
          </w:rPr>
          <w:t>30</w:t>
        </w:r>
      </w:fldSimple>
      <w:r>
        <w:t xml:space="preserve">.</w:t>
      </w:r>
    </w:p>
    <w:p>
      <w:pPr>
        <w:pStyle w:val="BodyText"/>
      </w:pPr>
      <w:r>
        <w:t xml:space="preserve">Critically, EIU maintains its relevance beyond the annual report cycle through an ongoing</w:t>
      </w:r>
      <w:r>
        <w:t xml:space="preserve"> </w:t>
      </w:r>
      <w:r>
        <w:rPr>
          <w:bCs/>
          <w:b/>
        </w:rPr>
        <w:t xml:space="preserve">Global Liveability Index content hub</w:t>
      </w:r>
      <w:r>
        <w:t xml:space="preserve"> </w:t>
      </w:r>
      <w:r>
        <w:t xml:space="preserve">with expert commentary, data-led insights, and virtual events featuring index authors discussing findings</w:t>
      </w:r>
      <w:r>
        <w:t xml:space="preserve"> </w:t>
      </w:r>
      <w:r>
        <w:rPr>
          <w:vertAlign w:val="superscript"/>
        </w:rPr>
        <w:footnoteReference w:id="33"/>
      </w:r>
      <w:r>
        <w:t xml:space="preserve"> </w:t>
      </w:r>
      <w:r>
        <w:rPr>
          <w:vertAlign w:val="superscript"/>
        </w:rPr>
        <w:footnoteReference w:id="34"/>
      </w:r>
      <w:r>
        <w:t xml:space="preserve">. This year-round engagement model keeps the brand visible and the data alive between editions.</w:t>
      </w:r>
    </w:p>
    <w:p>
      <w:pPr>
        <w:pStyle w:val="BodyText"/>
      </w:pPr>
      <w:r>
        <w:rPr>
          <w:bCs/>
          <w:b/>
        </w:rPr>
        <w:t xml:space="preserve">The SCITI gap:</w:t>
      </w:r>
      <w:r>
        <w:t xml:space="preserve"> </w:t>
      </w:r>
      <w:r>
        <w:t xml:space="preserve">SCITI has no multi-year time series, no</w:t>
      </w:r>
      <w:r>
        <w:t xml:space="preserve"> </w:t>
      </w:r>
      <w:r>
        <w:t xml:space="preserve">“</w:t>
      </w:r>
      <w:r>
        <w:t xml:space="preserve">biggest movers</w:t>
      </w:r>
      <w:r>
        <w:t xml:space="preserve">”</w:t>
      </w:r>
      <w:r>
        <w:t xml:space="preserve"> </w:t>
      </w:r>
      <w:r>
        <w:t xml:space="preserve">narrative tracking which Thai cities are improving or declining, no regional comparative analysis, no practical applicability guidance for businesses, and no year-round content hub or public expert events.</w:t>
      </w:r>
    </w:p>
    <w:bookmarkEnd w:id="90"/>
    <w:bookmarkEnd w:id="91"/>
    <w:bookmarkStart w:id="96" w:name="X44b917b5e107e920c7b1f49828bcde282289f42"/>
    <w:p>
      <w:pPr>
        <w:pStyle w:val="Heading3"/>
      </w:pPr>
      <w:r>
        <w:t xml:space="preserve">4.2 Smart City Frameworks SCITI Should Reference</w:t>
      </w:r>
    </w:p>
    <w:p>
      <w:pPr>
        <w:pStyle w:val="FirstParagraph"/>
      </w:pPr>
      <w:r>
        <w:t xml:space="preserve">Indexes measure performance. Frameworks tell cities how to improve. The following four frameworks represent the most authoritative and actionable reference materials available to SCITI — each offering structured methodologies, indicator definitions, and implementation guidance that SCITI could adopt or adapt.</w:t>
      </w:r>
    </w:p>
    <w:bookmarkStart w:id="92" w:name="X6d4705347f161117ae45528ba102ac69e89e17c"/>
    <w:p>
      <w:pPr>
        <w:pStyle w:val="Heading4"/>
      </w:pPr>
      <w:r>
        <w:t xml:space="preserve">4.2.1 UN-Habitat CPI</w:t>
      </w:r>
      <w:r>
        <w:t xml:space="preserve"> </w:t>
      </w:r>
      <w:r>
        <w:t xml:space="preserve">“</w:t>
      </w:r>
      <w:r>
        <w:t xml:space="preserve">Wheel of Prosperity</w:t>
      </w:r>
      <w:r>
        <w:t xml:space="preserve">”</w:t>
      </w:r>
      <w:r>
        <w:t xml:space="preserve">: 539 Cities</w:t>
      </w:r>
    </w:p>
    <w:p>
      <w:pPr>
        <w:pStyle w:val="FirstParagraph"/>
      </w:pPr>
      <w:r>
        <w:t xml:space="preserve">The UN-Habitat City Prosperity Initiative (CPI) is the closest thing to a global standard for holistic urban assessment. Applied to</w:t>
      </w:r>
      <w:r>
        <w:t xml:space="preserve"> </w:t>
      </w:r>
      <w:r>
        <w:rPr>
          <w:bCs/>
          <w:b/>
        </w:rPr>
        <w:t xml:space="preserve">539 cities across 54 countries</w:t>
      </w:r>
      <w:r>
        <w:t xml:space="preserve"> </w:t>
      </w:r>
      <w:r>
        <w:t xml:space="preserve">by 2020</w:t>
      </w:r>
      <w:r>
        <w:t xml:space="preserve"> </w:t>
      </w:r>
      <w:r>
        <w:rPr>
          <w:vertAlign w:val="superscript"/>
        </w:rPr>
        <w:footnoteReference w:id="35"/>
      </w:r>
      <w:r>
        <w:t xml:space="preserve">, it measures six dimensions of prosperity metaphorically represented as spokes of a</w:t>
      </w:r>
      <w:r>
        <w:t xml:space="preserve"> </w:t>
      </w:r>
      <w:r>
        <w:t xml:space="preserve">“</w:t>
      </w:r>
      <w:r>
        <w:t xml:space="preserve">Wheel of Urban Prosperity</w:t>
      </w:r>
      <w:r>
        <w:t xml:space="preserve">”</w:t>
      </w:r>
      <w:r>
        <w:t xml:space="preserve">: Productivity, Infrastructure Development, Quality of Life, Equity &amp; Social Inclusion, Environmental Sustainability, and Urban Governance &amp; Legislation</w:t>
      </w:r>
      <w:r>
        <w:t xml:space="preserve"> </w:t>
      </w:r>
      <w:r>
        <w:rPr>
          <w:vertAlign w:val="superscript"/>
        </w:rPr>
        <w:footnoteReference w:id="36"/>
      </w:r>
      <w:r>
        <w:t xml:space="preserve">.</w:t>
      </w:r>
    </w:p>
    <w:p>
      <w:pPr>
        <w:pStyle w:val="BodyText"/>
      </w:pPr>
      <w:r>
        <w:t xml:space="preserve">The CPI is both a metric and a</w:t>
      </w:r>
      <w:r>
        <w:t xml:space="preserve"> </w:t>
      </w:r>
      <w:r>
        <w:rPr>
          <w:bCs/>
          <w:b/>
        </w:rPr>
        <w:t xml:space="preserve">policy dialogue tool</w:t>
      </w:r>
      <w:r>
        <w:t xml:space="preserve">, explicitly designed as a global monitoring mechanism for SDG 11 (Sustainable Cities), covering all 10 targets of Goal 11 and 23% of all SDG targets measurable at the local level</w:t>
      </w:r>
      <w:r>
        <w:t xml:space="preserve"> </w:t>
      </w:r>
      <w:r>
        <w:rPr>
          <w:vertAlign w:val="superscript"/>
        </w:rPr>
        <w:footnoteReference w:id="37"/>
      </w:r>
      <w:r>
        <w:t xml:space="preserve">. It includes 25+ indicators at the Basic CPI level, with extended versions adding metrics such as vaccination coverage, maternal mortality, and green area per capita</w:t>
      </w:r>
      <w:r>
        <w:t xml:space="preserve"> </w:t>
      </w:r>
      <w:r>
        <w:rPr>
          <w:vertAlign w:val="superscript"/>
        </w:rPr>
        <w:footnoteReference w:id="38"/>
      </w:r>
      <w:r>
        <w:t xml:space="preserve">.</w:t>
      </w:r>
    </w:p>
    <w:p>
      <w:pPr>
        <w:pStyle w:val="BodyText"/>
      </w:pPr>
      <w:r>
        <w:t xml:space="preserve">A unique methodological contribution is the integration of</w:t>
      </w:r>
      <w:r>
        <w:t xml:space="preserve"> </w:t>
      </w:r>
      <w:r>
        <w:rPr>
          <w:bCs/>
          <w:b/>
        </w:rPr>
        <w:t xml:space="preserve">spatial indicators</w:t>
      </w:r>
      <w:r>
        <w:t xml:space="preserve"> </w:t>
      </w:r>
      <w:r>
        <w:t xml:space="preserve">— street intersection density, street density, and land allocated to streets — based on UN-Habitat research showing that</w:t>
      </w:r>
      <w:r>
        <w:t xml:space="preserve"> </w:t>
      </w:r>
      <w:r>
        <w:t xml:space="preserve">“</w:t>
      </w:r>
      <w:r>
        <w:t xml:space="preserve">more efficient and productive cities, with better quality of life and environmental indicators are often cities with better street connectivity</w:t>
      </w:r>
      <w:r>
        <w:t xml:space="preserve">”</w:t>
      </w:r>
      <w:r>
        <w:t xml:space="preserve"> </w:t>
      </w:r>
      <w:r>
        <w:rPr>
          <w:vertAlign w:val="superscript"/>
        </w:rPr>
        <w:footnoteReference w:id="39"/>
      </w:r>
      <w:r>
        <w:t xml:space="preserve">.</w:t>
      </w:r>
    </w:p>
    <w:p>
      <w:pPr>
        <w:pStyle w:val="BodyText"/>
      </w:pPr>
      <w:r>
        <w:t xml:space="preserve">The CPI follows a</w:t>
      </w:r>
      <w:r>
        <w:t xml:space="preserve"> </w:t>
      </w:r>
      <w:r>
        <w:rPr>
          <w:bCs/>
          <w:b/>
        </w:rPr>
        <w:t xml:space="preserve">three-phase process</w:t>
      </w:r>
      <w:r>
        <w:t xml:space="preserve">: (1) Assessing Urban Prosperity, (2) Urban Prosperity Analysis, (3) Action Plan Definition</w:t>
      </w:r>
      <w:r>
        <w:t xml:space="preserve"> </w:t>
      </w:r>
      <w:fldSimple w:instr="NOTEREF _Ref_Footnote_37 \h \f">
        <w:r>
          <w:rPr>
            <w:vertAlign w:val="superscript"/>
          </w:rPr>
          <w:t>37</w:t>
        </w:r>
      </w:fldSimple>
      <w:r>
        <w:t xml:space="preserve">. Its referencable toolkit includes a step-by-step implementation guide, City Action Plan templates aligned with the New Urban Agenda, a State of the City Report template, and an open data portal covering 333+ cities across 25+ indicators</w:t>
      </w:r>
      <w:r>
        <w:t xml:space="preserve"> </w:t>
      </w:r>
      <w:fldSimple w:instr="NOTEREF _Ref_Footnote_36 \h \f">
        <w:r>
          <w:rPr>
            <w:vertAlign w:val="superscript"/>
          </w:rPr>
          <w:t>36</w:t>
        </w:r>
      </w:fldSimple>
      <w:r>
        <w:t xml:space="preserve"> </w:t>
      </w:r>
      <w:fldSimple w:instr="NOTEREF _Ref_Footnote_37 \h \f">
        <w:r>
          <w:rPr>
            <w:vertAlign w:val="superscript"/>
          </w:rPr>
          <w:t>37</w:t>
        </w:r>
      </w:fldSimple>
      <w:r>
        <w:t xml:space="preserve"> </w:t>
      </w:r>
      <w:fldSimple w:instr="NOTEREF _Ref_Footnote_35 \h \f">
        <w:r>
          <w:rPr>
            <w:vertAlign w:val="superscript"/>
          </w:rPr>
          <w:t>35</w:t>
        </w:r>
      </w:fldSimple>
      <w:r>
        <w:t xml:space="preserve">. This is precisely the kind of structured, end-to-end methodology that transforms abstract</w:t>
      </w:r>
      <w:r>
        <w:t xml:space="preserve"> </w:t>
      </w:r>
      <w:r>
        <w:t xml:space="preserve">“</w:t>
      </w:r>
      <w:r>
        <w:t xml:space="preserve">smart city</w:t>
      </w:r>
      <w:r>
        <w:t xml:space="preserve">”</w:t>
      </w:r>
      <w:r>
        <w:t xml:space="preserve"> </w:t>
      </w:r>
      <w:r>
        <w:t xml:space="preserve">rhetoric into actionable assessment and planning.</w:t>
      </w:r>
    </w:p>
    <w:bookmarkEnd w:id="92"/>
    <w:bookmarkStart w:id="93" w:name="X4babd22d69fdc19f3cf3de675be1e80eedbcbc7"/>
    <w:p>
      <w:pPr>
        <w:pStyle w:val="Heading4"/>
      </w:pPr>
      <w:r>
        <w:t xml:space="preserve">4.2.2 ISO 37120 vs 37122: 104 Baseline + 81 Smart-Specific Indicators</w:t>
      </w:r>
    </w:p>
    <w:p>
      <w:pPr>
        <w:pStyle w:val="FirstParagraph"/>
      </w:pPr>
      <w:r>
        <w:t xml:space="preserve">The ISO 37120 and ISO 37122 standards together provide the world’s only internationally standardized frameworks for city data — and they are designed to work as a complementary pair</w:t>
      </w:r>
      <w:r>
        <w:t xml:space="preserve"> </w:t>
      </w:r>
      <w:r>
        <w:rPr>
          <w:vertAlign w:val="superscript"/>
        </w:rPr>
        <w:footnoteReference w:id="40"/>
      </w:r>
      <w:r>
        <w:t xml:space="preserve"> </w:t>
      </w:r>
      <w:r>
        <w:rPr>
          <w:vertAlign w:val="superscript"/>
        </w:rPr>
        <w:footnoteReference w:id="41"/>
      </w:r>
      <w:r>
        <w:t xml:space="preserve">.</w:t>
      </w:r>
    </w:p>
    <w:p>
      <w:pPr>
        <w:pStyle w:val="BodyText"/>
      </w:pPr>
      <w:r>
        <w:rPr>
          <w:bCs/>
          <w:b/>
        </w:rPr>
        <w:t xml:space="preserve">ISO 37120</w:t>
      </w:r>
      <w:r>
        <w:t xml:space="preserve"> </w:t>
      </w:r>
      <w:r>
        <w:t xml:space="preserve">(2014, updated 2018/2021) establishes</w:t>
      </w:r>
      <w:r>
        <w:t xml:space="preserve"> </w:t>
      </w:r>
      <w:r>
        <w:rPr>
          <w:bCs/>
          <w:b/>
        </w:rPr>
        <w:t xml:space="preserve">104 KPIs (56 core, 48 supporting)</w:t>
      </w:r>
      <w:r>
        <w:t xml:space="preserve"> </w:t>
      </w:r>
      <w:r>
        <w:t xml:space="preserve">across 19 themes covering basic city services and quality of life: Economy, Education, Energy, Environment, Finance, Governance, Health, Housing, Recreation, Safety, Solid Waste, Telecommunication, Transportation, Urban Planning, Water, and Wastewater</w:t>
      </w:r>
      <w:r>
        <w:t xml:space="preserve"> </w:t>
      </w:r>
      <w:fldSimple w:instr="NOTEREF _Ref_Footnote_40 \h \f">
        <w:r>
          <w:rPr>
            <w:vertAlign w:val="superscript"/>
          </w:rPr>
          <w:t>40</w:t>
        </w:r>
      </w:fldSimple>
      <w:r>
        <w:t xml:space="preserve"> </w:t>
      </w:r>
      <w:r>
        <w:rPr>
          <w:vertAlign w:val="superscript"/>
        </w:rPr>
        <w:footnoteReference w:id="42"/>
      </w:r>
      <w:r>
        <w:t xml:space="preserve">. Sample core indicators include city product per capita, traffic fatalities per 100,000 population, residential electrical use per capita, and particulate matter concentration</w:t>
      </w:r>
      <w:r>
        <w:t xml:space="preserve"> </w:t>
      </w:r>
      <w:fldSimple w:instr="NOTEREF _Ref_Footnote_40 \h \f">
        <w:r>
          <w:rPr>
            <w:vertAlign w:val="superscript"/>
          </w:rPr>
          <w:t>40</w:t>
        </w:r>
      </w:fldSimple>
      <w:r>
        <w:t xml:space="preserve">.</w:t>
      </w:r>
    </w:p>
    <w:p>
      <w:pPr>
        <w:pStyle w:val="BodyText"/>
      </w:pPr>
      <w:r>
        <w:rPr>
          <w:bCs/>
          <w:b/>
        </w:rPr>
        <w:t xml:space="preserve">ISO 37122</w:t>
      </w:r>
      <w:r>
        <w:t xml:space="preserve"> </w:t>
      </w:r>
      <w:r>
        <w:t xml:space="preserve">(2019) adds</w:t>
      </w:r>
      <w:r>
        <w:t xml:space="preserve"> </w:t>
      </w:r>
      <w:r>
        <w:rPr>
          <w:bCs/>
          <w:b/>
        </w:rPr>
        <w:t xml:space="preserve">81 smart city-specific indicators</w:t>
      </w:r>
      <w:r>
        <w:t xml:space="preserve"> </w:t>
      </w:r>
      <w:r>
        <w:t xml:space="preserve">across 20 sectors measuring technology deployment and digital maturity</w:t>
      </w:r>
      <w:r>
        <w:t xml:space="preserve"> </w:t>
      </w:r>
      <w:fldSimple w:instr="NOTEREF _Ref_Footnote_41 \h \f">
        <w:r>
          <w:rPr>
            <w:vertAlign w:val="superscript"/>
          </w:rPr>
          <w:t>41</w:t>
        </w:r>
      </w:fldSimple>
      <w:r>
        <w:t xml:space="preserve"> </w:t>
      </w:r>
      <w:r>
        <w:rPr>
          <w:vertAlign w:val="superscript"/>
        </w:rPr>
        <w:footnoteReference w:id="43"/>
      </w:r>
      <w:r>
        <w:t xml:space="preserve">. The Transportation sector alone includes 14 indicators: real-time traffic alert coverage, percentage of intelligent traffic lights, autonomous vehicles registered, sharing economy transport users, unified payment systems, and public transport real-time information systems</w:t>
      </w:r>
      <w:r>
        <w:t xml:space="preserve"> </w:t>
      </w:r>
      <w:fldSimple w:instr="NOTEREF _Ref_Footnote_41 \h \f">
        <w:r>
          <w:rPr>
            <w:vertAlign w:val="superscript"/>
          </w:rPr>
          <w:t>41</w:t>
        </w:r>
      </w:fldSimple>
      <w:r>
        <w:t xml:space="preserve">. Energy adds 10 indicators including smart energy meter penetration and EV charging stations per EV. Governance tracks open data portal visits, percentage of city services accessible online, and IT infrastructure downtime</w:t>
      </w:r>
      <w:r>
        <w:t xml:space="preserve"> </w:t>
      </w:r>
      <w:fldSimple w:instr="NOTEREF _Ref_Footnote_41 \h \f">
        <w:r>
          <w:rPr>
            <w:vertAlign w:val="superscript"/>
          </w:rPr>
          <w:t>41</w:t>
        </w:r>
      </w:fldSimple>
      <w:r>
        <w:t xml:space="preserve">.</w:t>
      </w:r>
    </w:p>
    <w:p>
      <w:pPr>
        <w:pStyle w:val="BodyText"/>
      </w:pPr>
      <w:r>
        <w:t xml:space="preserve">The relationship between the two standards is deliberate and hierarchical. ISO 37120 asks:</w:t>
      </w:r>
      <w:r>
        <w:t xml:space="preserve"> </w:t>
      </w:r>
      <w:r>
        <w:t xml:space="preserve">“</w:t>
      </w:r>
      <w:r>
        <w:t xml:space="preserve">Do citizens have access to public transport?</w:t>
      </w:r>
      <w:r>
        <w:t xml:space="preserve">”</w:t>
      </w:r>
      <w:r>
        <w:t xml:space="preserve"> </w:t>
      </w:r>
      <w:r>
        <w:t xml:space="preserve">ISO 37122 asks:</w:t>
      </w:r>
      <w:r>
        <w:t xml:space="preserve"> </w:t>
      </w:r>
      <w:r>
        <w:t xml:space="preserve">“</w:t>
      </w:r>
      <w:r>
        <w:t xml:space="preserve">Is that transport equipped with real-time tracking, unified payment, and internet connectivity for commuters?</w:t>
      </w:r>
      <w:r>
        <w:t xml:space="preserve">”</w:t>
      </w:r>
      <w:r>
        <w:t xml:space="preserve"> </w:t>
      </w:r>
      <w:r>
        <w:rPr>
          <w:vertAlign w:val="superscript"/>
        </w:rPr>
        <w:footnoteReference w:id="44"/>
      </w:r>
      <w:r>
        <w:t xml:space="preserve">. Together they provide</w:t>
      </w:r>
      <w:r>
        <w:t xml:space="preserve"> </w:t>
      </w:r>
      <w:r>
        <w:rPr>
          <w:bCs/>
          <w:b/>
        </w:rPr>
        <w:t xml:space="preserve">185 standardized indicators</w:t>
      </w:r>
      <w:r>
        <w:t xml:space="preserve"> </w:t>
      </w:r>
      <w:r>
        <w:t xml:space="preserve">— a comprehensive data framework that SCITI could map its 7 dimensions against for international comparability.</w:t>
      </w:r>
    </w:p>
    <w:p>
      <w:pPr>
        <w:pStyle w:val="BodyText"/>
      </w:pPr>
      <w:r>
        <w:t xml:space="preserve">Certification is administered through the World Council on City Data (WCCD) at Platinum (90+ indicators), Gold, and Silver levels, with independent third-party verification required</w:t>
      </w:r>
      <w:r>
        <w:t xml:space="preserve"> </w:t>
      </w:r>
      <w:fldSimple w:instr="NOTEREF _Ref_Footnote_40 \h \f">
        <w:r>
          <w:rPr>
            <w:vertAlign w:val="superscript"/>
          </w:rPr>
          <w:t>40</w:t>
        </w:r>
      </w:fldSimple>
      <w:r>
        <w:t xml:space="preserve">. Cities report annually with standardized methodologies, enabling genuine cross-city comparison over time.</w:t>
      </w:r>
    </w:p>
    <w:bookmarkEnd w:id="93"/>
    <w:bookmarkStart w:id="94" w:name="X7a1f4abe14e61d4888838a3e141b5be35428f09"/>
    <w:p>
      <w:pPr>
        <w:pStyle w:val="Heading4"/>
      </w:pPr>
      <w:r>
        <w:t xml:space="preserve">4.2.3 EU Smart Cities Marketplace: 3-Phase Model, 130+ Bankable Projects</w:t>
      </w:r>
    </w:p>
    <w:p>
      <w:pPr>
        <w:pStyle w:val="FirstParagraph"/>
      </w:pPr>
      <w:r>
        <w:t xml:space="preserve">The EU Smart Cities Marketplace, established in 2019 through the merger of the Smart Cities Information System and the EIP-SCC Marketplace, operates as a matchmaking platform connecting cities, investors, and solution providers under the European Commission’s Directorate-General for Energy</w:t>
      </w:r>
      <w:r>
        <w:t xml:space="preserve"> </w:t>
      </w:r>
      <w:r>
        <w:rPr>
          <w:vertAlign w:val="superscript"/>
        </w:rPr>
        <w:footnoteReference w:id="45"/>
      </w:r>
      <w:r>
        <w:t xml:space="preserve"> </w:t>
      </w:r>
      <w:r>
        <w:rPr>
          <w:vertAlign w:val="superscript"/>
        </w:rPr>
        <w:footnoteReference w:id="46"/>
      </w:r>
      <w:r>
        <w:t xml:space="preserve">. Its governance is delivered by a consortium including VITO/EnergyVille, Technopolis Group, DNV, Steinbeis Europa Zentrum, and ICLEI</w:t>
      </w:r>
      <w:r>
        <w:t xml:space="preserve"> </w:t>
      </w:r>
      <w:fldSimple w:instr="NOTEREF _Ref_Footnote_46 \h \f">
        <w:r>
          <w:rPr>
            <w:vertAlign w:val="superscript"/>
          </w:rPr>
          <w:t>46</w:t>
        </w:r>
      </w:fldSimple>
      <w:r>
        <w:t xml:space="preserve">.</w:t>
      </w:r>
    </w:p>
    <w:p>
      <w:pPr>
        <w:pStyle w:val="BodyText"/>
      </w:pPr>
      <w:r>
        <w:t xml:space="preserve">Its</w:t>
      </w:r>
      <w:r>
        <w:t xml:space="preserve"> </w:t>
      </w:r>
      <w:r>
        <w:rPr>
          <w:bCs/>
          <w:b/>
        </w:rPr>
        <w:t xml:space="preserve">three-phase project development model</w:t>
      </w:r>
      <w:r>
        <w:t xml:space="preserve"> </w:t>
      </w:r>
      <w:r>
        <w:t xml:space="preserve">is its defining structural innovation</w:t>
      </w:r>
      <w:r>
        <w:t xml:space="preserve"> </w:t>
      </w:r>
      <w:fldSimple w:instr="NOTEREF _Ref_Footnote_24 \h \f">
        <w:r>
          <w:rPr>
            <w:vertAlign w:val="superscript"/>
          </w:rPr>
          <w:t>24</w:t>
        </w:r>
      </w:fldSimple>
      <w:r>
        <w:t xml:space="preserve"> </w:t>
      </w:r>
      <w:fldSimple w:instr="NOTEREF _Ref_Footnote_45 \h \f">
        <w:r>
          <w:rPr>
            <w:vertAlign w:val="superscript"/>
          </w:rPr>
          <w:t>45</w:t>
        </w:r>
      </w:fldSimple>
      <w:r>
        <w:t xml:space="preserve">:</w:t>
      </w:r>
    </w:p>
    <w:p>
      <w:pPr>
        <w:numPr>
          <w:ilvl w:val="0"/>
          <w:numId w:val="1001"/>
        </w:numPr>
        <w:pStyle w:val="Compact"/>
      </w:pPr>
      <w:r>
        <w:rPr>
          <w:bCs/>
          <w:b/>
        </w:rPr>
        <w:t xml:space="preserve">Explore</w:t>
      </w:r>
      <w:r>
        <w:t xml:space="preserve"> </w:t>
      </w:r>
      <w:r>
        <w:t xml:space="preserve">— Cities access a knowledge base of solution booklets, success stories, and best practices from 550+ innovative urban solutions documented in the SCIS database</w:t>
      </w:r>
      <w:r>
        <w:t xml:space="preserve"> </w:t>
      </w:r>
      <w:fldSimple w:instr="NOTEREF _Ref_Footnote_42 \h \f">
        <w:r>
          <w:rPr>
            <w:vertAlign w:val="superscript"/>
          </w:rPr>
          <w:t>42</w:t>
        </w:r>
      </w:fldSimple>
      <w:r>
        <w:t xml:space="preserve">.</w:t>
      </w:r>
    </w:p>
    <w:p>
      <w:pPr>
        <w:numPr>
          <w:ilvl w:val="0"/>
          <w:numId w:val="1001"/>
        </w:numPr>
        <w:pStyle w:val="Compact"/>
      </w:pPr>
      <w:r>
        <w:rPr>
          <w:bCs/>
          <w:b/>
        </w:rPr>
        <w:t xml:space="preserve">Shape</w:t>
      </w:r>
      <w:r>
        <w:t xml:space="preserve"> </w:t>
      </w:r>
      <w:r>
        <w:t xml:space="preserve">— One-to-one expert consulting helps cities enhance project feasibility and develop bankable proposals.</w:t>
      </w:r>
    </w:p>
    <w:p>
      <w:pPr>
        <w:numPr>
          <w:ilvl w:val="0"/>
          <w:numId w:val="1001"/>
        </w:numPr>
        <w:pStyle w:val="Compact"/>
      </w:pPr>
      <w:r>
        <w:rPr>
          <w:bCs/>
          <w:b/>
        </w:rPr>
        <w:t xml:space="preserve">Deal</w:t>
      </w:r>
      <w:r>
        <w:t xml:space="preserve"> </w:t>
      </w:r>
      <w:r>
        <w:t xml:space="preserve">— Matchmaking with an investor network to close financing.</w:t>
      </w:r>
    </w:p>
    <w:p>
      <w:pPr>
        <w:pStyle w:val="FirstParagraph"/>
      </w:pPr>
      <w:r>
        <w:t xml:space="preserve">The platform has received</w:t>
      </w:r>
      <w:r>
        <w:t xml:space="preserve"> </w:t>
      </w:r>
      <w:r>
        <w:rPr>
          <w:bCs/>
          <w:b/>
        </w:rPr>
        <w:t xml:space="preserve">130+ bankable project proposals</w:t>
      </w:r>
      <w:r>
        <w:t xml:space="preserve"> </w:t>
      </w:r>
      <w:r>
        <w:t xml:space="preserve">with an aggregated investment value exceeding EUR 668 million</w:t>
      </w:r>
      <w:r>
        <w:t xml:space="preserve"> </w:t>
      </w:r>
      <w:fldSimple w:instr="NOTEREF _Ref_Footnote_40 \h \f">
        <w:r>
          <w:rPr>
            <w:vertAlign w:val="superscript"/>
          </w:rPr>
          <w:t>40</w:t>
        </w:r>
      </w:fldSimple>
      <w:r>
        <w:t xml:space="preserve">. It focuses particularly on small and mid-sized cities (under 100,000 inhabitants) — a demographic profile that matches many Thai smart cities.</w:t>
      </w:r>
    </w:p>
    <w:p>
      <w:pPr>
        <w:pStyle w:val="BodyText"/>
      </w:pPr>
      <w:r>
        <w:t xml:space="preserve">The Marketplace’s content ecosystem includes</w:t>
      </w:r>
      <w:r>
        <w:t xml:space="preserve"> </w:t>
      </w:r>
      <w:r>
        <w:rPr>
          <w:bCs/>
          <w:b/>
        </w:rPr>
        <w:t xml:space="preserve">8+ Solution Booklets</w:t>
      </w:r>
      <w:r>
        <w:t xml:space="preserve"> </w:t>
      </w:r>
      <w:r>
        <w:t xml:space="preserve">covering Urban Freight Logistics, Energy Communities, Heat Pump District Heating, Electric Vehicles &amp; the Grid, Citizen Engagement, and Smart Solutions for CO</w:t>
      </w:r>
      <w:r>
        <w:rPr>
          <w:vertAlign w:val="subscript"/>
        </w:rPr>
        <w:t xml:space="preserve">2</w:t>
      </w:r>
      <w:r>
        <w:t xml:space="preserve"> </w:t>
      </w:r>
      <w:r>
        <w:t xml:space="preserve">Reduction</w:t>
      </w:r>
      <w:r>
        <w:t xml:space="preserve"> </w:t>
      </w:r>
      <w:r>
        <w:rPr>
          <w:vertAlign w:val="superscript"/>
        </w:rPr>
        <w:footnoteReference w:id="47"/>
      </w:r>
      <w:r>
        <w:t xml:space="preserve">; a</w:t>
      </w:r>
      <w:r>
        <w:t xml:space="preserve"> </w:t>
      </w:r>
      <w:r>
        <w:rPr>
          <w:bCs/>
          <w:b/>
        </w:rPr>
        <w:t xml:space="preserve">Smart Cities Guidance Package</w:t>
      </w:r>
      <w:r>
        <w:t xml:space="preserve"> </w:t>
      </w:r>
      <w:r>
        <w:t xml:space="preserve">for replication and scaling</w:t>
      </w:r>
      <w:r>
        <w:t xml:space="preserve"> </w:t>
      </w:r>
      <w:r>
        <w:rPr>
          <w:vertAlign w:val="superscript"/>
        </w:rPr>
        <w:footnoteReference w:id="48"/>
      </w:r>
      <w:r>
        <w:t xml:space="preserve">; a</w:t>
      </w:r>
      <w:r>
        <w:t xml:space="preserve"> </w:t>
      </w:r>
      <w:r>
        <w:rPr>
          <w:bCs/>
          <w:b/>
        </w:rPr>
        <w:t xml:space="preserve">Green Cities Wiki</w:t>
      </w:r>
      <w:r>
        <w:t xml:space="preserve"> </w:t>
      </w:r>
      <w:r>
        <w:t xml:space="preserve">with practical knowledge and expert insights</w:t>
      </w:r>
      <w:r>
        <w:t xml:space="preserve"> </w:t>
      </w:r>
      <w:fldSimple w:instr="NOTEREF _Ref_Footnote_42 \h \f">
        <w:r>
          <w:rPr>
            <w:vertAlign w:val="superscript"/>
          </w:rPr>
          <w:t>42</w:t>
        </w:r>
      </w:fldSimple>
      <w:r>
        <w:t xml:space="preserve">; and financing masterclasses with 1-to-1 consulting for city-led consortia</w:t>
      </w:r>
      <w:r>
        <w:t xml:space="preserve"> </w:t>
      </w:r>
      <w:fldSimple w:instr="NOTEREF _Ref_Footnote_40 \h \f">
        <w:r>
          <w:rPr>
            <w:vertAlign w:val="superscript"/>
          </w:rPr>
          <w:t>40</w:t>
        </w:r>
      </w:fldSimple>
      <w:r>
        <w:t xml:space="preserve">. Applications are accepted year-round and assessed personally</w:t>
      </w:r>
      <w:r>
        <w:t xml:space="preserve"> </w:t>
      </w:r>
      <w:r>
        <w:rPr>
          <w:vertAlign w:val="superscript"/>
        </w:rPr>
        <w:footnoteReference w:id="49"/>
      </w:r>
      <w:r>
        <w:t xml:space="preserve">.</w:t>
      </w:r>
    </w:p>
    <w:p>
      <w:pPr>
        <w:pStyle w:val="BodyText"/>
      </w:pPr>
      <w:r>
        <w:t xml:space="preserve">This is a practical implementation engine, not a theoretical framework. For SCITI, the most valuable takeaway is the</w:t>
      </w:r>
      <w:r>
        <w:t xml:space="preserve"> </w:t>
      </w:r>
      <w:r>
        <w:rPr>
          <w:bCs/>
          <w:b/>
        </w:rPr>
        <w:t xml:space="preserve">bankability criterion</w:t>
      </w:r>
      <w:r>
        <w:t xml:space="preserve">: a project is</w:t>
      </w:r>
      <w:r>
        <w:t xml:space="preserve"> </w:t>
      </w:r>
      <w:r>
        <w:t xml:space="preserve">“</w:t>
      </w:r>
      <w:r>
        <w:t xml:space="preserve">smart</w:t>
      </w:r>
      <w:r>
        <w:t xml:space="preserve">”</w:t>
      </w:r>
      <w:r>
        <w:t xml:space="preserve"> </w:t>
      </w:r>
      <w:r>
        <w:t xml:space="preserve">not because it uses technology, but because it is investment-grade and can attract private capital</w:t>
      </w:r>
      <w:r>
        <w:t xml:space="preserve"> </w:t>
      </w:r>
      <w:fldSimple w:instr="NOTEREF _Ref_Footnote_42 \h \f">
        <w:r>
          <w:rPr>
            <w:vertAlign w:val="superscript"/>
          </w:rPr>
          <w:t>42</w:t>
        </w:r>
      </w:fldSimple>
      <w:r>
        <w:t xml:space="preserve">. SCITI could adopt a similar investment-readiness lens for evaluating Thai smart city proposals.</w:t>
      </w:r>
    </w:p>
    <w:bookmarkEnd w:id="94"/>
    <w:bookmarkStart w:id="95" w:name="X86a2797a7cda0d342875dde6b733cb3a7bfeb00"/>
    <w:p>
      <w:pPr>
        <w:pStyle w:val="Heading4"/>
      </w:pPr>
      <w:r>
        <w:t xml:space="preserve">4.2.4 Singapore Smart Nation: 15 DGB KPIs, Mandatory AI Projects</w:t>
      </w:r>
    </w:p>
    <w:p>
      <w:pPr>
        <w:pStyle w:val="FirstParagraph"/>
      </w:pPr>
      <w:r>
        <w:t xml:space="preserve">Singapore’s Smart Nation initiative, evolving into Smart Nation 2.0, is arguably the world’s most comprehensively measured national digital transformation program. It is guided by the</w:t>
      </w:r>
      <w:r>
        <w:t xml:space="preserve"> </w:t>
      </w:r>
      <w:r>
        <w:rPr>
          <w:bCs/>
          <w:b/>
        </w:rPr>
        <w:t xml:space="preserve">Digital Government Blueprint (DGB)</w:t>
      </w:r>
      <w:r>
        <w:t xml:space="preserve">, which establishes</w:t>
      </w:r>
      <w:r>
        <w:t xml:space="preserve"> </w:t>
      </w:r>
      <w:r>
        <w:rPr>
          <w:bCs/>
          <w:b/>
        </w:rPr>
        <w:t xml:space="preserve">15 specific KPIs</w:t>
      </w:r>
      <w:r>
        <w:t xml:space="preserve"> </w:t>
      </w:r>
      <w:r>
        <w:t xml:space="preserve">with explicit 2023 targets</w:t>
      </w:r>
      <w:r>
        <w:t xml:space="preserve"> </w:t>
      </w:r>
      <w:r>
        <w:rPr>
          <w:vertAlign w:val="superscript"/>
        </w:rPr>
        <w:footnoteReference w:id="50"/>
      </w:r>
      <w:r>
        <w:t xml:space="preserve">.</w:t>
      </w:r>
    </w:p>
    <w:p>
      <w:pPr>
        <w:pStyle w:val="BodyText"/>
      </w:pPr>
      <w:r>
        <w:t xml:space="preserve">The DGB KPIs are not aspirational statements — they are operational mandates. Targets include: 75-80% citizen satisfaction with digital services; 100% of services with e-payment, pre-filled government-verified data, and digital signature options; 90-95% of transactions completed end-to-end digitally; 20,000 public officers trained in data analytics/science; all ministries required to have at least one AI project each; 10 high-impact cross-agency data analytics projects per year; and data sharing for cross-agency projects required within a maximum of</w:t>
      </w:r>
      <w:r>
        <w:t xml:space="preserve"> </w:t>
      </w:r>
      <w:r>
        <w:rPr>
          <w:bCs/>
          <w:b/>
        </w:rPr>
        <w:t xml:space="preserve">7 working days</w:t>
      </w:r>
      <w:r>
        <w:t xml:space="preserve"> </w:t>
      </w:r>
      <w:fldSimple w:instr="NOTEREF _Ref_Footnote_50 \h \f">
        <w:r>
          <w:rPr>
            <w:vertAlign w:val="superscript"/>
          </w:rPr>
          <w:t>50</w:t>
        </w:r>
      </w:fldSimple>
      <w:r>
        <w:t xml:space="preserve">.</w:t>
      </w:r>
    </w:p>
    <w:p>
      <w:pPr>
        <w:pStyle w:val="BodyText"/>
      </w:pPr>
      <w:r>
        <w:t xml:space="preserve">The governance model is equally structured. The Smart Nation and Digital Government Group (SNDGG) sets national strategy; GovTech implements; Open Government Products (OGP) drives innovation. The</w:t>
      </w:r>
      <w:r>
        <w:t xml:space="preserve"> </w:t>
      </w:r>
      <w:r>
        <w:rPr>
          <w:bCs/>
          <w:b/>
        </w:rPr>
        <w:t xml:space="preserve">Digital Maturity Index</w:t>
      </w:r>
      <w:r>
        <w:t xml:space="preserve"> </w:t>
      </w:r>
      <w:r>
        <w:t xml:space="preserve">explicitly benchmarks government digital capabilities against private sector standards — treating government as a service provider competing for citizen preference</w:t>
      </w:r>
      <w:r>
        <w:t xml:space="preserve"> </w:t>
      </w:r>
      <w:fldSimple w:instr="NOTEREF _Ref_Footnote_50 \h \f">
        <w:r>
          <w:rPr>
            <w:vertAlign w:val="superscript"/>
          </w:rPr>
          <w:t>50</w:t>
        </w:r>
      </w:fldSimple>
      <w:r>
        <w:t xml:space="preserve">. Cross-agency data sharing is mandated, not encouraged. AI deployment is required, not suggested.</w:t>
      </w:r>
    </w:p>
    <w:p>
      <w:pPr>
        <w:pStyle w:val="BodyText"/>
      </w:pPr>
      <w:r>
        <w:t xml:space="preserve">Singapore’s citizen engagement mechanism,</w:t>
      </w:r>
      <w:r>
        <w:t xml:space="preserve"> </w:t>
      </w:r>
      <w:r>
        <w:rPr>
          <w:bCs/>
          <w:b/>
        </w:rPr>
        <w:t xml:space="preserve">Build for Good (BFG)</w:t>
      </w:r>
      <w:r>
        <w:t xml:space="preserve">, represents a distinctive model of citizen-driven innovation: a month-long citizen hackathon where residents identify problems, ideate solutions, build prototypes, and test with users, with winning teams receiving an 8-week accelerator and funding</w:t>
      </w:r>
      <w:r>
        <w:t xml:space="preserve"> </w:t>
      </w:r>
      <w:r>
        <w:rPr>
          <w:vertAlign w:val="superscript"/>
        </w:rPr>
        <w:footnoteReference w:id="51"/>
      </w:r>
      <w:r>
        <w:t xml:space="preserve">. This is not a consultation — it is structured co-creation with material support.</w:t>
      </w:r>
    </w:p>
    <w:p>
      <w:pPr>
        <w:pStyle w:val="BodyText"/>
      </w:pPr>
      <w:r>
        <w:rPr>
          <w:bCs/>
          <w:b/>
        </w:rPr>
        <w:t xml:space="preserve">Table 1: Global Smart City Index Comparison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IMD Smart City Index</w:t>
            </w:r>
          </w:p>
        </w:tc>
        <w:tc>
          <w:tcPr/>
          <w:p>
            <w:pPr>
              <w:pStyle w:val="Compact"/>
              <w:jc w:val="left"/>
            </w:pPr>
            <w:r>
              <w:t xml:space="preserve">IESE Cities in Motion</w:t>
            </w:r>
          </w:p>
        </w:tc>
        <w:tc>
          <w:tcPr/>
          <w:p>
            <w:pPr>
              <w:pStyle w:val="Compact"/>
              <w:jc w:val="left"/>
            </w:pPr>
            <w:r>
              <w:t xml:space="preserve">Copenhagenize Index</w:t>
            </w:r>
          </w:p>
        </w:tc>
        <w:tc>
          <w:tcPr/>
          <w:p>
            <w:pPr>
              <w:pStyle w:val="Compact"/>
              <w:jc w:val="left"/>
            </w:pPr>
            <w:r>
              <w:t xml:space="preserve">EIU Global Liveability</w:t>
            </w:r>
          </w:p>
        </w:tc>
      </w:tr>
      <w:tr>
        <w:tc>
          <w:tcPr/>
          <w:p>
            <w:pPr>
              <w:pStyle w:val="Compact"/>
              <w:jc w:val="left"/>
            </w:pPr>
            <w:r>
              <w:rPr>
                <w:bCs/>
                <w:b/>
              </w:rPr>
              <w:t xml:space="preserve">First published</w:t>
            </w:r>
          </w:p>
        </w:tc>
        <w:tc>
          <w:tcPr/>
          <w:p>
            <w:pPr>
              <w:pStyle w:val="Compact"/>
              <w:jc w:val="left"/>
            </w:pPr>
            <w:r>
              <w:t xml:space="preserve">2019 (7th ed. 2025)</w:t>
            </w:r>
            <w:r>
              <w:t xml:space="preserve"> </w:t>
            </w:r>
            <w:fldSimple w:instr="NOTEREF _Ref_Footnote_4 \h \f">
              <w:r>
                <w:rPr>
                  <w:vertAlign w:val="superscript"/>
                </w:rPr>
                <w:t>4</w:t>
              </w:r>
            </w:fldSimple>
          </w:p>
        </w:tc>
        <w:tc>
          <w:tcPr/>
          <w:p>
            <w:pPr>
              <w:pStyle w:val="Compact"/>
              <w:jc w:val="left"/>
            </w:pPr>
            <w:r>
              <w:t xml:space="preserve">2014 (annual since)</w:t>
            </w:r>
            <w:r>
              <w:t xml:space="preserve"> </w:t>
            </w:r>
            <w:fldSimple w:instr="NOTEREF _Ref_Footnote_5 \h \f">
              <w:r>
                <w:rPr>
                  <w:vertAlign w:val="superscript"/>
                </w:rPr>
                <w:t>5</w:t>
              </w:r>
            </w:fldSimple>
          </w:p>
        </w:tc>
        <w:tc>
          <w:tcPr/>
          <w:p>
            <w:pPr>
              <w:pStyle w:val="Compact"/>
              <w:jc w:val="left"/>
            </w:pPr>
            <w:r>
              <w:t xml:space="preserve">2011 (14 years)</w:t>
            </w:r>
            <w:r>
              <w:t xml:space="preserve"> </w:t>
            </w:r>
            <w:fldSimple w:instr="NOTEREF _Ref_Footnote_6 \h \f">
              <w:r>
                <w:rPr>
                  <w:vertAlign w:val="superscript"/>
                </w:rPr>
                <w:t>6</w:t>
              </w:r>
            </w:fldSimple>
          </w:p>
        </w:tc>
        <w:tc>
          <w:tcPr/>
          <w:p>
            <w:pPr>
              <w:pStyle w:val="Compact"/>
              <w:jc w:val="left"/>
            </w:pPr>
            <w:r>
              <w:t xml:space="preserve">2004 (20+ years)</w:t>
            </w:r>
            <w:r>
              <w:t xml:space="preserve"> </w:t>
            </w:r>
            <w:fldSimple w:instr="NOTEREF _Ref_Footnote_30 \h \f">
              <w:r>
                <w:rPr>
                  <w:vertAlign w:val="superscript"/>
                </w:rPr>
                <w:t>30</w:t>
              </w:r>
            </w:fldSimple>
          </w:p>
        </w:tc>
      </w:tr>
      <w:tr>
        <w:tc>
          <w:tcPr/>
          <w:p>
            <w:pPr>
              <w:pStyle w:val="Compact"/>
              <w:jc w:val="left"/>
            </w:pPr>
            <w:r>
              <w:rPr>
                <w:bCs/>
                <w:b/>
              </w:rPr>
              <w:t xml:space="preserve">Cities covered</w:t>
            </w:r>
          </w:p>
        </w:tc>
        <w:tc>
          <w:tcPr/>
          <w:p>
            <w:pPr>
              <w:pStyle w:val="Compact"/>
              <w:jc w:val="left"/>
            </w:pPr>
            <w:r>
              <w:t xml:space="preserve">146</w:t>
            </w:r>
            <w:r>
              <w:t xml:space="preserve"> </w:t>
            </w:r>
            <w:fldSimple w:instr="NOTEREF _Ref_Footnote_16 \h \f">
              <w:r>
                <w:rPr>
                  <w:vertAlign w:val="superscript"/>
                </w:rPr>
                <w:t>16</w:t>
              </w:r>
            </w:fldSimple>
          </w:p>
        </w:tc>
        <w:tc>
          <w:tcPr/>
          <w:p>
            <w:pPr>
              <w:pStyle w:val="Compact"/>
              <w:jc w:val="left"/>
            </w:pPr>
            <w:r>
              <w:t xml:space="preserve">183 across 92 countries</w:t>
            </w:r>
            <w:r>
              <w:t xml:space="preserve"> </w:t>
            </w:r>
            <w:fldSimple w:instr="NOTEREF _Ref_Footnote_19 \h \f">
              <w:r>
                <w:rPr>
                  <w:vertAlign w:val="superscript"/>
                </w:rPr>
                <w:t>19</w:t>
              </w:r>
            </w:fldSimple>
          </w:p>
        </w:tc>
        <w:tc>
          <w:tcPr/>
          <w:p>
            <w:pPr>
              <w:pStyle w:val="Compact"/>
              <w:jc w:val="left"/>
            </w:pPr>
            <w:r>
              <w:t xml:space="preserve">100 (Top 30 detailed)</w:t>
            </w:r>
            <w:r>
              <w:t xml:space="preserve"> </w:t>
            </w:r>
            <w:fldSimple w:instr="NOTEREF _Ref_Footnote_6 \h \f">
              <w:r>
                <w:rPr>
                  <w:vertAlign w:val="superscript"/>
                </w:rPr>
                <w:t>6</w:t>
              </w:r>
            </w:fldSimple>
          </w:p>
        </w:tc>
        <w:tc>
          <w:tcPr/>
          <w:p>
            <w:pPr>
              <w:pStyle w:val="Compact"/>
              <w:jc w:val="left"/>
            </w:pPr>
            <w:r>
              <w:t xml:space="preserve">173</w:t>
            </w:r>
            <w:r>
              <w:t xml:space="preserve"> </w:t>
            </w:r>
            <w:fldSimple w:instr="NOTEREF _Ref_Footnote_30 \h \f">
              <w:r>
                <w:rPr>
                  <w:vertAlign w:val="superscript"/>
                </w:rPr>
                <w:t>30</w:t>
              </w:r>
            </w:fldSimple>
          </w:p>
        </w:tc>
      </w:tr>
      <w:tr>
        <w:tc>
          <w:tcPr/>
          <w:p>
            <w:pPr>
              <w:pStyle w:val="Compact"/>
              <w:jc w:val="left"/>
            </w:pPr>
            <w:r>
              <w:rPr>
                <w:bCs/>
                <w:b/>
              </w:rPr>
              <w:t xml:space="preserve">Core methodology</w:t>
            </w:r>
          </w:p>
        </w:tc>
        <w:tc>
          <w:tcPr/>
          <w:p>
            <w:pPr>
              <w:pStyle w:val="Compact"/>
              <w:jc w:val="left"/>
            </w:pPr>
            <w:r>
              <w:t xml:space="preserve">Citizen perception: ~120 residents/city</w:t>
            </w:r>
            <w:r>
              <w:t xml:space="preserve"> </w:t>
            </w:r>
            <w:fldSimple w:instr="NOTEREF _Ref_Footnote_18 \h \f">
              <w:r>
                <w:rPr>
                  <w:vertAlign w:val="superscript"/>
                </w:rPr>
                <w:t>18</w:t>
              </w:r>
            </w:fldSimple>
          </w:p>
        </w:tc>
        <w:tc>
          <w:tcPr/>
          <w:p>
            <w:pPr>
              <w:pStyle w:val="Compact"/>
              <w:jc w:val="left"/>
            </w:pPr>
            <w:r>
              <w:t xml:space="preserve">DP2 statistical technique; 100+ indicators</w:t>
            </w:r>
            <w:r>
              <w:t xml:space="preserve"> </w:t>
            </w:r>
            <w:fldSimple w:instr="NOTEREF _Ref_Footnote_5 \h \f">
              <w:r>
                <w:rPr>
                  <w:vertAlign w:val="superscript"/>
                </w:rPr>
                <w:t>5</w:t>
              </w:r>
            </w:fldSimple>
            <w:r>
              <w:t xml:space="preserve"> </w:t>
            </w:r>
            <w:fldSimple w:instr="NOTEREF _Ref_Footnote_23 \h \f">
              <w:r>
                <w:rPr>
                  <w:vertAlign w:val="superscript"/>
                </w:rPr>
                <w:t>23</w:t>
              </w:r>
            </w:fldSimple>
          </w:p>
        </w:tc>
        <w:tc>
          <w:tcPr/>
          <w:p>
            <w:pPr>
              <w:pStyle w:val="Compact"/>
              <w:jc w:val="left"/>
            </w:pPr>
            <w:r>
              <w:t xml:space="preserve">13 indicators, 3 pillars, equal weights</w:t>
            </w:r>
            <w:r>
              <w:t xml:space="preserve"> </w:t>
            </w:r>
            <w:fldSimple w:instr="NOTEREF _Ref_Footnote_27 \h \f">
              <w:r>
                <w:rPr>
                  <w:vertAlign w:val="superscript"/>
                </w:rPr>
                <w:t>27</w:t>
              </w:r>
            </w:fldSimple>
          </w:p>
        </w:tc>
        <w:tc>
          <w:tcPr/>
          <w:p>
            <w:pPr>
              <w:pStyle w:val="Compact"/>
              <w:jc w:val="left"/>
            </w:pPr>
            <w:r>
              <w:t xml:space="preserve">5-point qualitative scale; 30+ indicators</w:t>
            </w:r>
            <w:r>
              <w:t xml:space="preserve"> </w:t>
            </w:r>
            <w:fldSimple w:instr="NOTEREF _Ref_Footnote_32 \h \f">
              <w:r>
                <w:rPr>
                  <w:vertAlign w:val="superscript"/>
                </w:rPr>
                <w:t>32</w:t>
              </w:r>
            </w:fldSimple>
          </w:p>
        </w:tc>
      </w:tr>
      <w:tr>
        <w:tc>
          <w:tcPr/>
          <w:p>
            <w:pPr>
              <w:pStyle w:val="Compact"/>
              <w:jc w:val="left"/>
            </w:pPr>
            <w:r>
              <w:rPr>
                <w:bCs/>
                <w:b/>
              </w:rPr>
              <w:t xml:space="preserve">Dimensions</w:t>
            </w:r>
          </w:p>
        </w:tc>
        <w:tc>
          <w:tcPr/>
          <w:p>
            <w:pPr>
              <w:pStyle w:val="Compact"/>
              <w:jc w:val="left"/>
            </w:pPr>
            <w:r>
              <w:t xml:space="preserve">2 pillars x 5 key areas</w:t>
            </w:r>
            <w:r>
              <w:t xml:space="preserve"> </w:t>
            </w:r>
            <w:fldSimple w:instr="NOTEREF _Ref_Footnote_7 \h \f">
              <w:r>
                <w:rPr>
                  <w:vertAlign w:val="superscript"/>
                </w:rPr>
                <w:t>7</w:t>
              </w:r>
            </w:fldSimple>
          </w:p>
        </w:tc>
        <w:tc>
          <w:tcPr/>
          <w:p>
            <w:pPr>
              <w:pStyle w:val="Compact"/>
              <w:jc w:val="left"/>
            </w:pPr>
            <w:r>
              <w:t xml:space="preserve">9 weighted dimensions</w:t>
            </w:r>
            <w:r>
              <w:t xml:space="preserve"> </w:t>
            </w:r>
            <w:fldSimple w:instr="NOTEREF _Ref_Footnote_21 \h \f">
              <w:r>
                <w:rPr>
                  <w:vertAlign w:val="superscript"/>
                </w:rPr>
                <w:t>21</w:t>
              </w:r>
            </w:fldSimple>
          </w:p>
        </w:tc>
        <w:tc>
          <w:tcPr/>
          <w:p>
            <w:pPr>
              <w:pStyle w:val="Compact"/>
              <w:jc w:val="left"/>
            </w:pPr>
            <w:r>
              <w:t xml:space="preserve">3 pillars (Infrastructure, Usage, Policy)</w:t>
            </w:r>
            <w:r>
              <w:t xml:space="preserve"> </w:t>
            </w:r>
            <w:fldSimple w:instr="NOTEREF _Ref_Footnote_6 \h \f">
              <w:r>
                <w:rPr>
                  <w:vertAlign w:val="superscript"/>
                </w:rPr>
                <w:t>6</w:t>
              </w:r>
            </w:fldSimple>
          </w:p>
        </w:tc>
        <w:tc>
          <w:tcPr/>
          <w:p>
            <w:pPr>
              <w:pStyle w:val="Compact"/>
              <w:jc w:val="left"/>
            </w:pPr>
            <w:r>
              <w:t xml:space="preserve">5 categories</w:t>
            </w:r>
            <w:r>
              <w:t xml:space="preserve"> </w:t>
            </w:r>
            <w:fldSimple w:instr="NOTEREF _Ref_Footnote_30 \h \f">
              <w:r>
                <w:rPr>
                  <w:vertAlign w:val="superscript"/>
                </w:rPr>
                <w:t>30</w:t>
              </w:r>
            </w:fldSimple>
          </w:p>
        </w:tc>
      </w:tr>
      <w:tr>
        <w:tc>
          <w:tcPr/>
          <w:p>
            <w:pPr>
              <w:pStyle w:val="Compact"/>
              <w:jc w:val="left"/>
            </w:pPr>
            <w:r>
              <w:rPr>
                <w:bCs/>
                <w:b/>
              </w:rPr>
              <w:t xml:space="preserve">Peer comparison</w:t>
            </w:r>
          </w:p>
        </w:tc>
        <w:tc>
          <w:tcPr/>
          <w:p>
            <w:pPr>
              <w:pStyle w:val="Compact"/>
              <w:jc w:val="left"/>
            </w:pPr>
            <w:r>
              <w:t xml:space="preserve">HDI-based 4 groups</w:t>
            </w:r>
            <w:r>
              <w:t xml:space="preserve"> </w:t>
            </w:r>
            <w:fldSimple w:instr="NOTEREF _Ref_Footnote_7 \h \f">
              <w:r>
                <w:rPr>
                  <w:vertAlign w:val="superscript"/>
                </w:rPr>
                <w:t>7</w:t>
              </w:r>
            </w:fldSimple>
          </w:p>
        </w:tc>
        <w:tc>
          <w:tcPr/>
          <w:p>
            <w:pPr>
              <w:pStyle w:val="Compact"/>
              <w:jc w:val="left"/>
            </w:pPr>
            <w:r>
              <w:t xml:space="preserve">Cluster analysis (6 groups, 2024+)</w:t>
            </w:r>
            <w:r>
              <w:t xml:space="preserve"> </w:t>
            </w:r>
            <w:fldSimple w:instr="NOTEREF _Ref_Footnote_5 \h \f">
              <w:r>
                <w:rPr>
                  <w:vertAlign w:val="superscript"/>
                </w:rPr>
                <w:t>5</w:t>
              </w:r>
            </w:fldSimple>
          </w:p>
        </w:tc>
        <w:tc>
          <w:tcPr/>
          <w:p>
            <w:pPr>
              <w:pStyle w:val="Compact"/>
              <w:jc w:val="left"/>
            </w:pPr>
            <w:r>
              <w:t xml:space="preserve">Benchmark vs 5 peer cities</w:t>
            </w:r>
            <w:r>
              <w:t xml:space="preserve"> </w:t>
            </w:r>
            <w:fldSimple w:instr="NOTEREF _Ref_Footnote_28 \h \f">
              <w:r>
                <w:rPr>
                  <w:vertAlign w:val="superscript"/>
                </w:rPr>
                <w:t>28</w:t>
              </w:r>
            </w:fldSimple>
          </w:p>
        </w:tc>
        <w:tc>
          <w:tcPr/>
          <w:p>
            <w:pPr>
              <w:pStyle w:val="Compact"/>
              <w:jc w:val="left"/>
            </w:pPr>
            <w:r>
              <w:t xml:space="preserve">Regional analysis sections</w:t>
            </w:r>
            <w:r>
              <w:t xml:space="preserve"> </w:t>
            </w:r>
            <w:fldSimple w:instr="NOTEREF _Ref_Footnote_30 \h \f">
              <w:r>
                <w:rPr>
                  <w:vertAlign w:val="superscript"/>
                </w:rPr>
                <w:t>30</w:t>
              </w:r>
            </w:fldSimple>
          </w:p>
        </w:tc>
      </w:tr>
      <w:tr>
        <w:tc>
          <w:tcPr/>
          <w:p>
            <w:pPr>
              <w:pStyle w:val="Compact"/>
              <w:jc w:val="left"/>
            </w:pPr>
            <w:r>
              <w:rPr>
                <w:bCs/>
                <w:b/>
              </w:rPr>
              <w:t xml:space="preserve">Visual signature</w:t>
            </w:r>
          </w:p>
        </w:tc>
        <w:tc>
          <w:tcPr/>
          <w:p>
            <w:pPr>
              <w:pStyle w:val="Compact"/>
              <w:jc w:val="left"/>
            </w:pPr>
            <w:r>
              <w:t xml:space="preserve">Priority areas bar charts; letter grades</w:t>
            </w:r>
            <w:r>
              <w:t xml:space="preserve"> </w:t>
            </w:r>
            <w:fldSimple w:instr="NOTEREF _Ref_Footnote_7 \h \f">
              <w:r>
                <w:rPr>
                  <w:vertAlign w:val="superscript"/>
                </w:rPr>
                <w:t>7</w:t>
              </w:r>
            </w:fldSimple>
          </w:p>
        </w:tc>
        <w:tc>
          <w:tcPr/>
          <w:p>
            <w:pPr>
              <w:pStyle w:val="Compact"/>
              <w:jc w:val="left"/>
            </w:pPr>
            <w:r>
              <w:t xml:space="preserve">Interactive radar charts; coverage area</w:t>
            </w:r>
            <w:r>
              <w:t xml:space="preserve"> </w:t>
            </w:r>
            <w:fldSimple w:instr="NOTEREF _Ref_Footnote_24 \h \f">
              <w:r>
                <w:rPr>
                  <w:vertAlign w:val="superscript"/>
                </w:rPr>
                <w:t>24</w:t>
              </w:r>
            </w:fldSimple>
          </w:p>
        </w:tc>
        <w:tc>
          <w:tcPr/>
          <w:p>
            <w:pPr>
              <w:pStyle w:val="Compact"/>
              <w:jc w:val="left"/>
            </w:pPr>
            <w:r>
              <w:t xml:space="preserve">Data infographics; city narrative pages</w:t>
            </w:r>
            <w:r>
              <w:t xml:space="preserve"> </w:t>
            </w:r>
            <w:fldSimple w:instr="NOTEREF _Ref_Footnote_6 \h \f">
              <w:r>
                <w:rPr>
                  <w:vertAlign w:val="superscript"/>
                </w:rPr>
                <w:t>6</w:t>
              </w:r>
            </w:fldSimple>
          </w:p>
        </w:tc>
        <w:tc>
          <w:tcPr/>
          <w:p>
            <w:pPr>
              <w:pStyle w:val="Compact"/>
              <w:jc w:val="left"/>
            </w:pPr>
            <w:r>
              <w:t xml:space="preserve">Category score breakdown tables</w:t>
            </w:r>
            <w:r>
              <w:t xml:space="preserve"> </w:t>
            </w:r>
            <w:r>
              <w:rPr>
                <w:vertAlign w:val="superscript"/>
              </w:rPr>
              <w:footnoteReference w:id="52"/>
            </w:r>
          </w:p>
        </w:tc>
      </w:tr>
      <w:tr>
        <w:tc>
          <w:tcPr/>
          <w:p>
            <w:pPr>
              <w:pStyle w:val="Compact"/>
              <w:jc w:val="left"/>
            </w:pPr>
            <w:r>
              <w:rPr>
                <w:bCs/>
                <w:b/>
              </w:rPr>
              <w:t xml:space="preserve">Time series</w:t>
            </w:r>
          </w:p>
        </w:tc>
        <w:tc>
          <w:tcPr/>
          <w:p>
            <w:pPr>
              <w:pStyle w:val="Compact"/>
              <w:jc w:val="left"/>
            </w:pPr>
            <w:r>
              <w:t xml:space="preserve">3-year weighted average (3:2:1)</w:t>
            </w:r>
            <w:r>
              <w:t xml:space="preserve"> </w:t>
            </w:r>
            <w:fldSimple w:instr="NOTEREF _Ref_Footnote_18 \h \f">
              <w:r>
                <w:rPr>
                  <w:vertAlign w:val="superscript"/>
                </w:rPr>
                <w:t>18</w:t>
              </w:r>
            </w:fldSimple>
          </w:p>
        </w:tc>
        <w:tc>
          <w:tcPr/>
          <w:p>
            <w:pPr>
              <w:pStyle w:val="Compact"/>
              <w:jc w:val="left"/>
            </w:pPr>
            <w:r>
              <w:t xml:space="preserve">Multi-year comparability since 2014</w:t>
            </w:r>
            <w:r>
              <w:t xml:space="preserve"> </w:t>
            </w:r>
            <w:fldSimple w:instr="NOTEREF _Ref_Footnote_22 \h \f">
              <w:r>
                <w:rPr>
                  <w:vertAlign w:val="superscript"/>
                </w:rPr>
                <w:t>22</w:t>
              </w:r>
            </w:fldSimple>
          </w:p>
        </w:tc>
        <w:tc>
          <w:tcPr/>
          <w:p>
            <w:pPr>
              <w:pStyle w:val="Compact"/>
              <w:jc w:val="left"/>
            </w:pPr>
            <w:r>
              <w:t xml:space="preserve">Partial (since 2011)</w:t>
            </w:r>
          </w:p>
        </w:tc>
        <w:tc>
          <w:tcPr/>
          <w:p>
            <w:pPr>
              <w:pStyle w:val="Compact"/>
              <w:jc w:val="left"/>
            </w:pPr>
            <w:r>
              <w:t xml:space="preserve">20+ year continuous series</w:t>
            </w:r>
            <w:r>
              <w:t xml:space="preserve"> </w:t>
            </w:r>
            <w:fldSimple w:instr="NOTEREF _Ref_Footnote_30 \h \f">
              <w:r>
                <w:rPr>
                  <w:vertAlign w:val="superscript"/>
                </w:rPr>
                <w:t>30</w:t>
              </w:r>
            </w:fldSimple>
          </w:p>
        </w:tc>
      </w:tr>
      <w:tr>
        <w:tc>
          <w:tcPr/>
          <w:p>
            <w:pPr>
              <w:pStyle w:val="Compact"/>
              <w:jc w:val="left"/>
            </w:pPr>
            <w:r>
              <w:rPr>
                <w:bCs/>
                <w:b/>
              </w:rPr>
              <w:t xml:space="preserve">Policy output</w:t>
            </w:r>
          </w:p>
        </w:tc>
        <w:tc>
          <w:tcPr/>
          <w:p>
            <w:pPr>
              <w:pStyle w:val="Compact"/>
              <w:jc w:val="left"/>
            </w:pPr>
            <w:r>
              <w:t xml:space="preserve">“</w:t>
            </w:r>
            <w:r>
              <w:t xml:space="preserve">Tool for action</w:t>
            </w:r>
            <w:r>
              <w:t xml:space="preserve">”</w:t>
            </w:r>
            <w:r>
              <w:t xml:space="preserve"> </w:t>
            </w:r>
            <w:r>
              <w:t xml:space="preserve">design</w:t>
            </w:r>
            <w:r>
              <w:t xml:space="preserve"> </w:t>
            </w:r>
            <w:fldSimple w:instr="NOTEREF _Ref_Footnote_7 \h \f">
              <w:r>
                <w:rPr>
                  <w:vertAlign w:val="superscript"/>
                </w:rPr>
                <w:t>7</w:t>
              </w:r>
            </w:fldSimple>
          </w:p>
        </w:tc>
        <w:tc>
          <w:tcPr/>
          <w:p>
            <w:pPr>
              <w:pStyle w:val="Compact"/>
              <w:jc w:val="left"/>
            </w:pPr>
            <w:r>
              <w:t xml:space="preserve">Sensitivity studies; city spotlights</w:t>
            </w:r>
            <w:r>
              <w:t xml:space="preserve"> </w:t>
            </w:r>
            <w:fldSimple w:instr="NOTEREF _Ref_Footnote_5 \h \f">
              <w:r>
                <w:rPr>
                  <w:vertAlign w:val="superscript"/>
                </w:rPr>
                <w:t>5</w:t>
              </w:r>
            </w:fldSimple>
          </w:p>
        </w:tc>
        <w:tc>
          <w:tcPr/>
          <w:p>
            <w:pPr>
              <w:pStyle w:val="Compact"/>
              <w:jc w:val="left"/>
            </w:pPr>
            <w:r>
              <w:t xml:space="preserve">“</w:t>
            </w:r>
            <w:r>
              <w:t xml:space="preserve">The Way Forward</w:t>
            </w:r>
            <w:r>
              <w:t xml:space="preserve">”</w:t>
            </w:r>
            <w:r>
              <w:t xml:space="preserve"> </w:t>
            </w:r>
            <w:r>
              <w:t xml:space="preserve">per city</w:t>
            </w:r>
            <w:r>
              <w:t xml:space="preserve"> </w:t>
            </w:r>
            <w:fldSimple w:instr="NOTEREF _Ref_Footnote_6 \h \f">
              <w:r>
                <w:rPr>
                  <w:vertAlign w:val="superscript"/>
                </w:rPr>
                <w:t>6</w:t>
              </w:r>
            </w:fldSimple>
          </w:p>
        </w:tc>
        <w:tc>
          <w:tcPr/>
          <w:p>
            <w:pPr>
              <w:pStyle w:val="Compact"/>
              <w:jc w:val="left"/>
            </w:pPr>
            <w:r>
              <w:t xml:space="preserve">“</w:t>
            </w:r>
            <w:r>
              <w:t xml:space="preserve">Biggest Movers</w:t>
            </w:r>
            <w:r>
              <w:t xml:space="preserve">”</w:t>
            </w:r>
            <w:r>
              <w:t xml:space="preserve"> </w:t>
            </w:r>
            <w:r>
              <w:t xml:space="preserve">analysis</w:t>
            </w:r>
            <w:r>
              <w:t xml:space="preserve"> </w:t>
            </w:r>
            <w:fldSimple w:instr="NOTEREF _Ref_Footnote_30 \h \f">
              <w:r>
                <w:rPr>
                  <w:vertAlign w:val="superscript"/>
                </w:rPr>
                <w:t>30</w:t>
              </w:r>
            </w:fldSimple>
          </w:p>
        </w:tc>
      </w:tr>
      <w:tr>
        <w:tc>
          <w:tcPr/>
          <w:p>
            <w:pPr>
              <w:pStyle w:val="Compact"/>
              <w:jc w:val="left"/>
            </w:pPr>
            <w:r>
              <w:rPr>
                <w:bCs/>
                <w:b/>
              </w:rPr>
              <w:t xml:space="preserve">Paid services</w:t>
            </w:r>
          </w:p>
        </w:tc>
        <w:tc>
          <w:tcPr/>
          <w:p>
            <w:pPr>
              <w:pStyle w:val="Compact"/>
              <w:jc w:val="left"/>
            </w:pPr>
            <w:r>
              <w:t xml:space="preserve">None reported</w:t>
            </w:r>
          </w:p>
        </w:tc>
        <w:tc>
          <w:tcPr/>
          <w:p>
            <w:pPr>
              <w:pStyle w:val="Compact"/>
              <w:jc w:val="left"/>
            </w:pPr>
            <w:r>
              <w:t xml:space="preserve">None reported</w:t>
            </w:r>
          </w:p>
        </w:tc>
        <w:tc>
          <w:tcPr/>
          <w:p>
            <w:pPr>
              <w:pStyle w:val="Compact"/>
              <w:jc w:val="left"/>
            </w:pPr>
            <w:r>
              <w:t xml:space="preserve">Benchmark reports (EUR 2,800-4,800); training</w:t>
            </w:r>
            <w:r>
              <w:t xml:space="preserve"> </w:t>
            </w:r>
            <w:fldSimple w:instr="NOTEREF _Ref_Footnote_28 \h \f">
              <w:r>
                <w:rPr>
                  <w:vertAlign w:val="superscript"/>
                </w:rPr>
                <w:t>28</w:t>
              </w:r>
            </w:fldSimple>
            <w:r>
              <w:t xml:space="preserve"> </w:t>
            </w:r>
            <w:fldSimple w:instr="NOTEREF _Ref_Footnote_29 \h \f">
              <w:r>
                <w:rPr>
                  <w:vertAlign w:val="superscript"/>
                </w:rPr>
                <w:t>29</w:t>
              </w:r>
            </w:fldSimple>
          </w:p>
        </w:tc>
        <w:tc>
          <w:tcPr/>
          <w:p>
            <w:pPr>
              <w:pStyle w:val="Compact"/>
              <w:jc w:val="left"/>
            </w:pPr>
            <w:r>
              <w:t xml:space="preserve">Custom datasets; detailed profiles</w:t>
            </w:r>
            <w:r>
              <w:t xml:space="preserve"> </w:t>
            </w:r>
            <w:fldSimple w:instr="NOTEREF _Ref_Footnote_33 \h \f">
              <w:r>
                <w:rPr>
                  <w:vertAlign w:val="superscript"/>
                </w:rPr>
                <w:t>33</w:t>
              </w:r>
            </w:fldSimple>
          </w:p>
        </w:tc>
      </w:tr>
      <w:tr>
        <w:tc>
          <w:tcPr/>
          <w:p>
            <w:pPr>
              <w:pStyle w:val="Compact"/>
              <w:jc w:val="left"/>
            </w:pPr>
            <w:r>
              <w:rPr>
                <w:bCs/>
                <w:b/>
              </w:rPr>
              <w:t xml:space="preserve">Year-round engagement</w:t>
            </w:r>
          </w:p>
        </w:tc>
        <w:tc>
          <w:tcPr/>
          <w:p>
            <w:pPr>
              <w:pStyle w:val="Compact"/>
              <w:jc w:val="left"/>
            </w:pPr>
            <w:r>
              <w:t xml:space="preserve">Partnership with WeGO</w:t>
            </w:r>
            <w:r>
              <w:t xml:space="preserve"> </w:t>
            </w:r>
            <w:fldSimple w:instr="NOTEREF _Ref_Footnote_7 \h \f">
              <w:r>
                <w:rPr>
                  <w:vertAlign w:val="superscript"/>
                </w:rPr>
                <w:t>7</w:t>
              </w:r>
            </w:fldSimple>
          </w:p>
        </w:tc>
        <w:tc>
          <w:tcPr/>
          <w:p>
            <w:pPr>
              <w:pStyle w:val="Compact"/>
              <w:jc w:val="left"/>
            </w:pPr>
            <w:r>
              <w:t xml:space="preserve">Annual report cycle</w:t>
            </w:r>
          </w:p>
        </w:tc>
        <w:tc>
          <w:tcPr/>
          <w:p>
            <w:pPr>
              <w:pStyle w:val="Compact"/>
              <w:jc w:val="left"/>
            </w:pPr>
            <w:r>
              <w:t xml:space="preserve">Master classes; advisory</w:t>
            </w:r>
            <w:r>
              <w:t xml:space="preserve"> </w:t>
            </w:r>
            <w:fldSimple w:instr="NOTEREF _Ref_Footnote_29 \h \f">
              <w:r>
                <w:rPr>
                  <w:vertAlign w:val="superscript"/>
                </w:rPr>
                <w:t>29</w:t>
              </w:r>
            </w:fldSimple>
          </w:p>
        </w:tc>
        <w:tc>
          <w:tcPr/>
          <w:p>
            <w:pPr>
              <w:pStyle w:val="Compact"/>
              <w:jc w:val="left"/>
            </w:pPr>
            <w:r>
              <w:t xml:space="preserve">Content hub; virtual events</w:t>
            </w:r>
            <w:r>
              <w:t xml:space="preserve"> </w:t>
            </w:r>
            <w:fldSimple w:instr="NOTEREF _Ref_Footnote_33 \h \f">
              <w:r>
                <w:rPr>
                  <w:vertAlign w:val="superscript"/>
                </w:rPr>
                <w:t>33</w:t>
              </w:r>
            </w:fldSimple>
            <w:r>
              <w:t xml:space="preserve"> </w:t>
            </w:r>
            <w:fldSimple w:instr="NOTEREF _Ref_Footnote_34 \h \f">
              <w:r>
                <w:rPr>
                  <w:vertAlign w:val="superscript"/>
                </w:rPr>
                <w:t>34</w:t>
              </w:r>
            </w:fldSimple>
          </w:p>
        </w:tc>
      </w:tr>
      <w:tr>
        <w:tc>
          <w:tcPr/>
          <w:p>
            <w:pPr>
              <w:pStyle w:val="Compact"/>
              <w:jc w:val="left"/>
            </w:pPr>
            <w:r>
              <w:rPr>
                <w:bCs/>
                <w:b/>
              </w:rPr>
              <w:t xml:space="preserve">Academic partner</w:t>
            </w:r>
          </w:p>
        </w:tc>
        <w:tc>
          <w:tcPr/>
          <w:p>
            <w:pPr>
              <w:pStyle w:val="Compact"/>
              <w:jc w:val="left"/>
            </w:pPr>
            <w:r>
              <w:t xml:space="preserve">SUTD</w:t>
            </w:r>
            <w:r>
              <w:t xml:space="preserve"> </w:t>
            </w:r>
            <w:fldSimple w:instr="NOTEREF _Ref_Footnote_18 \h \f">
              <w:r>
                <w:rPr>
                  <w:vertAlign w:val="superscript"/>
                </w:rPr>
                <w:t>18</w:t>
              </w:r>
            </w:fldSimple>
          </w:p>
        </w:tc>
        <w:tc>
          <w:tcPr/>
          <w:p>
            <w:pPr>
              <w:pStyle w:val="Compact"/>
              <w:jc w:val="left"/>
            </w:pPr>
            <w:r>
              <w:t xml:space="preserve">IESE Business School / Navarra</w:t>
            </w:r>
            <w:r>
              <w:t xml:space="preserve"> </w:t>
            </w:r>
            <w:fldSimple w:instr="NOTEREF _Ref_Footnote_5 \h \f">
              <w:r>
                <w:rPr>
                  <w:vertAlign w:val="superscript"/>
                </w:rPr>
                <w:t>5</w:t>
              </w:r>
            </w:fldSimple>
          </w:p>
        </w:tc>
        <w:tc>
          <w:tcPr/>
          <w:p>
            <w:pPr>
              <w:pStyle w:val="Compact"/>
              <w:jc w:val="left"/>
            </w:pPr>
            <w:r>
              <w:t xml:space="preserve">EIT Urban Mobility</w:t>
            </w:r>
            <w:r>
              <w:t xml:space="preserve"> </w:t>
            </w:r>
            <w:fldSimple w:instr="NOTEREF _Ref_Footnote_6 \h \f">
              <w:r>
                <w:rPr>
                  <w:vertAlign w:val="superscript"/>
                </w:rPr>
                <w:t>6</w:t>
              </w:r>
            </w:fldSimple>
          </w:p>
        </w:tc>
        <w:tc>
          <w:tcPr/>
          <w:p>
            <w:pPr>
              <w:pStyle w:val="Compact"/>
              <w:jc w:val="left"/>
            </w:pPr>
            <w:r>
              <w:t xml:space="preserve">EIU in-house analysts</w:t>
            </w:r>
            <w:r>
              <w:t xml:space="preserve"> </w:t>
            </w:r>
            <w:fldSimple w:instr="NOTEREF _Ref_Footnote_32 \h \f">
              <w:r>
                <w:rPr>
                  <w:vertAlign w:val="superscript"/>
                </w:rPr>
                <w:t>32</w:t>
              </w:r>
            </w:fldSimple>
          </w:p>
        </w:tc>
      </w:tr>
      <w:tr>
        <w:tc>
          <w:tcPr/>
          <w:p>
            <w:pPr>
              <w:pStyle w:val="Compact"/>
              <w:jc w:val="left"/>
            </w:pPr>
            <w:r>
              <w:rPr>
                <w:bCs/>
                <w:b/>
              </w:rPr>
              <w:t xml:space="preserve">What SCITI should copy</w:t>
            </w:r>
          </w:p>
        </w:tc>
        <w:tc>
          <w:tcPr/>
          <w:p>
            <w:pPr>
              <w:pStyle w:val="Compact"/>
              <w:jc w:val="left"/>
            </w:pPr>
            <w:r>
              <w:t xml:space="preserve">Citizen perception surveys; HDI peer grouping</w:t>
            </w:r>
          </w:p>
        </w:tc>
        <w:tc>
          <w:tcPr/>
          <w:p>
            <w:pPr>
              <w:pStyle w:val="Compact"/>
              <w:jc w:val="left"/>
            </w:pPr>
            <w:r>
              <w:t xml:space="preserve">DP2 methodology; radar charts; cluster analysis</w:t>
            </w:r>
          </w:p>
        </w:tc>
        <w:tc>
          <w:tcPr/>
          <w:p>
            <w:pPr>
              <w:pStyle w:val="Compact"/>
              <w:jc w:val="left"/>
            </w:pPr>
            <w:r>
              <w:t xml:space="preserve">Per-city policy recommendations; training programs</w:t>
            </w:r>
          </w:p>
        </w:tc>
        <w:tc>
          <w:tcPr/>
          <w:p>
            <w:pPr>
              <w:pStyle w:val="Compact"/>
              <w:jc w:val="left"/>
            </w:pPr>
            <w:r>
              <w:t xml:space="preserve">Time series;</w:t>
            </w:r>
            <w:r>
              <w:t xml:space="preserve"> </w:t>
            </w:r>
            <w:r>
              <w:t xml:space="preserve">“</w:t>
            </w:r>
            <w:r>
              <w:t xml:space="preserve">movers</w:t>
            </w:r>
            <w:r>
              <w:t xml:space="preserve">”</w:t>
            </w:r>
            <w:r>
              <w:t xml:space="preserve"> </w:t>
            </w:r>
            <w:r>
              <w:t xml:space="preserve">narrative; content hub</w:t>
            </w:r>
          </w:p>
        </w:tc>
      </w:tr>
    </w:tbl>
    <w:p>
      <w:pPr>
        <w:pStyle w:val="BodyText"/>
      </w:pPr>
      <w:r>
        <w:t xml:space="preserve">The matrix reveals a clear pattern: each leading index has a distinctive methodological signature that SCITI currently lacks. IMD’s citizen perception component, IESE’s statistical rigor and visualization, Copenhagenize’s policy translation, and EIU’s longitudinal depth and editorial framing each address a specific SCITI weakness. The most impactful near-term addition would be a citizen perception survey (IMD model) combined with per-city policy recommendations (Copenhagenize model) — both are feasible without major infrastructure investment.</w:t>
      </w:r>
    </w:p>
    <w:p>
      <w:pPr>
        <w:pStyle w:val="BodyText"/>
      </w:pPr>
      <w:r>
        <w:rPr>
          <w:bCs/>
          <w:b/>
        </w:rPr>
        <w:t xml:space="preserve">Table 2: Smart City Framework Reference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Origin</w:t>
            </w:r>
          </w:p>
        </w:tc>
        <w:tc>
          <w:tcPr/>
          <w:p>
            <w:pPr>
              <w:pStyle w:val="Compact"/>
              <w:jc w:val="left"/>
            </w:pPr>
            <w:r>
              <w:t xml:space="preserve">Scale</w:t>
            </w:r>
          </w:p>
        </w:tc>
        <w:tc>
          <w:tcPr/>
          <w:p>
            <w:pPr>
              <w:pStyle w:val="Compact"/>
              <w:jc w:val="left"/>
            </w:pPr>
            <w:r>
              <w:t xml:space="preserve">Indicators/KPIs</w:t>
            </w:r>
          </w:p>
        </w:tc>
        <w:tc>
          <w:tcPr/>
          <w:p>
            <w:pPr>
              <w:pStyle w:val="Compact"/>
              <w:jc w:val="left"/>
            </w:pPr>
            <w:r>
              <w:t xml:space="preserve">Key Document</w:t>
            </w:r>
          </w:p>
        </w:tc>
        <w:tc>
          <w:tcPr/>
          <w:p>
            <w:pPr>
              <w:pStyle w:val="Compact"/>
              <w:jc w:val="left"/>
            </w:pPr>
            <w:r>
              <w:t xml:space="preserve">What SCITI Gains</w:t>
            </w:r>
          </w:p>
        </w:tc>
      </w:tr>
      <w:tr>
        <w:tc>
          <w:tcPr/>
          <w:p>
            <w:pPr>
              <w:pStyle w:val="Compact"/>
              <w:jc w:val="left"/>
            </w:pPr>
            <w:r>
              <w:rPr>
                <w:bCs/>
                <w:b/>
              </w:rPr>
              <w:t xml:space="preserve">UN-Habitat CPI</w:t>
            </w:r>
          </w:p>
        </w:tc>
        <w:tc>
          <w:tcPr/>
          <w:p>
            <w:pPr>
              <w:pStyle w:val="Compact"/>
              <w:jc w:val="left"/>
            </w:pPr>
            <w:r>
              <w:t xml:space="preserve">UN; 2012-present</w:t>
            </w:r>
          </w:p>
        </w:tc>
        <w:tc>
          <w:tcPr/>
          <w:p>
            <w:pPr>
              <w:pStyle w:val="Compact"/>
              <w:jc w:val="left"/>
            </w:pPr>
            <w:r>
              <w:t xml:space="preserve">539 cities, 54 countries</w:t>
            </w:r>
            <w:r>
              <w:t xml:space="preserve"> </w:t>
            </w:r>
            <w:fldSimple w:instr="NOTEREF _Ref_Footnote_35 \h \f">
              <w:r>
                <w:rPr>
                  <w:vertAlign w:val="superscript"/>
                </w:rPr>
                <w:t>35</w:t>
              </w:r>
            </w:fldSimple>
          </w:p>
        </w:tc>
        <w:tc>
          <w:tcPr/>
          <w:p>
            <w:pPr>
              <w:pStyle w:val="Compact"/>
              <w:jc w:val="left"/>
            </w:pPr>
            <w:r>
              <w:t xml:space="preserve">25+ indicators; 6 dimensions</w:t>
            </w:r>
            <w:r>
              <w:t xml:space="preserve"> </w:t>
            </w:r>
            <w:fldSimple w:instr="NOTEREF _Ref_Footnote_38 \h \f">
              <w:r>
                <w:rPr>
                  <w:vertAlign w:val="superscript"/>
                </w:rPr>
                <w:t>38</w:t>
              </w:r>
            </w:fldSimple>
          </w:p>
        </w:tc>
        <w:tc>
          <w:tcPr/>
          <w:p>
            <w:pPr>
              <w:pStyle w:val="Compact"/>
              <w:jc w:val="left"/>
            </w:pPr>
            <w:r>
              <w:t xml:space="preserve">CPI Toolkit; City Action Plan template</w:t>
            </w:r>
            <w:r>
              <w:t xml:space="preserve"> </w:t>
            </w:r>
            <w:fldSimple w:instr="NOTEREF _Ref_Footnote_36 \h \f">
              <w:r>
                <w:rPr>
                  <w:vertAlign w:val="superscript"/>
                </w:rPr>
                <w:t>36</w:t>
              </w:r>
            </w:fldSimple>
          </w:p>
        </w:tc>
        <w:tc>
          <w:tcPr/>
          <w:p>
            <w:pPr>
              <w:pStyle w:val="Compact"/>
              <w:jc w:val="left"/>
            </w:pPr>
            <w:r>
              <w:t xml:space="preserve">SDG-aligned assessment methodology; spatial indicators</w:t>
            </w:r>
            <w:r>
              <w:t xml:space="preserve"> </w:t>
            </w:r>
            <w:fldSimple w:instr="NOTEREF _Ref_Footnote_39 \h \f">
              <w:r>
                <w:rPr>
                  <w:vertAlign w:val="superscript"/>
                </w:rPr>
                <w:t>39</w:t>
              </w:r>
            </w:fldSimple>
            <w:r>
              <w:t xml:space="preserve">; open data portal</w:t>
            </w:r>
            <w:r>
              <w:t xml:space="preserve"> </w:t>
            </w:r>
            <w:fldSimple w:instr="NOTEREF _Ref_Footnote_35 \h \f">
              <w:r>
                <w:rPr>
                  <w:vertAlign w:val="superscript"/>
                </w:rPr>
                <w:t>35</w:t>
              </w:r>
            </w:fldSimple>
          </w:p>
        </w:tc>
      </w:tr>
      <w:tr>
        <w:tc>
          <w:tcPr/>
          <w:p>
            <w:pPr>
              <w:pStyle w:val="Compact"/>
              <w:jc w:val="left"/>
            </w:pPr>
            <w:r>
              <w:rPr>
                <w:bCs/>
                <w:b/>
              </w:rPr>
              <w:t xml:space="preserve">ISO 37120</w:t>
            </w:r>
          </w:p>
        </w:tc>
        <w:tc>
          <w:tcPr/>
          <w:p>
            <w:pPr>
              <w:pStyle w:val="Compact"/>
              <w:jc w:val="left"/>
            </w:pPr>
            <w:r>
              <w:t xml:space="preserve">ISO; 2014 (upd. 2021)</w:t>
            </w:r>
          </w:p>
        </w:tc>
        <w:tc>
          <w:tcPr/>
          <w:p>
            <w:pPr>
              <w:pStyle w:val="Compact"/>
              <w:jc w:val="left"/>
            </w:pPr>
            <w:r>
              <w:t xml:space="preserve">Global voluntary</w:t>
            </w:r>
          </w:p>
        </w:tc>
        <w:tc>
          <w:tcPr/>
          <w:p>
            <w:pPr>
              <w:pStyle w:val="Compact"/>
              <w:jc w:val="left"/>
            </w:pPr>
            <w:r>
              <w:t xml:space="preserve">104 KPIs; 19 themes (56 core, 48 supporting)</w:t>
            </w:r>
            <w:r>
              <w:t xml:space="preserve"> </w:t>
            </w:r>
            <w:fldSimple w:instr="NOTEREF _Ref_Footnote_40 \h \f">
              <w:r>
                <w:rPr>
                  <w:vertAlign w:val="superscript"/>
                </w:rPr>
                <w:t>40</w:t>
              </w:r>
            </w:fldSimple>
            <w:r>
              <w:t xml:space="preserve"> </w:t>
            </w:r>
            <w:fldSimple w:instr="NOTEREF _Ref_Footnote_42 \h \f">
              <w:r>
                <w:rPr>
                  <w:vertAlign w:val="superscript"/>
                </w:rPr>
                <w:t>42</w:t>
              </w:r>
            </w:fldSimple>
          </w:p>
        </w:tc>
        <w:tc>
          <w:tcPr/>
          <w:p>
            <w:pPr>
              <w:pStyle w:val="Compact"/>
              <w:jc w:val="left"/>
            </w:pPr>
            <w:r>
              <w:t xml:space="preserve">Full standard with indicator definitions</w:t>
            </w:r>
          </w:p>
        </w:tc>
        <w:tc>
          <w:tcPr/>
          <w:p>
            <w:pPr>
              <w:pStyle w:val="Compact"/>
              <w:jc w:val="left"/>
            </w:pPr>
            <w:r>
              <w:t xml:space="preserve">Baseline service quality metrics; WCCD certification pathway</w:t>
            </w:r>
            <w:r>
              <w:t xml:space="preserve"> </w:t>
            </w:r>
            <w:fldSimple w:instr="NOTEREF _Ref_Footnote_40 \h \f">
              <w:r>
                <w:rPr>
                  <w:vertAlign w:val="superscript"/>
                </w:rPr>
                <w:t>40</w:t>
              </w:r>
            </w:fldSimple>
          </w:p>
        </w:tc>
      </w:tr>
      <w:tr>
        <w:tc>
          <w:tcPr/>
          <w:p>
            <w:pPr>
              <w:pStyle w:val="Compact"/>
              <w:jc w:val="left"/>
            </w:pPr>
            <w:r>
              <w:rPr>
                <w:bCs/>
                <w:b/>
              </w:rPr>
              <w:t xml:space="preserve">ISO 37122</w:t>
            </w:r>
          </w:p>
        </w:tc>
        <w:tc>
          <w:tcPr/>
          <w:p>
            <w:pPr>
              <w:pStyle w:val="Compact"/>
              <w:jc w:val="left"/>
            </w:pPr>
            <w:r>
              <w:t xml:space="preserve">ISO; 2019</w:t>
            </w:r>
          </w:p>
        </w:tc>
        <w:tc>
          <w:tcPr/>
          <w:p>
            <w:pPr>
              <w:pStyle w:val="Compact"/>
              <w:jc w:val="left"/>
            </w:pPr>
            <w:r>
              <w:t xml:space="preserve">Global voluntary</w:t>
            </w:r>
          </w:p>
        </w:tc>
        <w:tc>
          <w:tcPr/>
          <w:p>
            <w:pPr>
              <w:pStyle w:val="Compact"/>
              <w:jc w:val="left"/>
            </w:pPr>
            <w:r>
              <w:t xml:space="preserve">81 indicators; 20 sectors</w:t>
            </w:r>
            <w:r>
              <w:t xml:space="preserve"> </w:t>
            </w:r>
            <w:fldSimple w:instr="NOTEREF _Ref_Footnote_41 \h \f">
              <w:r>
                <w:rPr>
                  <w:vertAlign w:val="superscript"/>
                </w:rPr>
                <w:t>41</w:t>
              </w:r>
            </w:fldSimple>
            <w:r>
              <w:t xml:space="preserve"> </w:t>
            </w:r>
            <w:fldSimple w:instr="NOTEREF _Ref_Footnote_43 \h \f">
              <w:r>
                <w:rPr>
                  <w:vertAlign w:val="superscript"/>
                </w:rPr>
                <w:t>43</w:t>
              </w:r>
            </w:fldSimple>
          </w:p>
        </w:tc>
        <w:tc>
          <w:tcPr/>
          <w:p>
            <w:pPr>
              <w:pStyle w:val="Compact"/>
              <w:jc w:val="left"/>
            </w:pPr>
            <w:r>
              <w:t xml:space="preserve">Full standard with smart-specific definitions</w:t>
            </w:r>
          </w:p>
        </w:tc>
        <w:tc>
          <w:tcPr/>
          <w:p>
            <w:pPr>
              <w:pStyle w:val="Compact"/>
              <w:jc w:val="left"/>
            </w:pPr>
            <w:r>
              <w:t xml:space="preserve">Digital maturity indicators; technology deployment metrics; hierarchical pairing with 37120</w:t>
            </w:r>
            <w:r>
              <w:t xml:space="preserve"> </w:t>
            </w:r>
            <w:fldSimple w:instr="NOTEREF _Ref_Footnote_44 \h \f">
              <w:r>
                <w:rPr>
                  <w:vertAlign w:val="superscript"/>
                </w:rPr>
                <w:t>44</w:t>
              </w:r>
            </w:fldSimple>
          </w:p>
        </w:tc>
      </w:tr>
      <w:tr>
        <w:tc>
          <w:tcPr/>
          <w:p>
            <w:pPr>
              <w:pStyle w:val="Compact"/>
              <w:jc w:val="left"/>
            </w:pPr>
            <w:r>
              <w:rPr>
                <w:bCs/>
                <w:b/>
              </w:rPr>
              <w:t xml:space="preserve">EU Smart Cities Marketplace</w:t>
            </w:r>
          </w:p>
        </w:tc>
        <w:tc>
          <w:tcPr/>
          <w:p>
            <w:pPr>
              <w:pStyle w:val="Compact"/>
              <w:jc w:val="left"/>
            </w:pPr>
            <w:r>
              <w:t xml:space="preserve">EU Commission; 2019</w:t>
            </w:r>
          </w:p>
        </w:tc>
        <w:tc>
          <w:tcPr/>
          <w:p>
            <w:pPr>
              <w:pStyle w:val="Compact"/>
              <w:jc w:val="left"/>
            </w:pPr>
            <w:r>
              <w:t xml:space="preserve">27 EU states + eligible countries</w:t>
            </w:r>
          </w:p>
        </w:tc>
        <w:tc>
          <w:tcPr/>
          <w:p>
            <w:pPr>
              <w:pStyle w:val="Compact"/>
              <w:jc w:val="left"/>
            </w:pPr>
            <w:r>
              <w:t xml:space="preserve">130+ bankable projects; EUR 668M+ aggregated</w:t>
            </w:r>
            <w:r>
              <w:t xml:space="preserve"> </w:t>
            </w:r>
            <w:fldSimple w:instr="NOTEREF _Ref_Footnote_40 \h \f">
              <w:r>
                <w:rPr>
                  <w:vertAlign w:val="superscript"/>
                </w:rPr>
                <w:t>40</w:t>
              </w:r>
            </w:fldSimple>
          </w:p>
        </w:tc>
        <w:tc>
          <w:tcPr/>
          <w:p>
            <w:pPr>
              <w:pStyle w:val="Compact"/>
              <w:jc w:val="left"/>
            </w:pPr>
            <w:r>
              <w:t xml:space="preserve">Smart Cities Guidance Package; 8+ Solution Booklets</w:t>
            </w:r>
            <w:r>
              <w:t xml:space="preserve"> </w:t>
            </w:r>
            <w:fldSimple w:instr="NOTEREF _Ref_Footnote_48 \h \f">
              <w:r>
                <w:rPr>
                  <w:vertAlign w:val="superscript"/>
                </w:rPr>
                <w:t>48</w:t>
              </w:r>
            </w:fldSimple>
            <w:r>
              <w:t xml:space="preserve"> </w:t>
            </w:r>
            <w:fldSimple w:instr="NOTEREF _Ref_Footnote_47 \h \f">
              <w:r>
                <w:rPr>
                  <w:vertAlign w:val="superscript"/>
                </w:rPr>
                <w:t>47</w:t>
              </w:r>
            </w:fldSimple>
          </w:p>
        </w:tc>
        <w:tc>
          <w:tcPr/>
          <w:p>
            <w:pPr>
              <w:pStyle w:val="Compact"/>
              <w:jc w:val="left"/>
            </w:pPr>
            <w:r>
              <w:t xml:space="preserve">3-phase project model (Explore/Shape/Deal)</w:t>
            </w:r>
            <w:r>
              <w:t xml:space="preserve"> </w:t>
            </w:r>
            <w:fldSimple w:instr="NOTEREF _Ref_Footnote_24 \h \f">
              <w:r>
                <w:rPr>
                  <w:vertAlign w:val="superscript"/>
                </w:rPr>
                <w:t>24</w:t>
              </w:r>
            </w:fldSimple>
            <w:r>
              <w:t xml:space="preserve">; bankability criteria; replication guides</w:t>
            </w:r>
          </w:p>
        </w:tc>
      </w:tr>
      <w:tr>
        <w:tc>
          <w:tcPr/>
          <w:p>
            <w:pPr>
              <w:pStyle w:val="Compact"/>
              <w:jc w:val="left"/>
            </w:pPr>
            <w:r>
              <w:rPr>
                <w:bCs/>
                <w:b/>
              </w:rPr>
              <w:t xml:space="preserve">Singapore DGB</w:t>
            </w:r>
          </w:p>
        </w:tc>
        <w:tc>
          <w:tcPr/>
          <w:p>
            <w:pPr>
              <w:pStyle w:val="Compact"/>
              <w:jc w:val="left"/>
            </w:pPr>
            <w:r>
              <w:t xml:space="preserve">Singapore Gov; 2014</w:t>
            </w:r>
          </w:p>
        </w:tc>
        <w:tc>
          <w:tcPr/>
          <w:p>
            <w:pPr>
              <w:pStyle w:val="Compact"/>
              <w:jc w:val="left"/>
            </w:pPr>
            <w:r>
              <w:t xml:space="preserve">National (Smart Nation 2.0)</w:t>
            </w:r>
          </w:p>
        </w:tc>
        <w:tc>
          <w:tcPr/>
          <w:p>
            <w:pPr>
              <w:pStyle w:val="Compact"/>
              <w:jc w:val="left"/>
            </w:pPr>
            <w:r>
              <w:t xml:space="preserve">15 specific KPIs with 2023 targets</w:t>
            </w:r>
            <w:r>
              <w:t xml:space="preserve"> </w:t>
            </w:r>
            <w:fldSimple w:instr="NOTEREF _Ref_Footnote_50 \h \f">
              <w:r>
                <w:rPr>
                  <w:vertAlign w:val="superscript"/>
                </w:rPr>
                <w:t>50</w:t>
              </w:r>
            </w:fldSimple>
          </w:p>
        </w:tc>
        <w:tc>
          <w:tcPr/>
          <w:p>
            <w:pPr>
              <w:pStyle w:val="Compact"/>
              <w:jc w:val="left"/>
            </w:pPr>
            <w:r>
              <w:t xml:space="preserve">Digital Government Blueprint (public)</w:t>
            </w:r>
            <w:r>
              <w:t xml:space="preserve"> </w:t>
            </w:r>
            <w:fldSimple w:instr="NOTEREF _Ref_Footnote_50 \h \f">
              <w:r>
                <w:rPr>
                  <w:vertAlign w:val="superscript"/>
                </w:rPr>
                <w:t>50</w:t>
              </w:r>
            </w:fldSimple>
          </w:p>
        </w:tc>
        <w:tc>
          <w:tcPr/>
          <w:p>
            <w:pPr>
              <w:pStyle w:val="Compact"/>
              <w:jc w:val="left"/>
            </w:pPr>
            <w:r>
              <w:t xml:space="preserve">Mandated cross-agency data sharing (7-day max); mandatory AI per ministry; citizen satisfaction targets</w:t>
            </w:r>
          </w:p>
        </w:tc>
      </w:tr>
      <w:tr>
        <w:tc>
          <w:tcPr/>
          <w:p>
            <w:pPr>
              <w:pStyle w:val="Compact"/>
              <w:jc w:val="left"/>
            </w:pPr>
            <w:r>
              <w:rPr>
                <w:bCs/>
                <w:b/>
              </w:rPr>
              <w:t xml:space="preserve">ASEAN ASCF</w:t>
            </w:r>
          </w:p>
        </w:tc>
        <w:tc>
          <w:tcPr/>
          <w:p>
            <w:pPr>
              <w:pStyle w:val="Compact"/>
              <w:jc w:val="left"/>
            </w:pPr>
            <w:r>
              <w:t xml:space="preserve">ASEAN; 2018</w:t>
            </w:r>
          </w:p>
        </w:tc>
        <w:tc>
          <w:tcPr/>
          <w:p>
            <w:pPr>
              <w:pStyle w:val="Compact"/>
              <w:jc w:val="left"/>
            </w:pPr>
            <w:r>
              <w:t xml:space="preserve">35+ pilot cities across 10 members</w:t>
            </w:r>
            <w:r>
              <w:t xml:space="preserve"> </w:t>
            </w:r>
            <w:fldSimple w:instr="NOTEREF _Ref_Footnote_8 \h \f">
              <w:r>
                <w:rPr>
                  <w:vertAlign w:val="superscript"/>
                </w:rPr>
                <w:t>8</w:t>
              </w:r>
            </w:fldSimple>
          </w:p>
        </w:tc>
        <w:tc>
          <w:tcPr/>
          <w:p>
            <w:pPr>
              <w:pStyle w:val="Compact"/>
              <w:jc w:val="left"/>
            </w:pPr>
            <w:r>
              <w:t xml:space="preserve">6 strategic outcomes; M&amp;E framework</w:t>
            </w:r>
            <w:r>
              <w:t xml:space="preserve"> </w:t>
            </w:r>
            <w:r>
              <w:rPr>
                <w:vertAlign w:val="superscript"/>
              </w:rPr>
              <w:footnoteReference w:id="53"/>
            </w:r>
          </w:p>
        </w:tc>
        <w:tc>
          <w:tcPr/>
          <w:p>
            <w:pPr>
              <w:pStyle w:val="Compact"/>
              <w:jc w:val="left"/>
            </w:pPr>
            <w:r>
              <w:t xml:space="preserve">ASEAN Smart City Planning Guidebook (2022)</w:t>
            </w:r>
            <w:r>
              <w:t xml:space="preserve"> </w:t>
            </w:r>
            <w:r>
              <w:rPr>
                <w:vertAlign w:val="superscript"/>
              </w:rPr>
              <w:footnoteReference w:id="54"/>
            </w:r>
          </w:p>
        </w:tc>
        <w:tc>
          <w:tcPr/>
          <w:p>
            <w:pPr>
              <w:pStyle w:val="Compact"/>
              <w:jc w:val="left"/>
            </w:pPr>
            <w:r>
              <w:t xml:space="preserve">Regional peer context; culturally adaptive framework; SCAP templates</w:t>
            </w:r>
            <w:r>
              <w:t xml:space="preserve"> </w:t>
            </w:r>
            <w:fldSimple w:instr="NOTEREF _Ref_Footnote_8 \h \f">
              <w:r>
                <w:rPr>
                  <w:vertAlign w:val="superscript"/>
                </w:rPr>
                <w:t>8</w:t>
              </w:r>
            </w:fldSimple>
          </w:p>
        </w:tc>
      </w:tr>
      <w:tr>
        <w:tc>
          <w:tcPr/>
          <w:p>
            <w:pPr>
              <w:pStyle w:val="Compact"/>
              <w:jc w:val="left"/>
            </w:pPr>
            <w:r>
              <w:rPr>
                <w:bCs/>
                <w:b/>
              </w:rPr>
              <w:t xml:space="preserve">Japan Society 5.0</w:t>
            </w:r>
          </w:p>
        </w:tc>
        <w:tc>
          <w:tcPr/>
          <w:p>
            <w:pPr>
              <w:pStyle w:val="Compact"/>
              <w:jc w:val="left"/>
            </w:pPr>
            <w:r>
              <w:t xml:space="preserve">Japan Cabinet Office; 2016</w:t>
            </w:r>
          </w:p>
        </w:tc>
        <w:tc>
          <w:tcPr/>
          <w:p>
            <w:pPr>
              <w:pStyle w:val="Compact"/>
              <w:jc w:val="left"/>
            </w:pPr>
            <w:r>
              <w:t xml:space="preserve">15 model projects</w:t>
            </w:r>
            <w:r>
              <w:t xml:space="preserve"> </w:t>
            </w:r>
            <w:r>
              <w:rPr>
                <w:vertAlign w:val="superscript"/>
              </w:rPr>
              <w:footnoteReference w:id="55"/>
            </w:r>
          </w:p>
        </w:tc>
        <w:tc>
          <w:tcPr/>
          <w:p>
            <w:pPr>
              <w:pStyle w:val="Compact"/>
              <w:jc w:val="left"/>
            </w:pPr>
            <w:r>
              <w:t xml:space="preserve">Horizontal deployment metrics; citizen surveys</w:t>
            </w:r>
            <w:r>
              <w:t xml:space="preserve"> </w:t>
            </w:r>
            <w:fldSimple w:instr="NOTEREF _Ref_Footnote_55 \h \f">
              <w:r>
                <w:rPr>
                  <w:vertAlign w:val="superscript"/>
                </w:rPr>
                <w:t>55</w:t>
              </w:r>
            </w:fldSimple>
          </w:p>
        </w:tc>
        <w:tc>
          <w:tcPr/>
          <w:p>
            <w:pPr>
              <w:pStyle w:val="Compact"/>
              <w:jc w:val="left"/>
            </w:pPr>
            <w:r>
              <w:t xml:space="preserve">Smart City Catalog; model project guidelines</w:t>
            </w:r>
            <w:r>
              <w:t xml:space="preserve"> </w:t>
            </w:r>
            <w:r>
              <w:rPr>
                <w:vertAlign w:val="superscript"/>
              </w:rPr>
              <w:footnoteReference w:id="56"/>
            </w:r>
          </w:p>
        </w:tc>
        <w:tc>
          <w:tcPr/>
          <w:p>
            <w:pPr>
              <w:pStyle w:val="Compact"/>
              <w:jc w:val="left"/>
            </w:pPr>
            <w:r>
              <w:t xml:space="preserve">Demonstration-then-scale model; public-private-academia consortium template</w:t>
            </w:r>
          </w:p>
        </w:tc>
      </w:tr>
    </w:tbl>
    <w:bookmarkEnd w:id="95"/>
    <w:bookmarkEnd w:id="96"/>
    <w:bookmarkStart w:id="102" w:name="what-makes-a-resource-a-bible"/>
    <w:p>
      <w:pPr>
        <w:pStyle w:val="Heading3"/>
      </w:pPr>
      <w:r>
        <w:t xml:space="preserve">4.3 What Makes a Resource a</w:t>
      </w:r>
      <w:r>
        <w:t xml:space="preserve"> </w:t>
      </w:r>
      <w:r>
        <w:t xml:space="preserve">“</w:t>
      </w:r>
      <w:r>
        <w:t xml:space="preserve">Bible</w:t>
      </w:r>
      <w:r>
        <w:t xml:space="preserve">”</w:t>
      </w:r>
    </w:p>
    <w:p>
      <w:pPr>
        <w:pStyle w:val="FirstParagraph"/>
      </w:pPr>
      <w:r>
        <w:t xml:space="preserve">The frameworks and indexes above share characteristics that distinguish genuinely useful resources from marketing materials. For SCITI to become the definitive reference for Thai smart city development — the document city directors reach for first — it must embody five qualities that the world’s most trusted urban resources all possess.</w:t>
      </w:r>
    </w:p>
    <w:bookmarkStart w:id="97" w:name="X282f5f4b0c9000345c5b993660b71c3ee10b6db"/>
    <w:p>
      <w:pPr>
        <w:pStyle w:val="Heading4"/>
      </w:pPr>
      <w:r>
        <w:t xml:space="preserve">4.3.1 Actionability: Step-by-Step Instructions, Templates, Tools</w:t>
      </w:r>
    </w:p>
    <w:p>
      <w:pPr>
        <w:pStyle w:val="FirstParagraph"/>
      </w:pPr>
      <w:r>
        <w:t xml:space="preserve">A resource becomes a</w:t>
      </w:r>
      <w:r>
        <w:t xml:space="preserve"> </w:t>
      </w:r>
      <w:r>
        <w:t xml:space="preserve">“</w:t>
      </w:r>
      <w:r>
        <w:t xml:space="preserve">bible</w:t>
      </w:r>
      <w:r>
        <w:t xml:space="preserve">”</w:t>
      </w:r>
      <w:r>
        <w:t xml:space="preserve"> </w:t>
      </w:r>
      <w:r>
        <w:t xml:space="preserve">when it tells the reader not just</w:t>
      </w:r>
      <w:r>
        <w:t xml:space="preserve"> </w:t>
      </w:r>
      <w:r>
        <w:rPr>
          <w:iCs/>
          <w:i/>
        </w:rPr>
        <w:t xml:space="preserve">what</w:t>
      </w:r>
      <w:r>
        <w:t xml:space="preserve"> </w:t>
      </w:r>
      <w:r>
        <w:t xml:space="preserve">to do but</w:t>
      </w:r>
      <w:r>
        <w:t xml:space="preserve"> </w:t>
      </w:r>
      <w:r>
        <w:rPr>
          <w:iCs/>
          <w:i/>
        </w:rPr>
        <w:t xml:space="preserve">how</w:t>
      </w:r>
      <w:r>
        <w:t xml:space="preserve"> </w:t>
      </w:r>
      <w:r>
        <w:t xml:space="preserve">to do it. The UN-Habitat CPI Toolkit provides a step-by-step implementation guide with standardized methodologies, indicator definitions, and benchmark formulas</w:t>
      </w:r>
      <w:r>
        <w:t xml:space="preserve"> </w:t>
      </w:r>
      <w:fldSimple w:instr="NOTEREF _Ref_Footnote_36 \h \f">
        <w:r>
          <w:rPr>
            <w:vertAlign w:val="superscript"/>
          </w:rPr>
          <w:t>36</w:t>
        </w:r>
      </w:fldSimple>
      <w:r>
        <w:t xml:space="preserve">. The EU Smart Cities Marketplace offers Solution Booklets with sector-specific guidance on Urban Freight Logistics, Energy Communities, and Citizen Engagement</w:t>
      </w:r>
      <w:r>
        <w:t xml:space="preserve"> </w:t>
      </w:r>
      <w:fldSimple w:instr="NOTEREF _Ref_Footnote_47 \h \f">
        <w:r>
          <w:rPr>
            <w:vertAlign w:val="superscript"/>
          </w:rPr>
          <w:t>47</w:t>
        </w:r>
      </w:fldSimple>
      <w:r>
        <w:t xml:space="preserve">. Singapore’s GovTech publishes playbooks and guides for designing, delivering, and sustaining digital services</w:t>
      </w:r>
      <w:r>
        <w:t xml:space="preserve"> </w:t>
      </w:r>
      <w:r>
        <w:rPr>
          <w:vertAlign w:val="superscript"/>
        </w:rPr>
        <w:footnoteReference w:id="57"/>
      </w:r>
      <w:r>
        <w:t xml:space="preserve">.</w:t>
      </w:r>
    </w:p>
    <w:p>
      <w:pPr>
        <w:pStyle w:val="BodyText"/>
      </w:pPr>
      <w:r>
        <w:t xml:space="preserve">SCITI currently presents evaluation criteria and quantitative thresholds</w:t>
      </w:r>
      <w:r>
        <w:t xml:space="preserve"> </w:t>
      </w:r>
      <w:fldSimple w:instr="NOTEREF _Ref_Footnote_14 \h \f">
        <w:r>
          <w:rPr>
            <w:vertAlign w:val="superscript"/>
          </w:rPr>
          <w:t>14</w:t>
        </w:r>
      </w:fldSimple>
      <w:r>
        <w:t xml:space="preserve">but lacks the intermediate layer: the templates, checklists, and workflow guides that help a city manager in Chiang Mai or Khon Kaen actually assemble a compliant submission. Adding standardized data collection templates, submission checklists, and step-by-step certification workflows would close this gap.</w:t>
      </w:r>
    </w:p>
    <w:bookmarkEnd w:id="97"/>
    <w:bookmarkStart w:id="98" w:name="X16946ad107d036dae4fe165a379b942590b764c"/>
    <w:p>
      <w:pPr>
        <w:pStyle w:val="Heading4"/>
      </w:pPr>
      <w:r>
        <w:t xml:space="preserve">4.3.2 Peer Validation: Real Implementations with Names, Dates, Budgets</w:t>
      </w:r>
    </w:p>
    <w:p>
      <w:pPr>
        <w:pStyle w:val="FirstParagraph"/>
      </w:pPr>
      <w:r>
        <w:t xml:space="preserve">Abstract advice is forgettable. Concrete examples with verifiable details are persuasive. The EU Marketplace’s SCIS database documents 550+ innovative urban solutions from 124 cities with implementation specifics</w:t>
      </w:r>
      <w:r>
        <w:t xml:space="preserve"> </w:t>
      </w:r>
      <w:fldSimple w:instr="NOTEREF _Ref_Footnote_42 \h \f">
        <w:r>
          <w:rPr>
            <w:vertAlign w:val="superscript"/>
          </w:rPr>
          <w:t>42</w:t>
        </w:r>
      </w:fldSimple>
      <w:r>
        <w:t xml:space="preserve">. The ASEAN Smart City Planning Guidebook includes practical examples from 26 pilot cities</w:t>
      </w:r>
      <w:r>
        <w:t xml:space="preserve"> </w:t>
      </w:r>
      <w:fldSimple w:instr="NOTEREF _Ref_Footnote_54 \h \f">
        <w:r>
          <w:rPr>
            <w:vertAlign w:val="superscript"/>
          </w:rPr>
          <w:t>54</w:t>
        </w:r>
      </w:fldSimple>
      <w:r>
        <w:t xml:space="preserve">. Copenhagenize profiles specific cities with modal share trends, infrastructure investment figures, and named policy programs</w:t>
      </w:r>
      <w:r>
        <w:t xml:space="preserve"> </w:t>
      </w:r>
      <w:fldSimple w:instr="NOTEREF _Ref_Footnote_6 \h \f">
        <w:r>
          <w:rPr>
            <w:vertAlign w:val="superscript"/>
          </w:rPr>
          <w:t>6</w:t>
        </w:r>
      </w:fldSimple>
      <w:r>
        <w:t xml:space="preserve">.</w:t>
      </w:r>
    </w:p>
    <w:p>
      <w:pPr>
        <w:pStyle w:val="BodyText"/>
      </w:pPr>
      <w:r>
        <w:t xml:space="preserve">SCITI should require certified cities to document their smart city projects with standardized metadata: project name, implementing agency, budget range, timeline, technology vendors, measurable outcomes, and lessons learned. These anonymized or attributed case studies would become the most valuable section of the platform — real Thai implementations, not imported foreign examples.</w:t>
      </w:r>
    </w:p>
    <w:bookmarkEnd w:id="98"/>
    <w:bookmarkStart w:id="99" w:name="X5f89528479b39612feb2e394b5e2a94fadcc54f"/>
    <w:p>
      <w:pPr>
        <w:pStyle w:val="Heading4"/>
      </w:pPr>
      <w:r>
        <w:t xml:space="preserve">4.3.3 Replicable Frameworks: Structured Methodologies Any City Can Adapt</w:t>
      </w:r>
    </w:p>
    <w:p>
      <w:pPr>
        <w:pStyle w:val="FirstParagraph"/>
      </w:pPr>
      <w:r>
        <w:t xml:space="preserve">The ISO 37120/37122 pairing is powerful precisely because it is replicable. Any city worldwide can adopt the 104 baseline indicators and 81 smart indicators, report through the WCCD certification process, and compare results against global peers</w:t>
      </w:r>
      <w:r>
        <w:t xml:space="preserve"> </w:t>
      </w:r>
      <w:fldSimple w:instr="NOTEREF _Ref_Footnote_40 \h \f">
        <w:r>
          <w:rPr>
            <w:vertAlign w:val="superscript"/>
          </w:rPr>
          <w:t>40</w:t>
        </w:r>
      </w:fldSimple>
      <w:r>
        <w:t xml:space="preserve">. The UN-Habitat CPI’s Wheel of Prosperity offers a metaphor and methodology that cities from Mexico to Saudi Arabia have applied</w:t>
      </w:r>
      <w:r>
        <w:t xml:space="preserve"> </w:t>
      </w:r>
      <w:fldSimple w:instr="NOTEREF _Ref_Footnote_39 \h \f">
        <w:r>
          <w:rPr>
            <w:vertAlign w:val="superscript"/>
          </w:rPr>
          <w:t>39</w:t>
        </w:r>
      </w:fldSimple>
      <w:r>
        <w:t xml:space="preserve">.</w:t>
      </w:r>
    </w:p>
    <w:p>
      <w:pPr>
        <w:pStyle w:val="BodyText"/>
      </w:pPr>
      <w:r>
        <w:t xml:space="preserve">SCITI’s 7-dimension framework (Environment, Energy, Mobility, Economy, Living, People, Governance)</w:t>
      </w:r>
      <w:r>
        <w:t xml:space="preserve"> </w:t>
      </w:r>
      <w:fldSimple w:instr="NOTEREF _Ref_Footnote_14 \h \f">
        <w:r>
          <w:rPr>
            <w:vertAlign w:val="superscript"/>
          </w:rPr>
          <w:t>14</w:t>
        </w:r>
      </w:fldSimple>
      <w:r>
        <w:t xml:space="preserve">has the structural foundation but lacks the indicator-level specificity that would make it exportable. Defining SCITI indicators with the granularity of ISO 37122 — for example, specifying exactly how to measure</w:t>
      </w:r>
      <w:r>
        <w:t xml:space="preserve"> </w:t>
      </w:r>
      <w:r>
        <w:t xml:space="preserve">“</w:t>
      </w:r>
      <w:r>
        <w:t xml:space="preserve">citizen information access &gt;=60%</w:t>
      </w:r>
      <w:r>
        <w:t xml:space="preserve">”</w:t>
      </w:r>
      <w:r>
        <w:t xml:space="preserve"> </w:t>
      </w:r>
      <w:r>
        <w:t xml:space="preserve">— would create a replicable Thai methodology that other Southeast Asian cities could adopt.</w:t>
      </w:r>
    </w:p>
    <w:bookmarkEnd w:id="99"/>
    <w:bookmarkStart w:id="100" w:name="Xc99560fbfca7ef7108f68575c4fb2ce4596f8e2"/>
    <w:p>
      <w:pPr>
        <w:pStyle w:val="Heading4"/>
      </w:pPr>
      <w:r>
        <w:t xml:space="preserve">4.3.4 Multi-Format: Interactive Web + PDFs + Spreadsheets + Video</w:t>
      </w:r>
    </w:p>
    <w:p>
      <w:pPr>
        <w:pStyle w:val="FirstParagraph"/>
      </w:pPr>
      <w:r>
        <w:t xml:space="preserve">Different users consume information differently. City directors want executive PDF summaries. Data analysts want downloadable spreadsheets. Technical staff want interactive dashboards. EIU publishes a free summary report alongside paid customizable datasets and virtual events with index authors</w:t>
      </w:r>
      <w:r>
        <w:t xml:space="preserve"> </w:t>
      </w:r>
      <w:fldSimple w:instr="NOTEREF _Ref_Footnote_33 \h \f">
        <w:r>
          <w:rPr>
            <w:vertAlign w:val="superscript"/>
          </w:rPr>
          <w:t>33</w:t>
        </w:r>
      </w:fldSimple>
      <w:r>
        <w:t xml:space="preserve"> </w:t>
      </w:r>
      <w:fldSimple w:instr="NOTEREF _Ref_Footnote_34 \h \f">
        <w:r>
          <w:rPr>
            <w:vertAlign w:val="superscript"/>
          </w:rPr>
          <w:t>34</w:t>
        </w:r>
      </w:fldSimple>
      <w:r>
        <w:t xml:space="preserve">. IESE offers interactive radar charts at</w:t>
      </w:r>
      <w:r>
        <w:t xml:space="preserve"> </w:t>
      </w:r>
      <w:r>
        <w:rPr>
          <w:rStyle w:val="VerbatimChar"/>
        </w:rPr>
        <w:t xml:space="preserve">citiesinmotion.iese.edu</w:t>
      </w:r>
      <w:r>
        <w:t xml:space="preserve"> </w:t>
      </w:r>
      <w:r>
        <w:t xml:space="preserve">alongside 130+ page PDF reports</w:t>
      </w:r>
      <w:r>
        <w:t xml:space="preserve"> </w:t>
      </w:r>
      <w:fldSimple w:instr="NOTEREF _Ref_Footnote_22 \h \f">
        <w:r>
          <w:rPr>
            <w:vertAlign w:val="superscript"/>
          </w:rPr>
          <w:t>22</w:t>
        </w:r>
      </w:fldSimple>
      <w:r>
        <w:t xml:space="preserve">. IMD produces individual city profile pages with visual data presentations</w:t>
      </w:r>
      <w:r>
        <w:t xml:space="preserve"> </w:t>
      </w:r>
      <w:fldSimple w:instr="NOTEREF _Ref_Footnote_7 \h \f">
        <w:r>
          <w:rPr>
            <w:vertAlign w:val="superscript"/>
          </w:rPr>
          <w:t>7</w:t>
        </w:r>
      </w:fldSimple>
      <w:r>
        <w:t xml:space="preserve">.</w:t>
      </w:r>
    </w:p>
    <w:p>
      <w:pPr>
        <w:pStyle w:val="BodyText"/>
      </w:pPr>
      <w:r>
        <w:t xml:space="preserve">SCITI’s current format — likely a static report or website — should expand to include: downloadable raw data in CSV/Excel format; interactive city comparison dashboards; executive summary PDFs for policymakers; and video walkthroughs or webinars explaining methodology and highlighting findings. The LORDIMAS platform offers a model: a free, interactive digital maturity assessment tool with real-time results visualization, peer comparison dashboards, and tailored policy recommendations</w:t>
      </w:r>
      <w:r>
        <w:t xml:space="preserve"> </w:t>
      </w:r>
      <w:r>
        <w:rPr>
          <w:vertAlign w:val="superscript"/>
        </w:rPr>
        <w:footnoteReference w:id="58"/>
      </w:r>
      <w:r>
        <w:t xml:space="preserve"> </w:t>
      </w:r>
      <w:r>
        <w:rPr>
          <w:vertAlign w:val="superscript"/>
        </w:rPr>
        <w:footnoteReference w:id="59"/>
      </w:r>
      <w:r>
        <w:t xml:space="preserve">.</w:t>
      </w:r>
    </w:p>
    <w:bookmarkEnd w:id="100"/>
    <w:bookmarkStart w:id="101" w:name="X7e8dc790904b755402087195e53d0785943fcae"/>
    <w:p>
      <w:pPr>
        <w:pStyle w:val="Heading4"/>
      </w:pPr>
      <w:r>
        <w:t xml:space="preserve">4.3.5 Continuous Iteration: Living Documents with Version History</w:t>
      </w:r>
    </w:p>
    <w:p>
      <w:pPr>
        <w:pStyle w:val="FirstParagraph"/>
      </w:pPr>
      <w:r>
        <w:t xml:space="preserve">The most trusted resources are visibly alive. The IMD Smart City Index has evolved through 7 editions, refining its methodology and expanding coverage</w:t>
      </w:r>
      <w:r>
        <w:t xml:space="preserve"> </w:t>
      </w:r>
      <w:fldSimple w:instr="NOTEREF _Ref_Footnote_4 \h \f">
        <w:r>
          <w:rPr>
            <w:vertAlign w:val="superscript"/>
          </w:rPr>
          <w:t>4</w:t>
        </w:r>
      </w:fldSimple>
      <w:r>
        <w:t xml:space="preserve">. IESE’s CIMI has run annually since 2014, adding indicators (women’s development, hourly wages) and refining weights</w:t>
      </w:r>
      <w:r>
        <w:t xml:space="preserve"> </w:t>
      </w:r>
      <w:fldSimple w:instr="NOTEREF _Ref_Footnote_22 \h \f">
        <w:r>
          <w:rPr>
            <w:vertAlign w:val="superscript"/>
          </w:rPr>
          <w:t>22</w:t>
        </w:r>
      </w:fldSimple>
      <w:r>
        <w:t xml:space="preserve">. The EU Marketplace accepts project applications year-round and updates its knowledge base continuously</w:t>
      </w:r>
      <w:r>
        <w:t xml:space="preserve"> </w:t>
      </w:r>
      <w:fldSimple w:instr="NOTEREF _Ref_Footnote_49 \h \f">
        <w:r>
          <w:rPr>
            <w:vertAlign w:val="superscript"/>
          </w:rPr>
          <w:t>49</w:t>
        </w:r>
      </w:fldSimple>
      <w:r>
        <w:t xml:space="preserve">.</w:t>
      </w:r>
    </w:p>
    <w:p>
      <w:pPr>
        <w:pStyle w:val="BodyText"/>
      </w:pPr>
      <w:r>
        <w:t xml:space="preserve">SCITI must establish a visible cadence of iteration: annual editions with documented methodology changes, versioned indicator definitions, and explicit change logs. Each edition should include a</w:t>
      </w:r>
      <w:r>
        <w:t xml:space="preserve"> </w:t>
      </w:r>
      <w:r>
        <w:t xml:space="preserve">“</w:t>
      </w:r>
      <w:r>
        <w:t xml:space="preserve">What’s New</w:t>
      </w:r>
      <w:r>
        <w:t xml:space="preserve">”</w:t>
      </w:r>
      <w:r>
        <w:t xml:space="preserve"> </w:t>
      </w:r>
      <w:r>
        <w:t xml:space="preserve">section and a</w:t>
      </w:r>
      <w:r>
        <w:t xml:space="preserve"> </w:t>
      </w:r>
      <w:r>
        <w:t xml:space="preserve">“</w:t>
      </w:r>
      <w:r>
        <w:t xml:space="preserve">Limitations and Data Quality</w:t>
      </w:r>
      <w:r>
        <w:t xml:space="preserve">”</w:t>
      </w:r>
      <w:r>
        <w:t xml:space="preserve"> </w:t>
      </w:r>
      <w:r>
        <w:t xml:space="preserve">section — the kind of transparent self-assessment that IESE publishes to demonstrate methodological integrity</w:t>
      </w:r>
      <w:r>
        <w:t xml:space="preserve"> </w:t>
      </w:r>
      <w:fldSimple w:instr="NOTEREF _Ref_Footnote_5 \h \f">
        <w:r>
          <w:rPr>
            <w:vertAlign w:val="superscript"/>
          </w:rPr>
          <w:t>5</w:t>
        </w:r>
      </w:fldSimple>
      <w:r>
        <w:t xml:space="preserve">. Without this, SCITI risks becoming a static document that city managers consult once and forget. With it, SCITI becomes a living reference that shapes smart city policy in Thailand year after year.</w:t>
      </w:r>
    </w:p>
    <w:p>
      <w:r>
        <w:pict>
          <v:rect style="width:0;height:1.5pt" o:hralign="center" o:hrstd="t" o:hr="t"/>
        </w:pict>
      </w:r>
    </w:p>
    <w:bookmarkEnd w:id="101"/>
    <w:bookmarkEnd w:id="102"/>
    <w:bookmarkEnd w:id="103"/>
    <w:bookmarkStart w:id="124" w:name="the-content-bible-what-to-add"/>
    <w:p>
      <w:pPr>
        <w:pStyle w:val="Heading2"/>
      </w:pPr>
      <w:r>
        <w:t xml:space="preserve">5. The Content Bible: What to Add</w:t>
      </w:r>
    </w:p>
    <w:p>
      <w:pPr>
        <w:pStyle w:val="FirstParagraph"/>
      </w:pPr>
      <w:r>
        <w:t xml:space="preserve">SCITI’s content gap is not a minor deficiency — it is a structural failure that undermines the site’s reason for existing. Analysis of 25+ globally referenced smart city resources reveals a consistent pattern: the most-cited</w:t>
      </w:r>
      <w:r>
        <w:t xml:space="preserve"> </w:t>
      </w:r>
      <w:r>
        <w:t xml:space="preserve">“</w:t>
      </w:r>
      <w:r>
        <w:t xml:space="preserve">bible</w:t>
      </w:r>
      <w:r>
        <w:t xml:space="preserve">”</w:t>
      </w:r>
      <w:r>
        <w:t xml:space="preserve"> </w:t>
      </w:r>
      <w:r>
        <w:t xml:space="preserve">materials combine self-assessment tools, actionable financing blueprints, replicable case studies, and procurement guidance into integrated toolkits that city officials return to repeatedly</w:t>
      </w:r>
      <w:r>
        <w:t xml:space="preserve"> </w:t>
      </w:r>
      <w:r>
        <w:rPr>
          <w:vertAlign w:val="superscript"/>
        </w:rPr>
        <w:footnoteReference w:id="60"/>
      </w:r>
      <w:r>
        <w:t xml:space="preserve"> </w:t>
      </w:r>
      <w:r>
        <w:rPr>
          <w:vertAlign w:val="superscript"/>
        </w:rPr>
        <w:footnoteReference w:id="61"/>
      </w:r>
      <w:r>
        <w:t xml:space="preserve"> </w:t>
      </w:r>
      <w:fldSimple w:instr="NOTEREF _Ref_Footnote_10 \h \f">
        <w:r>
          <w:rPr>
            <w:vertAlign w:val="superscript"/>
          </w:rPr>
          <w:t>10</w:t>
        </w:r>
      </w:fldSimple>
      <w:r>
        <w:t xml:space="preserve">. SCITI offers none of these. Where UN-Habitat’s People-Centred Smart City Guide opens with a 12-question Readiness Assessment Survey</w:t>
      </w:r>
      <w:r>
        <w:t xml:space="preserve"> </w:t>
      </w:r>
      <w:fldSimple w:instr="NOTEREF _Ref_Footnote_60 \h \f">
        <w:r>
          <w:rPr>
            <w:vertAlign w:val="superscript"/>
          </w:rPr>
          <w:t>60</w:t>
        </w:r>
      </w:fldSimple>
      <w:r>
        <w:t xml:space="preserve">, SCITI offers a static ranking table. Where the UK GDS Digital Buying Guide provides 25+ Dos and Don’ts tables across four procurement stages</w:t>
      </w:r>
      <w:r>
        <w:t xml:space="preserve"> </w:t>
      </w:r>
      <w:fldSimple w:instr="NOTEREF _Ref_Footnote_61 \h \f">
        <w:r>
          <w:rPr>
            <w:vertAlign w:val="superscript"/>
          </w:rPr>
          <w:t>61</w:t>
        </w:r>
      </w:fldSimple>
      <w:r>
        <w:t xml:space="preserve">, SCITI has no procurement content at all. Where C40’s Climate Action Planning Resource Center bundles video tutorials, self-assessment tools, and sectoral strategy guides</w:t>
      </w:r>
      <w:r>
        <w:t xml:space="preserve"> </w:t>
      </w:r>
      <w:fldSimple w:instr="NOTEREF _Ref_Footnote_10 \h \f">
        <w:r>
          <w:rPr>
            <w:vertAlign w:val="superscript"/>
          </w:rPr>
          <w:t>10</w:t>
        </w:r>
      </w:fldSimple>
      <w:r>
        <w:t xml:space="preserve">, SCITI delivers isolated PDF reports with no interactive layer.</w:t>
      </w:r>
    </w:p>
    <w:p>
      <w:pPr>
        <w:pStyle w:val="BodyText"/>
      </w:pPr>
      <w:r>
        <w:t xml:space="preserve">The gap is quantifiable: every leading resource in this space includes at least four of the five structural elements that define a</w:t>
      </w:r>
      <w:r>
        <w:t xml:space="preserve"> </w:t>
      </w:r>
      <w:r>
        <w:t xml:space="preserve">“</w:t>
      </w:r>
      <w:r>
        <w:t xml:space="preserve">bible</w:t>
      </w:r>
      <w:r>
        <w:t xml:space="preserve">”</w:t>
      </w:r>
      <w:r>
        <w:t xml:space="preserve"> </w:t>
      </w:r>
      <w:r>
        <w:t xml:space="preserve">— self-assessment entry points, visual framework diagrams, Dos and Don’ts formats, case studies with named contacts, and downloadable templates or worksheets</w:t>
      </w:r>
      <w:r>
        <w:t xml:space="preserve"> </w:t>
      </w:r>
      <w:fldSimple w:instr="NOTEREF _Ref_Footnote_60 \h \f">
        <w:r>
          <w:rPr>
            <w:vertAlign w:val="superscript"/>
          </w:rPr>
          <w:t>60</w:t>
        </w:r>
      </w:fldSimple>
      <w:r>
        <w:t xml:space="preserve"> </w:t>
      </w:r>
      <w:fldSimple w:instr="NOTEREF _Ref_Footnote_61 \h \f">
        <w:r>
          <w:rPr>
            <w:vertAlign w:val="superscript"/>
          </w:rPr>
          <w:t>61</w:t>
        </w:r>
      </w:fldSimple>
      <w:r>
        <w:t xml:space="preserve"> </w:t>
      </w:r>
      <w:fldSimple w:instr="NOTEREF _Ref_Footnote_32 \h \f">
        <w:r>
          <w:rPr>
            <w:vertAlign w:val="superscript"/>
          </w:rPr>
          <w:t>32</w:t>
        </w:r>
      </w:fldSimple>
      <w:r>
        <w:t xml:space="preserve">. SCITI, by comparison, appears to include zero. This chapter identifies what to add, in what order, and with what specific models to follow.</w:t>
      </w:r>
    </w:p>
    <w:p>
      <w:pPr>
        <w:pStyle w:val="BodyText"/>
      </w:pPr>
      <w:r>
        <w:rPr>
          <w:bCs/>
          <w:b/>
        </w:rPr>
        <w:t xml:space="preserve">Table 1: Content Gaps Priority Matrix (Effort vs. Impact)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Priority Quadrant</w:t>
            </w:r>
          </w:p>
        </w:tc>
        <w:tc>
          <w:tcPr/>
          <w:p>
            <w:pPr>
              <w:pStyle w:val="Compact"/>
              <w:jc w:val="left"/>
            </w:pPr>
            <w:r>
              <w:t xml:space="preserve">Content Item</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Timeline</w:t>
            </w:r>
          </w:p>
        </w:tc>
        <w:tc>
          <w:tcPr/>
          <w:p>
            <w:pPr>
              <w:pStyle w:val="Compact"/>
              <w:jc w:val="left"/>
            </w:pPr>
            <w:r>
              <w:t xml:space="preserve">Model to Follow</w:t>
            </w:r>
          </w:p>
        </w:tc>
      </w:tr>
      <w:tr>
        <w:tc>
          <w:tcPr/>
          <w:p>
            <w:pPr>
              <w:pStyle w:val="Compact"/>
              <w:jc w:val="left"/>
            </w:pPr>
            <w:r>
              <w:rPr>
                <w:bCs/>
                <w:b/>
              </w:rPr>
              <w:t xml:space="preserve">Quick Win</w:t>
            </w:r>
          </w:p>
        </w:tc>
        <w:tc>
          <w:tcPr/>
          <w:p>
            <w:pPr>
              <w:pStyle w:val="Compact"/>
              <w:jc w:val="left"/>
            </w:pPr>
            <w:r>
              <w:t xml:space="preserve">Smart City Readiness Self-Assessment</w:t>
            </w:r>
          </w:p>
        </w:tc>
        <w:tc>
          <w:tcPr/>
          <w:p>
            <w:pPr>
              <w:pStyle w:val="Compact"/>
              <w:jc w:val="left"/>
            </w:pPr>
            <w:r>
              <w:t xml:space="preserve">City officials self-identify needs; drives engagement with other SCITI resources</w:t>
            </w:r>
          </w:p>
        </w:tc>
        <w:tc>
          <w:tcPr/>
          <w:p>
            <w:pPr>
              <w:pStyle w:val="Compact"/>
              <w:jc w:val="left"/>
            </w:pPr>
            <w:r>
              <w:t xml:space="preserve">Low: interactive web questionnaire with instant scoring</w:t>
            </w:r>
          </w:p>
        </w:tc>
        <w:tc>
          <w:tcPr/>
          <w:p>
            <w:pPr>
              <w:pStyle w:val="Compact"/>
              <w:jc w:val="left"/>
            </w:pPr>
            <w:r>
              <w:t xml:space="preserve">2-3 weeks</w:t>
            </w:r>
          </w:p>
        </w:tc>
        <w:tc>
          <w:tcPr/>
          <w:p>
            <w:pPr>
              <w:pStyle w:val="Compact"/>
              <w:jc w:val="left"/>
            </w:pPr>
            <w:r>
              <w:t xml:space="preserve">Scottish Cities Maturity Model</w:t>
            </w:r>
            <w:r>
              <w:t xml:space="preserve"> </w:t>
            </w:r>
            <w:fldSimple w:instr="NOTEREF _Ref_Footnote_32 \h \f">
              <w:r>
                <w:rPr>
                  <w:vertAlign w:val="superscript"/>
                </w:rPr>
                <w:t>32</w:t>
              </w:r>
            </w:fldSimple>
            <w:r>
              <w:t xml:space="preserve">+ ITU performance matrix</w:t>
            </w:r>
            <w:r>
              <w:t xml:space="preserve"> </w:t>
            </w:r>
            <w:fldSimple w:instr="NOTEREF _Ref_Footnote_25 \h \f">
              <w:r>
                <w:rPr>
                  <w:vertAlign w:val="superscript"/>
                </w:rPr>
                <w:t>25</w:t>
              </w:r>
            </w:fldSimple>
          </w:p>
        </w:tc>
      </w:tr>
      <w:tr>
        <w:tc>
          <w:tcPr/>
          <w:p>
            <w:pPr>
              <w:pStyle w:val="Compact"/>
              <w:jc w:val="left"/>
            </w:pPr>
            <w:r>
              <w:rPr>
                <w:bCs/>
                <w:b/>
              </w:rPr>
              <w:t xml:space="preserve">Quick Win</w:t>
            </w:r>
          </w:p>
        </w:tc>
        <w:tc>
          <w:tcPr/>
          <w:p>
            <w:pPr>
              <w:pStyle w:val="Compact"/>
              <w:jc w:val="left"/>
            </w:pPr>
            <w:r>
              <w:t xml:space="preserve">Procurement Dos and Don’ts tables</w:t>
            </w:r>
          </w:p>
        </w:tc>
        <w:tc>
          <w:tcPr/>
          <w:p>
            <w:pPr>
              <w:pStyle w:val="Compact"/>
              <w:jc w:val="left"/>
            </w:pPr>
            <w:r>
              <w:t xml:space="preserve">Universal need for all 118 Thai municipalities buying smart city tech</w:t>
            </w:r>
          </w:p>
        </w:tc>
        <w:tc>
          <w:tcPr/>
          <w:p>
            <w:pPr>
              <w:pStyle w:val="Compact"/>
              <w:jc w:val="left"/>
            </w:pPr>
            <w:r>
              <w:t xml:space="preserve">Low: content creation, no dev work</w:t>
            </w:r>
          </w:p>
        </w:tc>
        <w:tc>
          <w:tcPr/>
          <w:p>
            <w:pPr>
              <w:pStyle w:val="Compact"/>
              <w:jc w:val="left"/>
            </w:pPr>
            <w:r>
              <w:t xml:space="preserve">3-4 weeks</w:t>
            </w:r>
          </w:p>
        </w:tc>
        <w:tc>
          <w:tcPr/>
          <w:p>
            <w:pPr>
              <w:pStyle w:val="Compact"/>
              <w:jc w:val="left"/>
            </w:pPr>
            <w:r>
              <w:t xml:space="preserve">UK GDS Digital Buying Guide</w:t>
            </w:r>
            <w:r>
              <w:t xml:space="preserve"> </w:t>
            </w:r>
            <w:fldSimple w:instr="NOTEREF _Ref_Footnote_61 \h \f">
              <w:r>
                <w:rPr>
                  <w:vertAlign w:val="superscript"/>
                </w:rPr>
                <w:t>61</w:t>
              </w:r>
            </w:fldSimple>
          </w:p>
        </w:tc>
      </w:tr>
      <w:tr>
        <w:tc>
          <w:tcPr/>
          <w:p>
            <w:pPr>
              <w:pStyle w:val="Compact"/>
              <w:jc w:val="left"/>
            </w:pPr>
            <w:r>
              <w:rPr>
                <w:bCs/>
                <w:b/>
              </w:rPr>
              <w:t xml:space="preserve">Quick Win</w:t>
            </w:r>
          </w:p>
        </w:tc>
        <w:tc>
          <w:tcPr/>
          <w:p>
            <w:pPr>
              <w:pStyle w:val="Compact"/>
              <w:jc w:val="left"/>
            </w:pPr>
            <w:r>
              <w:t xml:space="preserve">Case Study Library (10+ detailed)</w:t>
            </w:r>
          </w:p>
        </w:tc>
        <w:tc>
          <w:tcPr/>
          <w:p>
            <w:pPr>
              <w:pStyle w:val="Compact"/>
              <w:jc w:val="left"/>
            </w:pPr>
            <w:r>
              <w:t xml:space="preserve">Peer city validation is the #1 trust driver for city officials</w:t>
            </w:r>
          </w:p>
        </w:tc>
        <w:tc>
          <w:tcPr/>
          <w:p>
            <w:pPr>
              <w:pStyle w:val="Compact"/>
              <w:jc w:val="left"/>
            </w:pPr>
            <w:r>
              <w:t xml:space="preserve">Low-Medium: content curation and formatting</w:t>
            </w:r>
          </w:p>
        </w:tc>
        <w:tc>
          <w:tcPr/>
          <w:p>
            <w:pPr>
              <w:pStyle w:val="Compact"/>
              <w:jc w:val="left"/>
            </w:pPr>
            <w:r>
              <w:t xml:space="preserve">4-6 weeks</w:t>
            </w:r>
          </w:p>
        </w:tc>
        <w:tc>
          <w:tcPr/>
          <w:p>
            <w:pPr>
              <w:pStyle w:val="Compact"/>
              <w:jc w:val="left"/>
            </w:pPr>
            <w:r>
              <w:t xml:space="preserve">European Commission</w:t>
            </w:r>
            <w:r>
              <w:t xml:space="preserve"> </w:t>
            </w:r>
            <w:r>
              <w:t xml:space="preserve">“</w:t>
            </w:r>
            <w:r>
              <w:t xml:space="preserve">Making of a Smart City</w:t>
            </w:r>
            <w:r>
              <w:t xml:space="preserve">”</w:t>
            </w:r>
            <w:r>
              <w:t xml:space="preserve"> </w:t>
            </w:r>
            <w:r>
              <w:t xml:space="preserve">format</w:t>
            </w:r>
            <w:r>
              <w:t xml:space="preserve"> </w:t>
            </w:r>
            <w:fldSimple w:instr="NOTEREF _Ref_Footnote_34 \h \f">
              <w:r>
                <w:rPr>
                  <w:vertAlign w:val="superscript"/>
                </w:rPr>
                <w:t>34</w:t>
              </w:r>
            </w:fldSimple>
          </w:p>
        </w:tc>
      </w:tr>
      <w:tr>
        <w:tc>
          <w:tcPr/>
          <w:p>
            <w:pPr>
              <w:pStyle w:val="Compact"/>
              <w:jc w:val="left"/>
            </w:pPr>
            <w:r>
              <w:rPr>
                <w:bCs/>
                <w:b/>
              </w:rPr>
              <w:t xml:space="preserve">Quick Win</w:t>
            </w:r>
          </w:p>
        </w:tc>
        <w:tc>
          <w:tcPr/>
          <w:p>
            <w:pPr>
              <w:pStyle w:val="Compact"/>
              <w:jc w:val="left"/>
            </w:pPr>
            <w:r>
              <w:t xml:space="preserve">“</w:t>
            </w:r>
            <w:r>
              <w:t xml:space="preserve">Financing Your Smart City</w:t>
            </w:r>
            <w:r>
              <w:t xml:space="preserve">”</w:t>
            </w:r>
            <w:r>
              <w:t xml:space="preserve"> </w:t>
            </w:r>
            <w:r>
              <w:t xml:space="preserve">page</w:t>
            </w:r>
          </w:p>
        </w:tc>
        <w:tc>
          <w:tcPr/>
          <w:p>
            <w:pPr>
              <w:pStyle w:val="Compact"/>
              <w:jc w:val="left"/>
            </w:pPr>
            <w:r>
              <w:t xml:space="preserve">Cities cannot implement what they cannot fund; financing is the most-requested gap</w:t>
            </w:r>
          </w:p>
        </w:tc>
        <w:tc>
          <w:tcPr/>
          <w:p>
            <w:pPr>
              <w:pStyle w:val="Compact"/>
              <w:jc w:val="left"/>
            </w:pPr>
            <w:r>
              <w:t xml:space="preserve">Low: single page with structured content</w:t>
            </w:r>
          </w:p>
        </w:tc>
        <w:tc>
          <w:tcPr/>
          <w:p>
            <w:pPr>
              <w:pStyle w:val="Compact"/>
              <w:jc w:val="left"/>
            </w:pPr>
            <w:r>
              <w:t xml:space="preserve">2-3 weeks</w:t>
            </w:r>
          </w:p>
        </w:tc>
        <w:tc>
          <w:tcPr/>
          <w:p>
            <w:pPr>
              <w:pStyle w:val="Compact"/>
              <w:jc w:val="left"/>
            </w:pPr>
            <w:r>
              <w:t xml:space="preserve">Manila Water 3-stage green bond blueprint</w:t>
            </w:r>
            <w:r>
              <w:t xml:space="preserve"> </w:t>
            </w:r>
            <w:r>
              <w:rPr>
                <w:vertAlign w:val="superscript"/>
              </w:rPr>
              <w:footnoteReference w:id="62"/>
            </w:r>
            <w:r>
              <w:t xml:space="preserve">+ Buenos Aires toolkit</w:t>
            </w:r>
            <w:r>
              <w:t xml:space="preserve"> </w:t>
            </w:r>
            <w:fldSimple w:instr="NOTEREF _Ref_Footnote_15 \h \f">
              <w:r>
                <w:rPr>
                  <w:vertAlign w:val="superscript"/>
                </w:rPr>
                <w:t>15</w:t>
              </w:r>
            </w:fldSimple>
          </w:p>
        </w:tc>
      </w:tr>
      <w:tr>
        <w:tc>
          <w:tcPr/>
          <w:p>
            <w:pPr>
              <w:pStyle w:val="Compact"/>
              <w:jc w:val="left"/>
            </w:pPr>
            <w:r>
              <w:rPr>
                <w:bCs/>
                <w:b/>
              </w:rPr>
              <w:t xml:space="preserve">High-Value</w:t>
            </w:r>
          </w:p>
        </w:tc>
        <w:tc>
          <w:tcPr/>
          <w:p>
            <w:pPr>
              <w:pStyle w:val="Compact"/>
              <w:jc w:val="left"/>
            </w:pPr>
            <w:r>
              <w:t xml:space="preserve">Digital Twin Implementation Playbook</w:t>
            </w:r>
          </w:p>
        </w:tc>
        <w:tc>
          <w:tcPr/>
          <w:p>
            <w:pPr>
              <w:pStyle w:val="Compact"/>
              <w:jc w:val="left"/>
            </w:pPr>
            <w:r>
              <w:t xml:space="preserve">Fastest-growing smart city technology area; high search demand</w:t>
            </w:r>
          </w:p>
        </w:tc>
        <w:tc>
          <w:tcPr/>
          <w:p>
            <w:pPr>
              <w:pStyle w:val="Compact"/>
              <w:jc w:val="left"/>
            </w:pPr>
            <w:r>
              <w:t xml:space="preserve">Medium: research + structured guide</w:t>
            </w:r>
          </w:p>
        </w:tc>
        <w:tc>
          <w:tcPr/>
          <w:p>
            <w:pPr>
              <w:pStyle w:val="Compact"/>
              <w:jc w:val="left"/>
            </w:pPr>
            <w:r>
              <w:t xml:space="preserve">3-4 months</w:t>
            </w:r>
          </w:p>
        </w:tc>
        <w:tc>
          <w:tcPr/>
          <w:p>
            <w:pPr>
              <w:pStyle w:val="Compact"/>
              <w:jc w:val="left"/>
            </w:pPr>
            <w:r>
              <w:t xml:space="preserve">Singapore-Nanjing 5-component architecture</w:t>
            </w:r>
            <w:r>
              <w:t xml:space="preserve"> </w:t>
            </w:r>
            <w:fldSimple w:instr="NOTEREF _Ref_Footnote_9 \h \f">
              <w:r>
                <w:rPr>
                  <w:vertAlign w:val="superscript"/>
                </w:rPr>
                <w:t>9</w:t>
              </w:r>
            </w:fldSimple>
          </w:p>
        </w:tc>
      </w:tr>
      <w:tr>
        <w:tc>
          <w:tcPr/>
          <w:p>
            <w:pPr>
              <w:pStyle w:val="Compact"/>
              <w:jc w:val="left"/>
            </w:pPr>
            <w:r>
              <w:rPr>
                <w:bCs/>
                <w:b/>
              </w:rPr>
              <w:t xml:space="preserve">High-Value</w:t>
            </w:r>
          </w:p>
        </w:tc>
        <w:tc>
          <w:tcPr/>
          <w:p>
            <w:pPr>
              <w:pStyle w:val="Compact"/>
              <w:jc w:val="left"/>
            </w:pPr>
            <w:r>
              <w:t xml:space="preserve">Climate Adaptation Toolkit</w:t>
            </w:r>
          </w:p>
        </w:tc>
        <w:tc>
          <w:tcPr/>
          <w:p>
            <w:pPr>
              <w:pStyle w:val="Compact"/>
              <w:jc w:val="left"/>
            </w:pPr>
            <w:r>
              <w:t xml:space="preserve">Climate resilience is the #1 priority for most cities globally</w:t>
            </w:r>
          </w:p>
        </w:tc>
        <w:tc>
          <w:tcPr/>
          <w:p>
            <w:pPr>
              <w:pStyle w:val="Compact"/>
              <w:jc w:val="left"/>
            </w:pPr>
            <w:r>
              <w:t xml:space="preserve">Medium: adaptation of existing frameworks</w:t>
            </w:r>
          </w:p>
        </w:tc>
        <w:tc>
          <w:tcPr/>
          <w:p>
            <w:pPr>
              <w:pStyle w:val="Compact"/>
              <w:jc w:val="left"/>
            </w:pPr>
            <w:r>
              <w:t xml:space="preserve">3-4 months</w:t>
            </w:r>
          </w:p>
        </w:tc>
        <w:tc>
          <w:tcPr/>
          <w:p>
            <w:pPr>
              <w:pStyle w:val="Compact"/>
              <w:jc w:val="left"/>
            </w:pPr>
            <w:r>
              <w:t xml:space="preserve">C40-GPSC Toolkit with 9 case studies</w:t>
            </w:r>
            <w:r>
              <w:t xml:space="preserve"> </w:t>
            </w:r>
            <w:fldSimple w:instr="NOTEREF _Ref_Footnote_10 \h \f">
              <w:r>
                <w:rPr>
                  <w:vertAlign w:val="superscript"/>
                </w:rPr>
                <w:t>10</w:t>
              </w:r>
            </w:fldSimple>
          </w:p>
        </w:tc>
      </w:tr>
      <w:tr>
        <w:tc>
          <w:tcPr/>
          <w:p>
            <w:pPr>
              <w:pStyle w:val="Compact"/>
              <w:jc w:val="left"/>
            </w:pPr>
            <w:r>
              <w:rPr>
                <w:bCs/>
                <w:b/>
              </w:rPr>
              <w:t xml:space="preserve">High-Value</w:t>
            </w:r>
          </w:p>
        </w:tc>
        <w:tc>
          <w:tcPr/>
          <w:p>
            <w:pPr>
              <w:pStyle w:val="Compact"/>
              <w:jc w:val="left"/>
            </w:pPr>
            <w:r>
              <w:t xml:space="preserve">Citizen Engagement Platform Comparison</w:t>
            </w:r>
          </w:p>
        </w:tc>
        <w:tc>
          <w:tcPr/>
          <w:p>
            <w:pPr>
              <w:pStyle w:val="Compact"/>
              <w:jc w:val="left"/>
            </w:pPr>
            <w:r>
              <w:t xml:space="preserve">30+ platforms exist; cities need guidance to choose</w:t>
            </w:r>
          </w:p>
        </w:tc>
        <w:tc>
          <w:tcPr/>
          <w:p>
            <w:pPr>
              <w:pStyle w:val="Compact"/>
              <w:jc w:val="left"/>
            </w:pPr>
            <w:r>
              <w:t xml:space="preserve">Medium: evaluation framework + testing</w:t>
            </w:r>
          </w:p>
        </w:tc>
        <w:tc>
          <w:tcPr/>
          <w:p>
            <w:pPr>
              <w:pStyle w:val="Compact"/>
              <w:jc w:val="left"/>
            </w:pPr>
            <w:r>
              <w:t xml:space="preserve">3-4 months</w:t>
            </w:r>
          </w:p>
        </w:tc>
        <w:tc>
          <w:tcPr/>
          <w:p>
            <w:pPr>
              <w:pStyle w:val="Compact"/>
              <w:jc w:val="left"/>
            </w:pPr>
            <w:r>
              <w:t xml:space="preserve">Scotland’s Civic Tech Market Research</w:t>
            </w:r>
            <w:r>
              <w:t xml:space="preserve"> </w:t>
            </w:r>
            <w:fldSimple w:instr="NOTEREF _Ref_Footnote_6 \h \f">
              <w:r>
                <w:rPr>
                  <w:vertAlign w:val="superscript"/>
                </w:rPr>
                <w:t>6</w:t>
              </w:r>
            </w:fldSimple>
          </w:p>
        </w:tc>
      </w:tr>
      <w:tr>
        <w:tc>
          <w:tcPr/>
          <w:p>
            <w:pPr>
              <w:pStyle w:val="Compact"/>
              <w:jc w:val="left"/>
            </w:pPr>
            <w:r>
              <w:rPr>
                <w:bCs/>
                <w:b/>
              </w:rPr>
              <w:t xml:space="preserve">High-Value</w:t>
            </w:r>
          </w:p>
        </w:tc>
        <w:tc>
          <w:tcPr/>
          <w:p>
            <w:pPr>
              <w:pStyle w:val="Compact"/>
              <w:jc w:val="left"/>
            </w:pPr>
            <w:r>
              <w:t xml:space="preserve">Data Governance Templates (PDPA-compliant)</w:t>
            </w:r>
          </w:p>
        </w:tc>
        <w:tc>
          <w:tcPr/>
          <w:p>
            <w:pPr>
              <w:pStyle w:val="Compact"/>
              <w:jc w:val="left"/>
            </w:pPr>
            <w:r>
              <w:t xml:space="preserve">Privacy and data sharing are critical barriers in Thailand</w:t>
            </w:r>
          </w:p>
        </w:tc>
        <w:tc>
          <w:tcPr/>
          <w:p>
            <w:pPr>
              <w:pStyle w:val="Compact"/>
              <w:jc w:val="left"/>
            </w:pPr>
            <w:r>
              <w:t xml:space="preserve">Medium: legal review + template design</w:t>
            </w:r>
          </w:p>
        </w:tc>
        <w:tc>
          <w:tcPr/>
          <w:p>
            <w:pPr>
              <w:pStyle w:val="Compact"/>
              <w:jc w:val="left"/>
            </w:pPr>
            <w:r>
              <w:t xml:space="preserve">3-4 months</w:t>
            </w:r>
          </w:p>
        </w:tc>
        <w:tc>
          <w:tcPr/>
          <w:p>
            <w:pPr>
              <w:pStyle w:val="Compact"/>
              <w:jc w:val="left"/>
            </w:pPr>
            <w:r>
              <w:t xml:space="preserve">NYC IoT Guidelines</w:t>
            </w:r>
            <w:r>
              <w:t xml:space="preserve"> </w:t>
            </w:r>
            <w:fldSimple w:instr="NOTEREF _Ref_Footnote_30 \h \f">
              <w:r>
                <w:rPr>
                  <w:vertAlign w:val="superscript"/>
                </w:rPr>
                <w:t>30</w:t>
              </w:r>
            </w:fldSimple>
            <w:r>
              <w:t xml:space="preserve">+ India City Data Policy Reference Guide</w:t>
            </w:r>
            <w:r>
              <w:t xml:space="preserve"> </w:t>
            </w:r>
            <w:r>
              <w:rPr>
                <w:vertAlign w:val="superscript"/>
              </w:rPr>
              <w:footnoteReference w:id="63"/>
            </w:r>
          </w:p>
        </w:tc>
      </w:tr>
      <w:tr>
        <w:tc>
          <w:tcPr/>
          <w:p>
            <w:pPr>
              <w:pStyle w:val="Compact"/>
              <w:jc w:val="left"/>
            </w:pPr>
            <w:r>
              <w:rPr>
                <w:bCs/>
                <w:b/>
              </w:rPr>
              <w:t xml:space="preserve">Strategic</w:t>
            </w:r>
          </w:p>
        </w:tc>
        <w:tc>
          <w:tcPr/>
          <w:p>
            <w:pPr>
              <w:pStyle w:val="Compact"/>
              <w:jc w:val="left"/>
            </w:pPr>
            <w:r>
              <w:t xml:space="preserve">Interactive Mapbox/Leaflet city map</w:t>
            </w:r>
          </w:p>
        </w:tc>
        <w:tc>
          <w:tcPr/>
          <w:p>
            <w:pPr>
              <w:pStyle w:val="Compact"/>
              <w:jc w:val="left"/>
            </w:pPr>
            <w:r>
              <w:t xml:space="preserve">Transforms static ranking into explorable destination</w:t>
            </w:r>
          </w:p>
        </w:tc>
        <w:tc>
          <w:tcPr/>
          <w:p>
            <w:pPr>
              <w:pStyle w:val="Compact"/>
              <w:jc w:val="left"/>
            </w:pPr>
            <w:r>
              <w:t xml:space="preserve">Medium-High: GIS data + frontend dev</w:t>
            </w:r>
          </w:p>
        </w:tc>
        <w:tc>
          <w:tcPr/>
          <w:p>
            <w:pPr>
              <w:pStyle w:val="Compact"/>
              <w:jc w:val="left"/>
            </w:pPr>
            <w:r>
              <w:t xml:space="preserve">4-6 months</w:t>
            </w:r>
          </w:p>
        </w:tc>
        <w:tc>
          <w:tcPr/>
          <w:p>
            <w:pPr>
              <w:pStyle w:val="Compact"/>
              <w:jc w:val="left"/>
            </w:pPr>
            <w:r>
              <w:t xml:space="preserve">CLEVER°FRANKE mobility visualizations</w:t>
            </w:r>
            <w:r>
              <w:t xml:space="preserve"> </w:t>
            </w:r>
            <w:r>
              <w:rPr>
                <w:vertAlign w:val="superscript"/>
              </w:rPr>
              <w:footnoteReference w:id="64"/>
            </w:r>
          </w:p>
        </w:tc>
      </w:tr>
      <w:tr>
        <w:tc>
          <w:tcPr/>
          <w:p>
            <w:pPr>
              <w:pStyle w:val="Compact"/>
              <w:jc w:val="left"/>
            </w:pPr>
            <w:r>
              <w:rPr>
                <w:bCs/>
                <w:b/>
              </w:rPr>
              <w:t xml:space="preserve">Strategic</w:t>
            </w:r>
          </w:p>
        </w:tc>
        <w:tc>
          <w:tcPr/>
          <w:p>
            <w:pPr>
              <w:pStyle w:val="Compact"/>
              <w:jc w:val="left"/>
            </w:pPr>
            <w:r>
              <w:t xml:space="preserve">Schema.org Dataset markup</w:t>
            </w:r>
          </w:p>
        </w:tc>
        <w:tc>
          <w:tcPr/>
          <w:p>
            <w:pPr>
              <w:pStyle w:val="Compact"/>
              <w:jc w:val="left"/>
            </w:pPr>
            <w:r>
              <w:t xml:space="preserve">Enables Google Dataset Search inclusion; major SEO win</w:t>
            </w:r>
          </w:p>
        </w:tc>
        <w:tc>
          <w:tcPr/>
          <w:p>
            <w:pPr>
              <w:pStyle w:val="Compact"/>
              <w:jc w:val="left"/>
            </w:pPr>
            <w:r>
              <w:t xml:space="preserve">Low-Medium: structured data implementation</w:t>
            </w:r>
          </w:p>
        </w:tc>
        <w:tc>
          <w:tcPr/>
          <w:p>
            <w:pPr>
              <w:pStyle w:val="Compact"/>
              <w:jc w:val="left"/>
            </w:pPr>
            <w:r>
              <w:t xml:space="preserve">2-3 weeks</w:t>
            </w:r>
          </w:p>
        </w:tc>
        <w:tc>
          <w:tcPr/>
          <w:p>
            <w:pPr>
              <w:pStyle w:val="Compact"/>
              <w:jc w:val="left"/>
            </w:pPr>
            <w:r>
              <w:t xml:space="preserve">Google Dataset Search requirements</w:t>
            </w:r>
            <w:r>
              <w:t xml:space="preserve"> </w:t>
            </w:r>
            <w:r>
              <w:rPr>
                <w:vertAlign w:val="superscript"/>
              </w:rPr>
              <w:footnoteReference w:id="65"/>
            </w:r>
            <w:r>
              <w:t xml:space="preserve"> </w:t>
            </w:r>
            <w:r>
              <w:rPr>
                <w:vertAlign w:val="superscript"/>
              </w:rPr>
              <w:footnoteReference w:id="66"/>
            </w:r>
          </w:p>
        </w:tc>
      </w:tr>
      <w:tr>
        <w:tc>
          <w:tcPr/>
          <w:p>
            <w:pPr>
              <w:pStyle w:val="Compact"/>
              <w:jc w:val="left"/>
            </w:pPr>
            <w:r>
              <w:rPr>
                <w:bCs/>
                <w:b/>
              </w:rPr>
              <w:t xml:space="preserve">Strategic</w:t>
            </w:r>
          </w:p>
        </w:tc>
        <w:tc>
          <w:tcPr/>
          <w:p>
            <w:pPr>
              <w:pStyle w:val="Compact"/>
              <w:jc w:val="left"/>
            </w:pPr>
            <w:r>
              <w:t xml:space="preserve">Scrollytelling city narratives</w:t>
            </w:r>
          </w:p>
        </w:tc>
        <w:tc>
          <w:tcPr/>
          <w:p>
            <w:pPr>
              <w:pStyle w:val="Compact"/>
              <w:jc w:val="left"/>
            </w:pPr>
            <w:r>
              <w:t xml:space="preserve">Award-winning engagement pattern; emotional connection with data</w:t>
            </w:r>
          </w:p>
        </w:tc>
        <w:tc>
          <w:tcPr/>
          <w:p>
            <w:pPr>
              <w:pStyle w:val="Compact"/>
              <w:jc w:val="left"/>
            </w:pPr>
            <w:r>
              <w:t xml:space="preserve">Medium-High: content + frontend development</w:t>
            </w:r>
          </w:p>
        </w:tc>
        <w:tc>
          <w:tcPr/>
          <w:p>
            <w:pPr>
              <w:pStyle w:val="Compact"/>
              <w:jc w:val="left"/>
            </w:pPr>
            <w:r>
              <w:t xml:space="preserve">4-6 months</w:t>
            </w:r>
          </w:p>
        </w:tc>
        <w:tc>
          <w:tcPr/>
          <w:p>
            <w:pPr>
              <w:pStyle w:val="Compact"/>
              <w:jc w:val="left"/>
            </w:pPr>
            <w:r>
              <w:t xml:space="preserve">The Pudding’s visual essays</w:t>
            </w:r>
            <w:r>
              <w:t xml:space="preserve"> </w:t>
            </w:r>
            <w:r>
              <w:rPr>
                <w:vertAlign w:val="superscript"/>
              </w:rPr>
              <w:footnoteReference w:id="67"/>
            </w:r>
            <w:r>
              <w:t xml:space="preserve"> </w:t>
            </w:r>
            <w:r>
              <w:rPr>
                <w:vertAlign w:val="superscript"/>
              </w:rPr>
              <w:footnoteReference w:id="68"/>
            </w:r>
          </w:p>
        </w:tc>
      </w:tr>
      <w:tr>
        <w:tc>
          <w:tcPr/>
          <w:p>
            <w:pPr>
              <w:pStyle w:val="Compact"/>
              <w:jc w:val="left"/>
            </w:pPr>
            <w:r>
              <w:rPr>
                <w:bCs/>
                <w:b/>
              </w:rPr>
              <w:t xml:space="preserve">Strategic</w:t>
            </w:r>
          </w:p>
        </w:tc>
        <w:tc>
          <w:tcPr/>
          <w:p>
            <w:pPr>
              <w:pStyle w:val="Compact"/>
              <w:jc w:val="left"/>
            </w:pPr>
            <w:r>
              <w:t xml:space="preserve">Time-series city progress tracking</w:t>
            </w:r>
          </w:p>
        </w:tc>
        <w:tc>
          <w:tcPr/>
          <w:p>
            <w:pPr>
              <w:pStyle w:val="Compact"/>
              <w:jc w:val="left"/>
            </w:pPr>
            <w:r>
              <w:t xml:space="preserve">Enables year-over-year comparison; core value proposition</w:t>
            </w:r>
          </w:p>
        </w:tc>
        <w:tc>
          <w:tcPr/>
          <w:p>
            <w:pPr>
              <w:pStyle w:val="Compact"/>
              <w:jc w:val="left"/>
            </w:pPr>
            <w:r>
              <w:t xml:space="preserve">Medium: database + visualization work</w:t>
            </w:r>
          </w:p>
        </w:tc>
        <w:tc>
          <w:tcPr/>
          <w:p>
            <w:pPr>
              <w:pStyle w:val="Compact"/>
              <w:jc w:val="left"/>
            </w:pPr>
            <w:r>
              <w:t xml:space="preserve">3-4 months</w:t>
            </w:r>
          </w:p>
        </w:tc>
        <w:tc>
          <w:tcPr/>
          <w:p>
            <w:pPr>
              <w:pStyle w:val="Compact"/>
              <w:jc w:val="left"/>
            </w:pPr>
            <w:r>
              <w:t xml:space="preserve">IMD Smart City Index year-over-year display</w:t>
            </w:r>
            <w:r>
              <w:t xml:space="preserve"> </w:t>
            </w:r>
            <w:r>
              <w:rPr>
                <w:vertAlign w:val="superscript"/>
              </w:rPr>
              <w:footnoteReference w:id="69"/>
            </w:r>
          </w:p>
        </w:tc>
      </w:tr>
    </w:tbl>
    <w:p>
      <w:pPr>
        <w:pStyle w:val="BodyText"/>
      </w:pPr>
      <w:r>
        <w:t xml:space="preserve">The matrix reveals a clear pattern: SCITI can deliver four quick wins within six weeks that address the most critical content gaps, while building toward higher-value strategic investments over 3-6 months. The remainder of this chapter details each content addition with specific implementation guidance.</w:t>
      </w:r>
    </w:p>
    <w:bookmarkStart w:id="108" w:name="immediate-wins-low-effort-high-impact"/>
    <w:p>
      <w:pPr>
        <w:pStyle w:val="Heading3"/>
      </w:pPr>
      <w:r>
        <w:t xml:space="preserve">5.1 Immediate Wins (Low Effort, High Impact)</w:t>
      </w:r>
    </w:p>
    <w:p>
      <w:pPr>
        <w:pStyle w:val="FirstParagraph"/>
      </w:pPr>
      <w:r>
        <w:t xml:space="preserve">These four content items require minimal development resources but address the highest-priority gaps identified across global smart city benchmarks. Each can be implemented within 4-6 weeks and immediately improves SCITI’s utility for Thai municipal officials.</w:t>
      </w:r>
    </w:p>
    <w:bookmarkStart w:id="104" w:name="X90fa6820c39f20c4d00eec3a48429ee58d3a12e"/>
    <w:p>
      <w:pPr>
        <w:pStyle w:val="Heading4"/>
      </w:pPr>
      <w:r>
        <w:t xml:space="preserve">5.1.1 Add</w:t>
      </w:r>
      <w:r>
        <w:t xml:space="preserve"> </w:t>
      </w:r>
      <w:r>
        <w:t xml:space="preserve">“</w:t>
      </w:r>
      <w:r>
        <w:t xml:space="preserve">Smart City Readiness Self-Assessment</w:t>
      </w:r>
      <w:r>
        <w:t xml:space="preserve">”</w:t>
      </w:r>
      <w:r>
        <w:t xml:space="preserve"> </w:t>
      </w:r>
      <w:r>
        <w:t xml:space="preserve">Tool</w:t>
      </w:r>
    </w:p>
    <w:p>
      <w:pPr>
        <w:pStyle w:val="FirstParagraph"/>
      </w:pPr>
      <w:r>
        <w:t xml:space="preserve">Every leading smart city playbook opens with a self-assessment. UN-Habitat’s guide begins with a Readiness Assessment Survey as its first tool</w:t>
      </w:r>
      <w:r>
        <w:t xml:space="preserve"> </w:t>
      </w:r>
      <w:fldSimple w:instr="NOTEREF _Ref_Footnote_60 \h \f">
        <w:r>
          <w:rPr>
            <w:vertAlign w:val="superscript"/>
          </w:rPr>
          <w:t>60</w:t>
        </w:r>
      </w:fldSimple>
      <w:r>
        <w:t xml:space="preserve">. C40’s maturity model includes a self-assessment questionnaire before any strategic guidance</w:t>
      </w:r>
      <w:r>
        <w:t xml:space="preserve"> </w:t>
      </w:r>
      <w:fldSimple w:instr="NOTEREF _Ref_Footnote_10 \h \f">
        <w:r>
          <w:rPr>
            <w:vertAlign w:val="superscript"/>
          </w:rPr>
          <w:t>10</w:t>
        </w:r>
      </w:fldSimple>
      <w:r>
        <w:t xml:space="preserve">. The Scottish Cities Maturity Model is explicitly designed for reuse —</w:t>
      </w:r>
      <w:r>
        <w:t xml:space="preserve"> </w:t>
      </w:r>
      <w:r>
        <w:t xml:space="preserve">“</w:t>
      </w:r>
      <w:r>
        <w:t xml:space="preserve">each time the Self-Assessment tool is used and re-used, it can focus on specific areas of strategic priority as appropriate</w:t>
      </w:r>
      <w:r>
        <w:t xml:space="preserve">”</w:t>
      </w:r>
      <w:r>
        <w:t xml:space="preserve"> </w:t>
      </w:r>
      <w:fldSimple w:instr="NOTEREF _Ref_Footnote_32 \h \f">
        <w:r>
          <w:rPr>
            <w:vertAlign w:val="superscript"/>
          </w:rPr>
          <w:t>32</w:t>
        </w:r>
      </w:fldSimple>
      <w:r>
        <w:t xml:space="preserve">. The ITU provides a 5-step maturity assessment process that outputs verification reports, city snapshots, and factsheets</w:t>
      </w:r>
      <w:r>
        <w:t xml:space="preserve"> </w:t>
      </w:r>
      <w:fldSimple w:instr="NOTEREF _Ref_Footnote_25 \h \f">
        <w:r>
          <w:rPr>
            <w:vertAlign w:val="superscript"/>
          </w:rPr>
          <w:t>25</w:t>
        </w:r>
      </w:fldSimple>
      <w:r>
        <w:t xml:space="preserve">.</w:t>
      </w:r>
    </w:p>
    <w:p>
      <w:pPr>
        <w:pStyle w:val="BodyText"/>
      </w:pPr>
      <w:r>
        <w:t xml:space="preserve">SCITI should build an interactive web questionnaire covering the 18 focus areas validated by 60 experts using the Delphi method: ICT infrastructure, digital transformation, data governance, labor market, entrepreneurship, pollution management, environmental management, education, social equity, citizen lifestyle, water resources, energy, urban planning, healthcare, transport, safety, political structure, and strategic planning</w:t>
      </w:r>
      <w:r>
        <w:t xml:space="preserve"> </w:t>
      </w:r>
      <w:fldSimple w:instr="NOTEREF _Ref_Footnote_21 \h \f">
        <w:r>
          <w:rPr>
            <w:vertAlign w:val="superscript"/>
          </w:rPr>
          <w:t>21</w:t>
        </w:r>
      </w:fldSimple>
      <w:r>
        <w:t xml:space="preserve">. Each focus area uses a 5-level maturity scale. The questionnaire should take 10-15 minutes to complete and output a personalized report with: (a) a radar chart showing maturity across all 18 domains, (b) a prioritized list of improvement areas, (c) links to relevant SCITI resources and external guides, and (d) a comparison against aggregate scores from other Thai municipalities (anonymized). The technical implementation is straightforward — a React or Vue.js form component with Chart.js or D3.js visualization output. The iFactory Smart City Roadmap provides a proven 4-phase structure (Foundation, Pilot, Platform Expansion, Optimization over 24 months) that the assessment results can map onto</w:t>
      </w:r>
      <w:r>
        <w:t xml:space="preserve"> </w:t>
      </w:r>
      <w:fldSimple w:instr="NOTEREF _Ref_Footnote_27 \h \f">
        <w:r>
          <w:rPr>
            <w:vertAlign w:val="superscript"/>
          </w:rPr>
          <w:t>27</w:t>
        </w:r>
      </w:fldSimple>
      <w:r>
        <w:t xml:space="preserve">.</w:t>
      </w:r>
    </w:p>
    <w:bookmarkEnd w:id="104"/>
    <w:bookmarkStart w:id="105" w:name="Xce06907e720fbf77ee0cbe40a1fb2a73f42031a"/>
    <w:p>
      <w:pPr>
        <w:pStyle w:val="Heading4"/>
      </w:pPr>
      <w:r>
        <w:t xml:space="preserve">5.1.2 Create</w:t>
      </w:r>
      <w:r>
        <w:t xml:space="preserve"> </w:t>
      </w:r>
      <w:r>
        <w:t xml:space="preserve">“</w:t>
      </w:r>
      <w:r>
        <w:t xml:space="preserve">Financing Your Smart City</w:t>
      </w:r>
      <w:r>
        <w:t xml:space="preserve">”</w:t>
      </w:r>
      <w:r>
        <w:t xml:space="preserve"> </w:t>
      </w:r>
      <w:r>
        <w:t xml:space="preserve">Page: Green Bonds, PPP, BOI, ADB ACGF</w:t>
      </w:r>
    </w:p>
    <w:p>
      <w:pPr>
        <w:pStyle w:val="FirstParagraph"/>
      </w:pPr>
      <w:r>
        <w:t xml:space="preserve">Financing is the single most common barrier cited by city officials globally, yet SCITI provides no structured guidance on how to pay for smart city initiatives. This page should consolidate four proven financing mechanisms with Thai-specific applicability:</w:t>
      </w:r>
    </w:p>
    <w:p>
      <w:pPr>
        <w:pStyle w:val="BodyText"/>
      </w:pPr>
      <w:r>
        <w:rPr>
          <w:bCs/>
          <w:b/>
        </w:rPr>
        <w:t xml:space="preserve">Green Bonds.</w:t>
      </w:r>
      <w:r>
        <w:t xml:space="preserve"> </w:t>
      </w:r>
      <w:r>
        <w:t xml:space="preserve">The Manila Water Sustainability Bond provides a replicable 3-stage blueprint: (1) Framework Development — align with Green Bond Principles 2018 and obtain a second opinion from a certified provider; (2) Bond Launch — hire financial brokers as joint bookrunners (BPI Capital, Citi, HSBC served for Manila Water), determine terms (4.375% interest, 10-year tenor), and list on an exchange (Singapore Exchange); (3) Implementation and Reporting — form a project selection team, screen projects against eligibility criteria, and publish annual impact reports</w:t>
      </w:r>
      <w:r>
        <w:t xml:space="preserve"> </w:t>
      </w:r>
      <w:fldSimple w:instr="NOTEREF _Ref_Footnote_62 \h \f">
        <w:r>
          <w:rPr>
            <w:vertAlign w:val="superscript"/>
          </w:rPr>
          <w:t>62</w:t>
        </w:r>
      </w:fldSimple>
      <w:r>
        <w:t xml:space="preserve">. The Buenos Aires Green Bond Toolkit from Columbia University SIPA adds three practical tools: a Decision-Making Framework for Climate Finance, a Communication Strategy for Investors, and a Green Bond Toolkit template</w:t>
      </w:r>
      <w:r>
        <w:t xml:space="preserve"> </w:t>
      </w:r>
      <w:fldSimple w:instr="NOTEREF _Ref_Footnote_15 \h \f">
        <w:r>
          <w:rPr>
            <w:vertAlign w:val="superscript"/>
          </w:rPr>
          <w:t>15</w:t>
        </w:r>
      </w:fldSimple>
      <w:r>
        <w:t xml:space="preserve">.</w:t>
      </w:r>
    </w:p>
    <w:p>
      <w:pPr>
        <w:pStyle w:val="BodyText"/>
      </w:pPr>
      <w:r>
        <w:rPr>
          <w:bCs/>
          <w:b/>
        </w:rPr>
        <w:t xml:space="preserve">Public-Private Partnerships (PPP).</w:t>
      </w:r>
      <w:r>
        <w:t xml:space="preserve"> </w:t>
      </w:r>
      <w:r>
        <w:t xml:space="preserve">The World Economic Forum’s Primer for Smart City PPPs identifies six critical success factors: an anchor use case that acts as the primary revenue source, co-creation by partners empowered early in the process, a shared vision with agreed KPIs and risk-reward mechanisms, a data governance framework defined at governmental level (not left to negotiation), cybersecurity standards set at city/state level, and contractual flexibility for technology evolution</w:t>
      </w:r>
      <w:r>
        <w:t xml:space="preserve"> </w:t>
      </w:r>
      <w:fldSimple w:instr="NOTEREF _Ref_Footnote_59 \h \f">
        <w:r>
          <w:rPr>
            <w:vertAlign w:val="superscript"/>
          </w:rPr>
          <w:t>59</w:t>
        </w:r>
      </w:fldSimple>
      <w:r>
        <w:t xml:space="preserve">. For Thai municipalities, the three relevant PPP models are: Operate, Maintain, and Concession (OMC) for existing infrastructure; Design, Build, Finance, Operate, and Maintain (DBFOM) for full-lifecycle projects; and Build, Own, Operate, and Transfer (BOOT) for private ownership with eventual government transfer</w:t>
      </w:r>
      <w:r>
        <w:t xml:space="preserve"> </w:t>
      </w:r>
      <w:r>
        <w:rPr>
          <w:vertAlign w:val="superscript"/>
        </w:rPr>
        <w:footnoteReference w:id="70"/>
      </w:r>
      <w:r>
        <w:t xml:space="preserve">.</w:t>
      </w:r>
    </w:p>
    <w:p>
      <w:pPr>
        <w:pStyle w:val="BodyText"/>
      </w:pPr>
      <w:r>
        <w:rPr>
          <w:bCs/>
          <w:b/>
        </w:rPr>
        <w:t xml:space="preserve">Board of Investment (BOI) Incentives.</w:t>
      </w:r>
      <w:r>
        <w:t xml:space="preserve"> </w:t>
      </w:r>
      <w:r>
        <w:t xml:space="preserve">Thailand’s BOI offers tax incentives for smart city investments in targeted sectors including digital infrastructure, clean energy, and smart transportation. The page should include current BOI promotion categories relevant to smart city development with application guidance.</w:t>
      </w:r>
    </w:p>
    <w:p>
      <w:pPr>
        <w:pStyle w:val="BodyText"/>
      </w:pPr>
      <w:r>
        <w:rPr>
          <w:bCs/>
          <w:b/>
        </w:rPr>
        <w:t xml:space="preserve">ADB ASEAN Catalytic Green Finance Facility (ACGF).</w:t>
      </w:r>
      <w:r>
        <w:t xml:space="preserve"> </w:t>
      </w:r>
      <w:r>
        <w:t xml:space="preserve">The ACGF provides green infrastructure project preparation and financing across ASEAN. Thai cities can access ACGF support for bankable smart city projects with climate co-benefits. The</w:t>
      </w:r>
      <w:r>
        <w:t xml:space="preserve"> </w:t>
      </w:r>
      <w:r>
        <w:t xml:space="preserve">“</w:t>
      </w:r>
      <w:r>
        <w:t xml:space="preserve">Little Book of City Climate Finance</w:t>
      </w:r>
      <w:r>
        <w:t xml:space="preserve">”</w:t>
      </w:r>
      <w:r>
        <w:t xml:space="preserve"> </w:t>
      </w:r>
      <w:r>
        <w:t xml:space="preserve">provides a practical 5-step framework: develop a city climate action plan with GHG inventory, identify long-term goals aligned with national NDC priorities, develop a pipeline of bankable projects with CAPEX/OPEX and monetized co-benefits, and consider alignment with taxonomies such as the EU-China Common Ground Taxonomy</w:t>
      </w:r>
      <w:r>
        <w:t xml:space="preserve"> </w:t>
      </w:r>
      <w:r>
        <w:rPr>
          <w:vertAlign w:val="superscript"/>
        </w:rPr>
        <w:footnoteReference w:id="71"/>
      </w:r>
      <w:r>
        <w:t xml:space="preserve">.</w:t>
      </w:r>
    </w:p>
    <w:bookmarkEnd w:id="105"/>
    <w:bookmarkStart w:id="106" w:name="X8f24a4adb9ee53df8bf0f0750e307561d62d4e3"/>
    <w:p>
      <w:pPr>
        <w:pStyle w:val="Heading4"/>
      </w:pPr>
      <w:r>
        <w:t xml:space="preserve">5.1.3 Build</w:t>
      </w:r>
      <w:r>
        <w:t xml:space="preserve"> </w:t>
      </w:r>
      <w:r>
        <w:t xml:space="preserve">“</w:t>
      </w:r>
      <w:r>
        <w:t xml:space="preserve">Case Study Library</w:t>
      </w:r>
      <w:r>
        <w:t xml:space="preserve">”</w:t>
      </w:r>
      <w:r>
        <w:t xml:space="preserve"> </w:t>
      </w:r>
      <w:r>
        <w:t xml:space="preserve">with 10+ Detailed Implementations</w:t>
      </w:r>
    </w:p>
    <w:p>
      <w:pPr>
        <w:pStyle w:val="FirstParagraph"/>
      </w:pPr>
      <w:r>
        <w:t xml:space="preserve">SCITI’s current case studies, if they exist, likely follow the informational format:</w:t>
      </w:r>
      <w:r>
        <w:t xml:space="preserve"> </w:t>
      </w:r>
      <w:r>
        <w:t xml:space="preserve">“</w:t>
      </w:r>
      <w:r>
        <w:t xml:space="preserve">Barcelona implemented superblocks successfully.</w:t>
      </w:r>
      <w:r>
        <w:t xml:space="preserve">”</w:t>
      </w:r>
      <w:r>
        <w:t xml:space="preserve"> </w:t>
      </w:r>
      <w:r>
        <w:t xml:space="preserve">The actionable format that makes case studies into reference bibles reads:</w:t>
      </w:r>
      <w:r>
        <w:t xml:space="preserve"> </w:t>
      </w:r>
      <w:r>
        <w:t xml:space="preserve">“</w:t>
      </w:r>
      <w:r>
        <w:t xml:space="preserve">Barcelona selected Poblenou as first site because of low traffic volume, grid street network, and synergies with the 22@ innovation district redevelopment; pilot started 2016; cost data described as</w:t>
      </w:r>
      <w:r>
        <w:t xml:space="preserve"> </w:t>
      </w:r>
      <w:r>
        <w:t xml:space="preserve">‘</w:t>
      </w:r>
      <w:r>
        <w:t xml:space="preserve">low-cost, relatively quick to carry out</w:t>
      </w:r>
      <w:r>
        <w:t xml:space="preserve">’</w:t>
      </w:r>
      <w:r>
        <w:t xml:space="preserve">”</w:t>
      </w:r>
      <w:r>
        <w:t xml:space="preserve"> </w:t>
      </w:r>
      <w:fldSimple w:instr="NOTEREF _Ref_Footnote_29 \h \f">
        <w:r>
          <w:rPr>
            <w:vertAlign w:val="superscript"/>
          </w:rPr>
          <w:t>29</w:t>
        </w:r>
      </w:fldSimple>
      <w:r>
        <w:t xml:space="preserve"> </w:t>
      </w:r>
      <w:fldSimple w:instr="NOTEREF _Ref_Footnote_33 \h \f">
        <w:r>
          <w:rPr>
            <w:vertAlign w:val="superscript"/>
          </w:rPr>
          <w:t>33</w:t>
        </w:r>
      </w:fldSimple>
      <w:r>
        <w:t xml:space="preserve">.</w:t>
      </w:r>
    </w:p>
    <w:p>
      <w:pPr>
        <w:pStyle w:val="BodyText"/>
      </w:pPr>
      <w:r>
        <w:t xml:space="preserve">The Case Study Library should follow the European Commission’s</w:t>
      </w:r>
      <w:r>
        <w:t xml:space="preserve"> </w:t>
      </w:r>
      <w:r>
        <w:t xml:space="preserve">“</w:t>
      </w:r>
      <w:r>
        <w:t xml:space="preserve">Making of a Smart City</w:t>
      </w:r>
      <w:r>
        <w:t xml:space="preserve">”</w:t>
      </w:r>
      <w:r>
        <w:t xml:space="preserve"> </w:t>
      </w:r>
      <w:r>
        <w:t xml:space="preserve">template, which includes for each case: a Facts and Figures table (geography, investment, energy savings, CO2 reduction), a Technologies list categorized by domain, a Lessons Learned section, and a Contact person with email</w:t>
      </w:r>
      <w:r>
        <w:t xml:space="preserve"> </w:t>
      </w:r>
      <w:fldSimple w:instr="NOTEREF _Ref_Footnote_34 \h \f">
        <w:r>
          <w:rPr>
            <w:vertAlign w:val="superscript"/>
          </w:rPr>
          <w:t>34</w:t>
        </w:r>
      </w:fldSimple>
      <w:r>
        <w:t xml:space="preserve">. Each SCITI case study must include: (1) Executive Summary with city name, population, initiative name, and key quantitative outcome; (2) Context and Challenge; (3) Solution Description with timeline; (4) Implementation Approach including governance structure, budget, financing mechanism, and key partners; (5) Quantified Results with before/after metrics; (6) Lessons Learned including what did not work; (7) Replicability Factors with required conditions, estimated costs, and scalability potential; and (8) Contact Information for the responsible department</w:t>
      </w:r>
      <w:r>
        <w:t xml:space="preserve"> </w:t>
      </w:r>
      <w:fldSimple w:instr="NOTEREF _Ref_Footnote_34 \h \f">
        <w:r>
          <w:rPr>
            <w:vertAlign w:val="superscript"/>
          </w:rPr>
          <w:t>34</w:t>
        </w:r>
      </w:fldSimple>
      <w:r>
        <w:t xml:space="preserve">.</w:t>
      </w:r>
    </w:p>
    <w:p>
      <w:pPr>
        <w:pStyle w:val="BodyText"/>
      </w:pPr>
      <w:r>
        <w:rPr>
          <w:bCs/>
          <w:b/>
        </w:rPr>
        <w:t xml:space="preserve">Table 2: Immediate Wins — Implementation Detail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Content Item</w:t>
            </w:r>
          </w:p>
        </w:tc>
        <w:tc>
          <w:tcPr/>
          <w:p>
            <w:pPr>
              <w:pStyle w:val="Compact"/>
              <w:jc w:val="left"/>
            </w:pPr>
            <w:r>
              <w:t xml:space="preserve">Why It Matters</w:t>
            </w:r>
          </w:p>
        </w:tc>
        <w:tc>
          <w:tcPr/>
          <w:p>
            <w:pPr>
              <w:pStyle w:val="Compact"/>
              <w:jc w:val="left"/>
            </w:pPr>
            <w:r>
              <w:t xml:space="preserve">Specific Model to Follow</w:t>
            </w:r>
          </w:p>
        </w:tc>
        <w:tc>
          <w:tcPr/>
          <w:p>
            <w:pPr>
              <w:pStyle w:val="Compact"/>
              <w:jc w:val="left"/>
            </w:pPr>
            <w:r>
              <w:t xml:space="preserve">Key Content Elements</w:t>
            </w:r>
          </w:p>
        </w:tc>
        <w:tc>
          <w:tcPr/>
          <w:p>
            <w:pPr>
              <w:pStyle w:val="Compact"/>
              <w:jc w:val="left"/>
            </w:pPr>
            <w:r>
              <w:t xml:space="preserve">Est. Effort</w:t>
            </w:r>
          </w:p>
        </w:tc>
        <w:tc>
          <w:tcPr/>
          <w:p>
            <w:pPr>
              <w:pStyle w:val="Compact"/>
              <w:jc w:val="left"/>
            </w:pPr>
            <w:r>
              <w:t xml:space="preserve">Timeline</w:t>
            </w:r>
          </w:p>
        </w:tc>
      </w:tr>
      <w:tr>
        <w:tc>
          <w:tcPr/>
          <w:p>
            <w:pPr>
              <w:pStyle w:val="Compact"/>
              <w:jc w:val="left"/>
            </w:pPr>
            <w:r>
              <w:t xml:space="preserve">Readiness Self-Assessment</w:t>
            </w:r>
          </w:p>
        </w:tc>
        <w:tc>
          <w:tcPr/>
          <w:p>
            <w:pPr>
              <w:pStyle w:val="Compact"/>
              <w:jc w:val="left"/>
            </w:pPr>
            <w:r>
              <w:t xml:space="preserve">Every</w:t>
            </w:r>
            <w:r>
              <w:t xml:space="preserve"> </w:t>
            </w:r>
            <w:r>
              <w:t xml:space="preserve">“</w:t>
            </w:r>
            <w:r>
              <w:t xml:space="preserve">bible</w:t>
            </w:r>
            <w:r>
              <w:t xml:space="preserve">”</w:t>
            </w:r>
            <w:r>
              <w:t xml:space="preserve"> </w:t>
            </w:r>
            <w:r>
              <w:t xml:space="preserve">opens with self-assessment; drives engagement with other resources</w:t>
            </w:r>
          </w:p>
        </w:tc>
        <w:tc>
          <w:tcPr/>
          <w:p>
            <w:pPr>
              <w:pStyle w:val="Compact"/>
              <w:jc w:val="left"/>
            </w:pPr>
            <w:r>
              <w:t xml:space="preserve">Scottish Cities Maturity Model</w:t>
            </w:r>
            <w:r>
              <w:t xml:space="preserve"> </w:t>
            </w:r>
            <w:fldSimple w:instr="NOTEREF _Ref_Footnote_32 \h \f">
              <w:r>
                <w:rPr>
                  <w:vertAlign w:val="superscript"/>
                </w:rPr>
                <w:t>32</w:t>
              </w:r>
            </w:fldSimple>
            <w:r>
              <w:t xml:space="preserve">+ ITU 5-step process</w:t>
            </w:r>
            <w:r>
              <w:t xml:space="preserve"> </w:t>
            </w:r>
            <w:fldSimple w:instr="NOTEREF _Ref_Footnote_25 \h \f">
              <w:r>
                <w:rPr>
                  <w:vertAlign w:val="superscript"/>
                </w:rPr>
                <w:t>25</w:t>
              </w:r>
            </w:fldSimple>
          </w:p>
        </w:tc>
        <w:tc>
          <w:tcPr/>
          <w:p>
            <w:pPr>
              <w:pStyle w:val="Compact"/>
              <w:jc w:val="left"/>
            </w:pPr>
            <w:r>
              <w:t xml:space="preserve">18 focus areas, 5-level scale, radar chart output, personalized recommendations, anonymous benchmarking</w:t>
            </w:r>
          </w:p>
        </w:tc>
        <w:tc>
          <w:tcPr/>
          <w:p>
            <w:pPr>
              <w:pStyle w:val="Compact"/>
              <w:jc w:val="left"/>
            </w:pPr>
            <w:r>
              <w:t xml:space="preserve">1 developer, 1 content researcher</w:t>
            </w:r>
          </w:p>
        </w:tc>
        <w:tc>
          <w:tcPr/>
          <w:p>
            <w:pPr>
              <w:pStyle w:val="Compact"/>
              <w:jc w:val="left"/>
            </w:pPr>
            <w:r>
              <w:t xml:space="preserve">2-3 weeks</w:t>
            </w:r>
          </w:p>
        </w:tc>
      </w:tr>
      <w:tr>
        <w:tc>
          <w:tcPr/>
          <w:p>
            <w:pPr>
              <w:pStyle w:val="Compact"/>
              <w:jc w:val="left"/>
            </w:pPr>
            <w:r>
              <w:t xml:space="preserve">Financing Your Smart City page</w:t>
            </w:r>
          </w:p>
        </w:tc>
        <w:tc>
          <w:tcPr/>
          <w:p>
            <w:pPr>
              <w:pStyle w:val="Compact"/>
              <w:jc w:val="left"/>
            </w:pPr>
            <w:r>
              <w:t xml:space="preserve">Financing is #1 barrier cited by city officials globally</w:t>
            </w:r>
          </w:p>
        </w:tc>
        <w:tc>
          <w:tcPr/>
          <w:p>
            <w:pPr>
              <w:pStyle w:val="Compact"/>
              <w:jc w:val="left"/>
            </w:pPr>
            <w:r>
              <w:t xml:space="preserve">Manila Water 3-stage green bond blueprint</w:t>
            </w:r>
            <w:r>
              <w:t xml:space="preserve"> </w:t>
            </w:r>
            <w:fldSimple w:instr="NOTEREF _Ref_Footnote_62 \h \f">
              <w:r>
                <w:rPr>
                  <w:vertAlign w:val="superscript"/>
                </w:rPr>
                <w:t>62</w:t>
              </w:r>
            </w:fldSimple>
            <w:r>
              <w:t xml:space="preserve">+ WEF PPP Primer</w:t>
            </w:r>
            <w:r>
              <w:t xml:space="preserve"> </w:t>
            </w:r>
            <w:fldSimple w:instr="NOTEREF _Ref_Footnote_59 \h \f">
              <w:r>
                <w:rPr>
                  <w:vertAlign w:val="superscript"/>
                </w:rPr>
                <w:t>59</w:t>
              </w:r>
            </w:fldSimple>
            <w:r>
              <w:t xml:space="preserve">+ Little Book of City Climate Finance</w:t>
            </w:r>
            <w:r>
              <w:t xml:space="preserve"> </w:t>
            </w:r>
            <w:fldSimple w:instr="NOTEREF _Ref_Footnote_71 \h \f">
              <w:r>
                <w:rPr>
                  <w:vertAlign w:val="superscript"/>
                </w:rPr>
                <w:t>71</w:t>
              </w:r>
            </w:fldSimple>
          </w:p>
        </w:tc>
        <w:tc>
          <w:tcPr/>
          <w:p>
            <w:pPr>
              <w:pStyle w:val="Compact"/>
              <w:jc w:val="left"/>
            </w:pPr>
            <w:r>
              <w:t xml:space="preserve">Green bond framework, 3 PPP models (OMC/DBFOM/BOOT), BOI incentives, ADB ACGF access, 5-step climate finance roadmap</w:t>
            </w:r>
          </w:p>
        </w:tc>
        <w:tc>
          <w:tcPr/>
          <w:p>
            <w:pPr>
              <w:pStyle w:val="Compact"/>
              <w:jc w:val="left"/>
            </w:pPr>
            <w:r>
              <w:t xml:space="preserve">1 financial researcher, 1 writer</w:t>
            </w:r>
          </w:p>
        </w:tc>
        <w:tc>
          <w:tcPr/>
          <w:p>
            <w:pPr>
              <w:pStyle w:val="Compact"/>
              <w:jc w:val="left"/>
            </w:pPr>
            <w:r>
              <w:t xml:space="preserve">2-3 weeks</w:t>
            </w:r>
          </w:p>
        </w:tc>
      </w:tr>
      <w:tr>
        <w:tc>
          <w:tcPr/>
          <w:p>
            <w:pPr>
              <w:pStyle w:val="Compact"/>
              <w:jc w:val="left"/>
            </w:pPr>
            <w:r>
              <w:t xml:space="preserve">Case Study Library (10+)</w:t>
            </w:r>
          </w:p>
        </w:tc>
        <w:tc>
          <w:tcPr/>
          <w:p>
            <w:pPr>
              <w:pStyle w:val="Compact"/>
              <w:jc w:val="left"/>
            </w:pPr>
            <w:r>
              <w:t xml:space="preserve">Peer city validation is #1 trust driver; cities replicate what they can see working</w:t>
            </w:r>
          </w:p>
        </w:tc>
        <w:tc>
          <w:tcPr/>
          <w:p>
            <w:pPr>
              <w:pStyle w:val="Compact"/>
              <w:jc w:val="left"/>
            </w:pPr>
            <w:r>
              <w:t xml:space="preserve">European Commission format</w:t>
            </w:r>
            <w:r>
              <w:t xml:space="preserve"> </w:t>
            </w:r>
            <w:fldSimple w:instr="NOTEREF _Ref_Footnote_34 \h \f">
              <w:r>
                <w:rPr>
                  <w:vertAlign w:val="superscript"/>
                </w:rPr>
                <w:t>34</w:t>
              </w:r>
            </w:fldSimple>
            <w:r>
              <w:t xml:space="preserve">+ UN-Habitat 8-case structure</w:t>
            </w:r>
            <w:r>
              <w:t xml:space="preserve"> </w:t>
            </w:r>
            <w:fldSimple w:instr="NOTEREF _Ref_Footnote_60 \h \f">
              <w:r>
                <w:rPr>
                  <w:vertAlign w:val="superscript"/>
                </w:rPr>
                <w:t>60</w:t>
              </w:r>
            </w:fldSimple>
          </w:p>
        </w:tc>
        <w:tc>
          <w:tcPr/>
          <w:p>
            <w:pPr>
              <w:pStyle w:val="Compact"/>
              <w:jc w:val="left"/>
            </w:pPr>
            <w:r>
              <w:t xml:space="preserve">8-section template: exec summary, context, solution, implementation, quantified results, lessons learned, replicability factors, contact info</w:t>
            </w:r>
          </w:p>
        </w:tc>
        <w:tc>
          <w:tcPr/>
          <w:p>
            <w:pPr>
              <w:pStyle w:val="Compact"/>
              <w:jc w:val="left"/>
            </w:pPr>
            <w:r>
              <w:t xml:space="preserve">1 researcher, 1 writer</w:t>
            </w:r>
          </w:p>
        </w:tc>
        <w:tc>
          <w:tcPr/>
          <w:p>
            <w:pPr>
              <w:pStyle w:val="Compact"/>
              <w:jc w:val="left"/>
            </w:pPr>
            <w:r>
              <w:t xml:space="preserve">4-6 weeks</w:t>
            </w:r>
          </w:p>
        </w:tc>
      </w:tr>
      <w:tr>
        <w:tc>
          <w:tcPr/>
          <w:p>
            <w:pPr>
              <w:pStyle w:val="Compact"/>
              <w:jc w:val="left"/>
            </w:pPr>
            <w:r>
              <w:t xml:space="preserve">Procurement Guide</w:t>
            </w:r>
          </w:p>
        </w:tc>
        <w:tc>
          <w:tcPr/>
          <w:p>
            <w:pPr>
              <w:pStyle w:val="Compact"/>
              <w:jc w:val="left"/>
            </w:pPr>
            <w:r>
              <w:t xml:space="preserve">All 118 Thai municipalities must buy smart city tech; procurement errors are expensive</w:t>
            </w:r>
          </w:p>
        </w:tc>
        <w:tc>
          <w:tcPr/>
          <w:p>
            <w:pPr>
              <w:pStyle w:val="Compact"/>
              <w:jc w:val="left"/>
            </w:pPr>
            <w:r>
              <w:t xml:space="preserve">UK GDS Digital Buying Guide</w:t>
            </w:r>
            <w:r>
              <w:t xml:space="preserve"> </w:t>
            </w:r>
            <w:fldSimple w:instr="NOTEREF _Ref_Footnote_61 \h \f">
              <w:r>
                <w:rPr>
                  <w:vertAlign w:val="superscript"/>
                </w:rPr>
                <w:t>61</w:t>
              </w:r>
            </w:fldSimple>
            <w:r>
              <w:t xml:space="preserve">+ ITU Procurement Guidelines</w:t>
            </w:r>
            <w:r>
              <w:t xml:space="preserve"> </w:t>
            </w:r>
            <w:fldSimple w:instr="NOTEREF _Ref_Footnote_61 \h \f">
              <w:r>
                <w:rPr>
                  <w:vertAlign w:val="superscript"/>
                </w:rPr>
                <w:t>61</w:t>
              </w:r>
            </w:fldSimple>
          </w:p>
        </w:tc>
        <w:tc>
          <w:tcPr/>
          <w:p>
            <w:pPr>
              <w:pStyle w:val="Compact"/>
              <w:jc w:val="left"/>
            </w:pPr>
            <w:r>
              <w:t xml:space="preserve">4-stage process (Plan, Inform Market, Evaluate/Award, Manage Delivery), 25+ Dos and Don’ts tables, outcome-based specifications, framework agreements</w:t>
            </w:r>
          </w:p>
        </w:tc>
        <w:tc>
          <w:tcPr/>
          <w:p>
            <w:pPr>
              <w:pStyle w:val="Compact"/>
              <w:jc w:val="left"/>
            </w:pPr>
            <w:r>
              <w:t xml:space="preserve">1 procurement specialist, 1 writer</w:t>
            </w:r>
          </w:p>
        </w:tc>
        <w:tc>
          <w:tcPr/>
          <w:p>
            <w:pPr>
              <w:pStyle w:val="Compact"/>
              <w:jc w:val="left"/>
            </w:pPr>
            <w:r>
              <w:t xml:space="preserve">3-4 weeks</w:t>
            </w:r>
          </w:p>
        </w:tc>
      </w:tr>
    </w:tbl>
    <w:p>
      <w:pPr>
        <w:pStyle w:val="BodyText"/>
      </w:pPr>
      <w:r>
        <w:t xml:space="preserve">The ten initial case studies should include: (1) Barcelona Superblocks — urban planning with superblocks, traffic reduction metrics, neighborhood selection criteria</w:t>
      </w:r>
      <w:r>
        <w:t xml:space="preserve"> </w:t>
      </w:r>
      <w:fldSimple w:instr="NOTEREF _Ref_Footnote_29 \h \f">
        <w:r>
          <w:rPr>
            <w:vertAlign w:val="superscript"/>
          </w:rPr>
          <w:t>29</w:t>
        </w:r>
      </w:fldSimple>
      <w:r>
        <w:t xml:space="preserve">; (2) Singapore Smart Nation 2.0 — three pillars (Trust, Growth, Community), Smart Nation Digital Government Group formed May 2017</w:t>
      </w:r>
      <w:r>
        <w:t xml:space="preserve"> </w:t>
      </w:r>
      <w:fldSimple w:instr="NOTEREF _Ref_Footnote_60 \h \f">
        <w:r>
          <w:rPr>
            <w:vertAlign w:val="superscript"/>
          </w:rPr>
          <w:t>60</w:t>
        </w:r>
      </w:fldSimple>
      <w:r>
        <w:t xml:space="preserve">; (3) Kigali 2050 Master Plan — data-driven benchmarking methodology, Technical Advisory Groups</w:t>
      </w:r>
      <w:r>
        <w:t xml:space="preserve"> </w:t>
      </w:r>
      <w:fldSimple w:instr="NOTEREF _Ref_Footnote_60 \h \f">
        <w:r>
          <w:rPr>
            <w:vertAlign w:val="superscript"/>
          </w:rPr>
          <w:t>60</w:t>
        </w:r>
      </w:fldSimple>
      <w:r>
        <w:t xml:space="preserve">; (4) Dubai Future Accelerators — Sandbox Dubai for testing emerging technologies, structured innovation procurement</w:t>
      </w:r>
      <w:r>
        <w:t xml:space="preserve"> </w:t>
      </w:r>
      <w:fldSimple w:instr="NOTEREF _Ref_Footnote_60 \h \f">
        <w:r>
          <w:rPr>
            <w:vertAlign w:val="superscript"/>
          </w:rPr>
          <w:t>60</w:t>
        </w:r>
      </w:fldSimple>
      <w:r>
        <w:t xml:space="preserve">; (5) Copenhagen Cloudburst Management Plan — climate adaptation infrastructure</w:t>
      </w:r>
      <w:r>
        <w:t xml:space="preserve"> </w:t>
      </w:r>
      <w:fldSimple w:instr="NOTEREF _Ref_Footnote_10 \h \f">
        <w:r>
          <w:rPr>
            <w:vertAlign w:val="superscript"/>
          </w:rPr>
          <w:t>10</w:t>
        </w:r>
      </w:fldSimple>
      <w:r>
        <w:t xml:space="preserve">; (6) Seoul Digital Twin Platform — urban infrastructure monitoring expanding to 4D</w:t>
      </w:r>
      <w:r>
        <w:t xml:space="preserve"> </w:t>
      </w:r>
      <w:r>
        <w:rPr>
          <w:vertAlign w:val="superscript"/>
        </w:rPr>
        <w:footnoteReference w:id="72"/>
      </w:r>
      <w:r>
        <w:t xml:space="preserve">; (7) Helsinki City-wide Digital Twin — planning and testing before implementation</w:t>
      </w:r>
      <w:r>
        <w:t xml:space="preserve"> </w:t>
      </w:r>
      <w:fldSimple w:instr="NOTEREF _Ref_Footnote_72 \h \f">
        <w:r>
          <w:rPr>
            <w:vertAlign w:val="superscript"/>
          </w:rPr>
          <w:t>72</w:t>
        </w:r>
      </w:fldSimple>
      <w:r>
        <w:t xml:space="preserve">; (8) Chattanooga Traffic Twin — 30% traffic flow improvement demonstrated</w:t>
      </w:r>
      <w:r>
        <w:t xml:space="preserve"> </w:t>
      </w:r>
      <w:fldSimple w:instr="NOTEREF _Ref_Footnote_72 \h \f">
        <w:r>
          <w:rPr>
            <w:vertAlign w:val="superscript"/>
          </w:rPr>
          <w:t>72</w:t>
        </w:r>
      </w:fldSimple>
      <w:r>
        <w:t xml:space="preserve">; (9) Rotterdam Benthemplein Water Square — climate adaptation through urban design</w:t>
      </w:r>
      <w:r>
        <w:t xml:space="preserve"> </w:t>
      </w:r>
      <w:fldSimple w:instr="NOTEREF _Ref_Footnote_10 \h \f">
        <w:r>
          <w:rPr>
            <w:vertAlign w:val="superscript"/>
          </w:rPr>
          <w:t>10</w:t>
        </w:r>
      </w:fldSimple>
      <w:r>
        <w:t xml:space="preserve">; (10) Singapore Bishan-Ang Mo Kio Park — nature-based solution for flood management</w:t>
      </w:r>
      <w:r>
        <w:t xml:space="preserve"> </w:t>
      </w:r>
      <w:fldSimple w:instr="NOTEREF _Ref_Footnote_10 \h \f">
        <w:r>
          <w:rPr>
            <w:vertAlign w:val="superscript"/>
          </w:rPr>
          <w:t>10</w:t>
        </w:r>
      </w:fldSimple>
      <w:r>
        <w:t xml:space="preserve">. Each case should include a</w:t>
      </w:r>
      <w:r>
        <w:t xml:space="preserve"> </w:t>
      </w:r>
      <w:r>
        <w:t xml:space="preserve">“</w:t>
      </w:r>
      <w:r>
        <w:t xml:space="preserve">Replicability for Thai Cities</w:t>
      </w:r>
      <w:r>
        <w:t xml:space="preserve">”</w:t>
      </w:r>
      <w:r>
        <w:t xml:space="preserve"> </w:t>
      </w:r>
      <w:r>
        <w:t xml:space="preserve">sidebar addressing local applicability.</w:t>
      </w:r>
    </w:p>
    <w:bookmarkEnd w:id="106"/>
    <w:bookmarkStart w:id="107" w:name="X5442630c3d265ebbc13bc39659385777e011329"/>
    <w:p>
      <w:pPr>
        <w:pStyle w:val="Heading4"/>
      </w:pPr>
      <w:r>
        <w:t xml:space="preserve">5.1.4 Add</w:t>
      </w:r>
      <w:r>
        <w:t xml:space="preserve"> </w:t>
      </w:r>
      <w:r>
        <w:t xml:space="preserve">“</w:t>
      </w:r>
      <w:r>
        <w:t xml:space="preserve">Procurement Guide</w:t>
      </w:r>
      <w:r>
        <w:t xml:space="preserve">”</w:t>
      </w:r>
      <w:r>
        <w:t xml:space="preserve"> </w:t>
      </w:r>
      <w:r>
        <w:t xml:space="preserve">for Thai Municipalities</w:t>
      </w:r>
    </w:p>
    <w:p>
      <w:pPr>
        <w:pStyle w:val="FirstParagraph"/>
      </w:pPr>
      <w:r>
        <w:t xml:space="preserve">Smart city procurement is a universal pain point. The UK GDS Digital Buying Guide is the most internationally referenced resource in this space, available in English, Spanish, and Bahasa Indonesia, with an ITU-published PDF version</w:t>
      </w:r>
      <w:r>
        <w:t xml:space="preserve"> </w:t>
      </w:r>
      <w:fldSimple w:instr="NOTEREF _Ref_Footnote_61 \h \f">
        <w:r>
          <w:rPr>
            <w:vertAlign w:val="superscript"/>
          </w:rPr>
          <w:t>61</w:t>
        </w:r>
      </w:fldSimple>
      <w:r>
        <w:t xml:space="preserve">. It structures procurement into four stages: Plan (understand user needs, share information early), Inform the Market (define outcomes, estimate costs, write requirements), Evaluate and Award (scoring systems, due diligence, risk assessment), and Manage Delivery (project management, quality assurance, acceptance criteria). At each stage, the guide provides Dos and Don’ts tables — over 25 in total — such as</w:t>
      </w:r>
      <w:r>
        <w:t xml:space="preserve"> </w:t>
      </w:r>
      <w:r>
        <w:t xml:space="preserve">“</w:t>
      </w:r>
      <w:r>
        <w:t xml:space="preserve">Do evaluate suppliers using a diverse team; Don’t choose based on personal preference for a brand</w:t>
      </w:r>
      <w:r>
        <w:t xml:space="preserve">”</w:t>
      </w:r>
      <w:r>
        <w:t xml:space="preserve"> </w:t>
      </w:r>
      <w:fldSimple w:instr="NOTEREF _Ref_Footnote_61 \h \f">
        <w:r>
          <w:rPr>
            <w:vertAlign w:val="superscript"/>
          </w:rPr>
          <w:t>61</w:t>
        </w:r>
      </w:fldSimple>
      <w:r>
        <w:t xml:space="preserve">.</w:t>
      </w:r>
    </w:p>
    <w:p>
      <w:pPr>
        <w:pStyle w:val="BodyText"/>
      </w:pPr>
      <w:r>
        <w:t xml:space="preserve">For Thai municipalities, SCITI should adapt this framework to Thailand’s Government Procurement and Supplies Administration Act. The guide should cover: (1) outcome-based specifications (the UK DVSA example:</w:t>
      </w:r>
      <w:r>
        <w:t xml:space="preserve"> </w:t>
      </w:r>
      <w:r>
        <w:t xml:space="preserve">“</w:t>
      </w:r>
      <w:r>
        <w:t xml:space="preserve">the ITT did not specify AI but focused on technologies that would deliver the most effective outcomes</w:t>
      </w:r>
      <w:r>
        <w:t xml:space="preserve">”</w:t>
      </w:r>
      <w:r>
        <w:t xml:space="preserve">)</w:t>
      </w:r>
      <w:r>
        <w:t xml:space="preserve"> </w:t>
      </w:r>
      <w:fldSimple w:instr="NOTEREF _Ref_Footnote_61 \h \f">
        <w:r>
          <w:rPr>
            <w:vertAlign w:val="superscript"/>
          </w:rPr>
          <w:t>61</w:t>
        </w:r>
      </w:fldSimple>
      <w:r>
        <w:t xml:space="preserve">; (2) early market engagement through</w:t>
      </w:r>
      <w:r>
        <w:t xml:space="preserve"> </w:t>
      </w:r>
      <w:r>
        <w:t xml:space="preserve">“</w:t>
      </w:r>
      <w:r>
        <w:t xml:space="preserve">meet the buyer</w:t>
      </w:r>
      <w:r>
        <w:t xml:space="preserve">”</w:t>
      </w:r>
      <w:r>
        <w:t xml:space="preserve"> </w:t>
      </w:r>
      <w:r>
        <w:t xml:space="preserve">events and supplier open days; (3) framework agreements for pre-qualified suppliers to enable faster, shorter contracts; (4) open contracting data standards to publish contracts in machine-readable format; (5) diverse evaluation teams drawn from across the organization; (6) accessibility requirements ensuring digital products meet ICT accessibility guidelines; and (7) emergency procurement protocols with simplified templates for crisis situations</w:t>
      </w:r>
      <w:r>
        <w:t xml:space="preserve"> </w:t>
      </w:r>
      <w:fldSimple w:instr="NOTEREF _Ref_Footnote_61 \h \f">
        <w:r>
          <w:rPr>
            <w:vertAlign w:val="superscript"/>
          </w:rPr>
          <w:t>61</w:t>
        </w:r>
      </w:fldSimple>
      <w:r>
        <w:t xml:space="preserve">. The ITU Procurement Guidelines add critical coverage of gender equality and social inclusion indicators, which SCITI should incorporate given Thailand’s equality commitments</w:t>
      </w:r>
      <w:r>
        <w:t xml:space="preserve"> </w:t>
      </w:r>
      <w:fldSimple w:instr="NOTEREF _Ref_Footnote_61 \h \f">
        <w:r>
          <w:rPr>
            <w:vertAlign w:val="superscript"/>
          </w:rPr>
          <w:t>61</w:t>
        </w:r>
      </w:fldSimple>
      <w:r>
        <w:t xml:space="preserve">.</w:t>
      </w:r>
    </w:p>
    <w:bookmarkEnd w:id="107"/>
    <w:bookmarkEnd w:id="108"/>
    <w:bookmarkStart w:id="113" w:name="medium-term-content-3-6-months"/>
    <w:p>
      <w:pPr>
        <w:pStyle w:val="Heading3"/>
      </w:pPr>
      <w:r>
        <w:t xml:space="preserve">5.2 Medium-Term Content (3-6 Months)</w:t>
      </w:r>
    </w:p>
    <w:p>
      <w:pPr>
        <w:pStyle w:val="FirstParagraph"/>
      </w:pPr>
      <w:r>
        <w:t xml:space="preserve">These four content investments require more substantial research and development but address the highest-value gaps in SCITI’s content ecosystem. Each positions SCITI as a thought leader in a specific smart city domain.</w:t>
      </w:r>
    </w:p>
    <w:bookmarkStart w:id="109" w:name="Xeb21f4c099a036d2150c7af281f0a256173cd73"/>
    <w:p>
      <w:pPr>
        <w:pStyle w:val="Heading4"/>
      </w:pPr>
      <w:r>
        <w:t xml:space="preserve">5.2.1</w:t>
      </w:r>
      <w:r>
        <w:t xml:space="preserve"> </w:t>
      </w:r>
      <w:r>
        <w:t xml:space="preserve">“</w:t>
      </w:r>
      <w:r>
        <w:t xml:space="preserve">Digital Twin Playbook</w:t>
      </w:r>
      <w:r>
        <w:t xml:space="preserve">”</w:t>
      </w:r>
      <w:r>
        <w:t xml:space="preserve"> </w:t>
      </w:r>
      <w:r>
        <w:t xml:space="preserve">— Fastest-Growing Smart City Tech</w:t>
      </w:r>
    </w:p>
    <w:p>
      <w:pPr>
        <w:pStyle w:val="FirstParagraph"/>
      </w:pPr>
      <w:r>
        <w:t xml:space="preserve">Digital twins represent the fastest-growing segment of smart city technology investment globally. Singapore’s Virtual Singapore provides fully deployed 3D models with real-time data for urban planning and disaster management</w:t>
      </w:r>
      <w:r>
        <w:t xml:space="preserve"> </w:t>
      </w:r>
      <w:fldSimple w:instr="NOTEREF _Ref_Footnote_72 \h \f">
        <w:r>
          <w:rPr>
            <w:vertAlign w:val="superscript"/>
          </w:rPr>
          <w:t>72</w:t>
        </w:r>
      </w:fldSimple>
      <w:r>
        <w:t xml:space="preserve">. Seoul’s Digital Twin Platform is actively expanding to 4D (adding the time dimension)</w:t>
      </w:r>
      <w:r>
        <w:t xml:space="preserve"> </w:t>
      </w:r>
      <w:fldSimple w:instr="NOTEREF _Ref_Footnote_72 \h \f">
        <w:r>
          <w:rPr>
            <w:vertAlign w:val="superscript"/>
          </w:rPr>
          <w:t>72</w:t>
        </w:r>
      </w:fldSimple>
      <w:r>
        <w:t xml:space="preserve">. Barcelona integrates real-time data from sensors and urban management systems through the VCity project with the Barcelona Supercomputing Center</w:t>
      </w:r>
      <w:r>
        <w:t xml:space="preserve"> </w:t>
      </w:r>
      <w:fldSimple w:instr="NOTEREF _Ref_Footnote_72 \h \f">
        <w:r>
          <w:rPr>
            <w:vertAlign w:val="superscript"/>
          </w:rPr>
          <w:t>72</w:t>
        </w:r>
      </w:fldSimple>
      <w:r>
        <w:t xml:space="preserve">. The Singapore-Nanjing Eco Hi-Tech Island provides the most detailed documented case study, with a five-component technical architecture and four maturity tiers</w:t>
      </w:r>
      <w:r>
        <w:t xml:space="preserve"> </w:t>
      </w:r>
      <w:fldSimple w:instr="NOTEREF _Ref_Footnote_9 \h \f">
        <w:r>
          <w:rPr>
            <w:vertAlign w:val="superscript"/>
          </w:rPr>
          <w:t>9</w:t>
        </w:r>
      </w:fldSimple>
      <w:r>
        <w:t xml:space="preserve">.</w:t>
      </w:r>
    </w:p>
    <w:p>
      <w:pPr>
        <w:pStyle w:val="BodyText"/>
      </w:pPr>
      <w:r>
        <w:t xml:space="preserve">SCITI’s Digital Twin Playbook should structure content around the four maturity tiers identified in the Singapore-Nanjing framework: (1) Status — data collection and visualization; (2) Operational — real-time monitoring; (3) Simulation — what-if scenario modeling; (4) Autonomous — automated decision-making</w:t>
      </w:r>
      <w:r>
        <w:t xml:space="preserve"> </w:t>
      </w:r>
      <w:fldSimple w:instr="NOTEREF _Ref_Footnote_9 \h \f">
        <w:r>
          <w:rPr>
            <w:vertAlign w:val="superscript"/>
          </w:rPr>
          <w:t>9</w:t>
        </w:r>
      </w:fldSimple>
      <w:r>
        <w:t xml:space="preserve">. For each tier, the playbook should provide: the technology stack required, estimated budget ranges, staffing needs, data architecture guidance, and case studies of cities at that maturity level. The playbook should include scenario templates specifying demand-side signals, supply-side capacities, analytics/model functions, and decision outputs — the reusable framework element that makes this transferable to any city</w:t>
      </w:r>
      <w:r>
        <w:t xml:space="preserve"> </w:t>
      </w:r>
      <w:fldSimple w:instr="NOTEREF _Ref_Footnote_9 \h \f">
        <w:r>
          <w:rPr>
            <w:vertAlign w:val="superscript"/>
          </w:rPr>
          <w:t>9</w:t>
        </w:r>
      </w:fldSimple>
      <w:r>
        <w:t xml:space="preserve">. For Thai cities, the playbook should address specific use cases: flood modeling for Bangkok and Ayutthaya, traffic optimization for Chiang Mai and Khon Kaen, and energy grid management for industrial zones in the Eastern Economic Corridor.</w:t>
      </w:r>
    </w:p>
    <w:bookmarkEnd w:id="109"/>
    <w:bookmarkStart w:id="110" w:name="X27b6bb0ff8b90a528c8de524c2e9b6322c18361"/>
    <w:p>
      <w:pPr>
        <w:pStyle w:val="Heading4"/>
      </w:pPr>
      <w:r>
        <w:t xml:space="preserve">5.2.2</w:t>
      </w:r>
      <w:r>
        <w:t xml:space="preserve"> </w:t>
      </w:r>
      <w:r>
        <w:t xml:space="preserve">“</w:t>
      </w:r>
      <w:r>
        <w:t xml:space="preserve">Climate Adaptation Toolkit</w:t>
      </w:r>
      <w:r>
        <w:t xml:space="preserve">”</w:t>
      </w:r>
      <w:r>
        <w:t xml:space="preserve"> </w:t>
      </w:r>
      <w:r>
        <w:t xml:space="preserve">— Floods, Heat, PM2.5 for Thai Cities</w:t>
      </w:r>
    </w:p>
    <w:p>
      <w:pPr>
        <w:pStyle w:val="FirstParagraph"/>
      </w:pPr>
      <w:r>
        <w:t xml:space="preserve">Climate adaptation is the #1 priority for the majority of cities globally, and Thai cities face specific, acute risks: seasonal flooding (Bangkok, Ayutthaya, Nakhon Sawan), extreme heat (all 118 municipalities), and PM2.5 air pollution (Chiang Mai, Bangkok, Khon Kaen during burning season). The C40-GPSC Climate Adaptation Toolkit provides the most comprehensive model, with three chapters covering climate change impacts on cities, urban planning policies for adaptation, and integration workshop facilitation</w:t>
      </w:r>
      <w:r>
        <w:t xml:space="preserve"> </w:t>
      </w:r>
      <w:fldSimple w:instr="NOTEREF _Ref_Footnote_10 \h \f">
        <w:r>
          <w:rPr>
            <w:vertAlign w:val="superscript"/>
          </w:rPr>
          <w:t>10</w:t>
        </w:r>
      </w:fldSimple>
      <w:r>
        <w:t xml:space="preserve">. It includes nine detailed case studies: Copenhagen Cloudburst Management Plan, Vancouver Coastal Flood Risk Assessment, Cape Town Coastal Management Line, Vancouver Northeast False Creek, Washington DC Green Area Ratio, London Greening BIDs, NYC Building Guidelines for Flood Resistance, Rotterdam Benthemplein Water Square, and Singapore Bishan-Ang Mo Kio Park</w:t>
      </w:r>
      <w:r>
        <w:t xml:space="preserve"> </w:t>
      </w:r>
      <w:fldSimple w:instr="NOTEREF _Ref_Footnote_10 \h \f">
        <w:r>
          <w:rPr>
            <w:vertAlign w:val="superscript"/>
          </w:rPr>
          <w:t>10</w:t>
        </w:r>
      </w:fldSimple>
      <w:r>
        <w:t xml:space="preserve">.</w:t>
      </w:r>
    </w:p>
    <w:p>
      <w:pPr>
        <w:pStyle w:val="BodyText"/>
      </w:pPr>
      <w:r>
        <w:t xml:space="preserve">SCITI’s toolkit should adapt the C40 framework to Thailand’s specific hazard profile. For flooding, it should incorporate the CDP resilience framework’s five indicators (redundancy, flexibility, responsiveness, GHG emission reduction, and access to information)</w:t>
      </w:r>
      <w:r>
        <w:t xml:space="preserve"> </w:t>
      </w:r>
      <w:r>
        <w:rPr>
          <w:vertAlign w:val="superscript"/>
        </w:rPr>
        <w:footnoteReference w:id="73"/>
      </w:r>
      <w:r>
        <w:t xml:space="preserve">and the three-step intervention strategy: identification of vulnerable areas, prioritization against resilience indicators, and integration with existing city plans</w:t>
      </w:r>
      <w:r>
        <w:t xml:space="preserve"> </w:t>
      </w:r>
      <w:fldSimple w:instr="NOTEREF _Ref_Footnote_73 \h \f">
        <w:r>
          <w:rPr>
            <w:vertAlign w:val="superscript"/>
          </w:rPr>
          <w:t>73</w:t>
        </w:r>
      </w:fldSimple>
      <w:r>
        <w:t xml:space="preserve">. The toolkit should emphasize nature-based solutions, which CDP research shows are 2-5 times more cost-effective than business-as-usual technical solutions</w:t>
      </w:r>
      <w:r>
        <w:t xml:space="preserve"> </w:t>
      </w:r>
      <w:fldSimple w:instr="NOTEREF _Ref_Footnote_73 \h \f">
        <w:r>
          <w:rPr>
            <w:vertAlign w:val="superscript"/>
          </w:rPr>
          <w:t>73</w:t>
        </w:r>
      </w:fldSimple>
      <w:r>
        <w:t xml:space="preserve">. For PM2.5, it should include real-time monitoring integration, emission source mapping, and community health alert protocols. For heat, it should cover urban greening strategies, cool roof programs, and heat action plans. Each module should include a workshop planning guide following the C40-GPSC integration workshop format</w:t>
      </w:r>
      <w:r>
        <w:t xml:space="preserve"> </w:t>
      </w:r>
      <w:fldSimple w:instr="NOTEREF _Ref_Footnote_10 \h \f">
        <w:r>
          <w:rPr>
            <w:vertAlign w:val="superscript"/>
          </w:rPr>
          <w:t>10</w:t>
        </w:r>
      </w:fldSimple>
      <w:r>
        <w:t xml:space="preserve">.</w:t>
      </w:r>
    </w:p>
    <w:bookmarkEnd w:id="110"/>
    <w:bookmarkStart w:id="111" w:name="Xd859f5f3e11d508b04923227d91047013ba8449"/>
    <w:p>
      <w:pPr>
        <w:pStyle w:val="Heading4"/>
      </w:pPr>
      <w:r>
        <w:t xml:space="preserve">5.2.3</w:t>
      </w:r>
      <w:r>
        <w:t xml:space="preserve"> </w:t>
      </w:r>
      <w:r>
        <w:t xml:space="preserve">“</w:t>
      </w:r>
      <w:r>
        <w:t xml:space="preserve">Citizen Engagement Platform Comparison</w:t>
      </w:r>
      <w:r>
        <w:t xml:space="preserve">”</w:t>
      </w:r>
      <w:r>
        <w:t xml:space="preserve"> </w:t>
      </w:r>
      <w:r>
        <w:t xml:space="preserve">— 30+ Platforms Evaluated</w:t>
      </w:r>
    </w:p>
    <w:p>
      <w:pPr>
        <w:pStyle w:val="FirstParagraph"/>
      </w:pPr>
      <w:r>
        <w:t xml:space="preserve">Digital citizen engagement platforms are essential infrastructure for smart cities, yet most municipalities have no systematic way to evaluate options. Scotland’s Civic Tech Market Research evaluated 30+ platforms on features, cost, and usability — a model SCITI should replicate for Thai and Southeast Asian city contexts</w:t>
      </w:r>
      <w:r>
        <w:t xml:space="preserve"> </w:t>
      </w:r>
      <w:fldSimple w:instr="NOTEREF _Ref_Footnote_6 \h \f">
        <w:r>
          <w:rPr>
            <w:vertAlign w:val="superscript"/>
          </w:rPr>
          <w:t>6</w:t>
        </w:r>
      </w:fldSimple>
      <w:r>
        <w:t xml:space="preserve">. The leading platforms include: Decidim (open source, used by Barcelona, Helsinki, NYC, Mexico City, the European Commission — hundreds of instances globally, supports proposals, debates, voting, participatory budgeting, and citizens’ assemblies)</w:t>
      </w:r>
      <w:r>
        <w:t xml:space="preserve"> </w:t>
      </w:r>
      <w:r>
        <w:rPr>
          <w:vertAlign w:val="superscript"/>
        </w:rPr>
        <w:footnoteReference w:id="74"/>
      </w:r>
      <w:r>
        <w:t xml:space="preserve">; CONSUL (open source, 100+ institutions in 35 countries, originally developed by Madrid); CitizenLab (now Go Vocal, commercial, 300+ governments, AI-powered analysis); Your Priorities (open source, AI features, gamification); and Pol.is (open source, ML-powered opinion gathering)</w:t>
      </w:r>
      <w:r>
        <w:t xml:space="preserve"> </w:t>
      </w:r>
      <w:fldSimple w:instr="NOTEREF _Ref_Footnote_6 \h \f">
        <w:r>
          <w:rPr>
            <w:vertAlign w:val="superscript"/>
          </w:rPr>
          <w:t>6</w:t>
        </w:r>
      </w:fldSimple>
      <w:r>
        <w:t xml:space="preserve">.</w:t>
      </w:r>
    </w:p>
    <w:p>
      <w:pPr>
        <w:pStyle w:val="BodyText"/>
      </w:pPr>
      <w:r>
        <w:t xml:space="preserve">SCITI’s comparison should evaluate platforms across: feature set (proposals, debates, voting, participatory budgeting, citizens’ assemblies), language support (Thai language support is critical), open source vs. commercial licensing, integration capabilities (with existing municipal systems), cost structure, accessibility compliance, and mobile responsiveness. The guide should include a decision tree to help cities select the appropriate platform based on their size, budget, technical capacity, and engagement goals. It should also incorporate the UNDP’s finding that</w:t>
      </w:r>
      <w:r>
        <w:t xml:space="preserve"> </w:t>
      </w:r>
      <w:r>
        <w:t xml:space="preserve">“</w:t>
      </w:r>
      <w:r>
        <w:t xml:space="preserve">strong civic tech sustains participation by completing the cycle of listening, acting, and reporting back</w:t>
      </w:r>
      <w:r>
        <w:t xml:space="preserve">”</w:t>
      </w:r>
      <w:r>
        <w:t xml:space="preserve"> </w:t>
      </w:r>
      <w:fldSimple w:instr="NOTEREF _Ref_Footnote_23 \h \f">
        <w:r>
          <w:rPr>
            <w:vertAlign w:val="superscript"/>
          </w:rPr>
          <w:t>23</w:t>
        </w:r>
      </w:fldSimple>
      <w:r>
        <w:t xml:space="preserve">— meaning the guide must address not just platform selection but the governance processes required to close the feedback loop. The Amsterdam</w:t>
      </w:r>
      <w:r>
        <w:t xml:space="preserve"> </w:t>
      </w:r>
      <w:r>
        <w:t xml:space="preserve">“</w:t>
      </w:r>
      <w:r>
        <w:t xml:space="preserve">Tada</w:t>
      </w:r>
      <w:r>
        <w:t xml:space="preserve">”</w:t>
      </w:r>
      <w:r>
        <w:t xml:space="preserve"> </w:t>
      </w:r>
      <w:r>
        <w:t xml:space="preserve">Manifesto provides a six-principle framework for digital governance (inclusivity, control, tailored to the people, legitimate and monitored, open and transparent, from everyone-for everyone) that should accompany the platform comparison</w:t>
      </w:r>
      <w:r>
        <w:t xml:space="preserve"> </w:t>
      </w:r>
      <w:fldSimple w:instr="NOTEREF _Ref_Footnote_30 \h \f">
        <w:r>
          <w:rPr>
            <w:vertAlign w:val="superscript"/>
          </w:rPr>
          <w:t>30</w:t>
        </w:r>
      </w:fldSimple>
      <w:r>
        <w:t xml:space="preserve">.</w:t>
      </w:r>
    </w:p>
    <w:bookmarkEnd w:id="111"/>
    <w:bookmarkStart w:id="112" w:name="X63d4a5e6bf5dccb7fbfb35cf915e23e49e0a357"/>
    <w:p>
      <w:pPr>
        <w:pStyle w:val="Heading4"/>
      </w:pPr>
      <w:r>
        <w:t xml:space="preserve">5.2.4</w:t>
      </w:r>
      <w:r>
        <w:t xml:space="preserve"> </w:t>
      </w:r>
      <w:r>
        <w:t xml:space="preserve">“</w:t>
      </w:r>
      <w:r>
        <w:t xml:space="preserve">Data Governance Templates</w:t>
      </w:r>
      <w:r>
        <w:t xml:space="preserve">”</w:t>
      </w:r>
      <w:r>
        <w:t xml:space="preserve"> </w:t>
      </w:r>
      <w:r>
        <w:t xml:space="preserve">— Open Data Policies, PDPA-Compliant Sharing</w:t>
      </w:r>
    </w:p>
    <w:p>
      <w:pPr>
        <w:pStyle w:val="FirstParagraph"/>
      </w:pPr>
      <w:r>
        <w:t xml:space="preserve">Data governance is the critical barrier that prevents most smart city projects from scaling. Without clear policies on data ownership, sharing, privacy, and interoperability, pilot projects remain isolated and cannot integrate into city-wide platforms. SCITI should provide templates adapted from three leading frameworks: New York City’s IoT Strategy and Guidelines, which detail five specific guidelines covering privacy and transparency, data management, infrastructure, security, and operations plus sustainability</w:t>
      </w:r>
      <w:r>
        <w:t xml:space="preserve"> </w:t>
      </w:r>
      <w:fldSimple w:instr="NOTEREF _Ref_Footnote_30 \h \f">
        <w:r>
          <w:rPr>
            <w:vertAlign w:val="superscript"/>
          </w:rPr>
          <w:t>30</w:t>
        </w:r>
      </w:fldSimple>
      <w:r>
        <w:t xml:space="preserve">; India’s City Data Policy Reference Guide, which provides a comprehensive framework including data classification (tagging datasets by shareability level: open, licensed, internal, protected), data flow/approval frameworks with timestamping and versioning, and Chief Data Officer governance structures</w:t>
      </w:r>
      <w:r>
        <w:t xml:space="preserve"> </w:t>
      </w:r>
      <w:fldSimple w:instr="NOTEREF _Ref_Footnote_63 \h \f">
        <w:r>
          <w:rPr>
            <w:vertAlign w:val="superscript"/>
          </w:rPr>
          <w:t>63</w:t>
        </w:r>
      </w:fldSimple>
      <w:r>
        <w:t xml:space="preserve">; and the G20 Alliance’s Model Policy on Open Data, which covers principles for data openness, standards for data formats, privacy protection requirements, accountability mechanisms, and technical infrastructure guidance</w:t>
      </w:r>
      <w:r>
        <w:t xml:space="preserve"> </w:t>
      </w:r>
      <w:r>
        <w:rPr>
          <w:vertAlign w:val="superscript"/>
        </w:rPr>
        <w:footnoteReference w:id="75"/>
      </w:r>
      <w:r>
        <w:t xml:space="preserve">.</w:t>
      </w:r>
    </w:p>
    <w:p>
      <w:pPr>
        <w:pStyle w:val="BodyText"/>
      </w:pPr>
      <w:r>
        <w:t xml:space="preserve">For Thailand, these templates must be adapted to comply with the Personal Data Protection Act (PDPA) B.E. 2562. The templates should include: a City Data Policy template (based on India’s CDP framework</w:t>
      </w:r>
      <w:r>
        <w:t xml:space="preserve"> </w:t>
      </w:r>
      <w:fldSimple w:instr="NOTEREF _Ref_Footnote_63 \h \f">
        <w:r>
          <w:rPr>
            <w:vertAlign w:val="superscript"/>
          </w:rPr>
          <w:t>63</w:t>
        </w:r>
      </w:fldSimple>
      <w:r>
        <w:t xml:space="preserve">) that municipalities can customize; a Data Classification Matrix with PDPA-aligned categories (general personal data, sensitive personal data, non-personal data); a Data Sharing Agreement template for inter-agency and public-private data exchange; an Open Data Policy template that specifies which datasets should be proactively published; and a Privacy Impact Assessment checklist for smart city projects (drawing on Smart Columbus’s 10 data stewardship principles</w:t>
      </w:r>
      <w:r>
        <w:t xml:space="preserve"> </w:t>
      </w:r>
      <w:fldSimple w:instr="NOTEREF _Ref_Footnote_30 \h \f">
        <w:r>
          <w:rPr>
            <w:vertAlign w:val="superscript"/>
          </w:rPr>
          <w:t>30</w:t>
        </w:r>
      </w:fldSimple>
      <w:r>
        <w:t xml:space="preserve">). Each template should include annotations explaining the PDPA requirements and how the template addresses them.</w:t>
      </w:r>
    </w:p>
    <w:bookmarkEnd w:id="112"/>
    <w:bookmarkEnd w:id="113"/>
    <w:bookmarkStart w:id="118" w:name="community-network-features"/>
    <w:p>
      <w:pPr>
        <w:pStyle w:val="Heading3"/>
      </w:pPr>
      <w:r>
        <w:t xml:space="preserve">5.3 Community &amp; Network Features</w:t>
      </w:r>
    </w:p>
    <w:p>
      <w:pPr>
        <w:pStyle w:val="FirstParagraph"/>
      </w:pPr>
      <w:r>
        <w:t xml:space="preserve">A content bible is not static — it is a living ecosystem sustained by a community of practice. These four features transform SCITI from a publication into a platform.</w:t>
      </w:r>
    </w:p>
    <w:bookmarkStart w:id="114" w:name="X3b96ee14dcaba6a7d64b04d881c802240470cd9"/>
    <w:p>
      <w:pPr>
        <w:pStyle w:val="Heading4"/>
      </w:pPr>
      <w:r>
        <w:t xml:space="preserve">5.3.1 City Official Training Programs (Copenhagenize Master Class Model)</w:t>
      </w:r>
    </w:p>
    <w:p>
      <w:pPr>
        <w:pStyle w:val="FirstParagraph"/>
      </w:pPr>
      <w:r>
        <w:t xml:space="preserve">The Copenhagenize Design Company built global influence not just through research and rankings but through immersive master classes that train city officials in bicycle-friendly urban design. Their model — intensive, hands-on training with real site visits and practical implementation planning — creates a network of alumni who become advocates and repeat customers. SCITI should develop a</w:t>
      </w:r>
      <w:r>
        <w:t xml:space="preserve"> </w:t>
      </w:r>
      <w:r>
        <w:t xml:space="preserve">“</w:t>
      </w:r>
      <w:r>
        <w:t xml:space="preserve">Smart City Implementation Master Class</w:t>
      </w:r>
      <w:r>
        <w:t xml:space="preserve">”</w:t>
      </w:r>
      <w:r>
        <w:t xml:space="preserve"> </w:t>
      </w:r>
      <w:r>
        <w:t xml:space="preserve">series, delivered both in-person (rotating across Thailand’s five regions) and virtually.</w:t>
      </w:r>
    </w:p>
    <w:p>
      <w:pPr>
        <w:pStyle w:val="BodyText"/>
      </w:pPr>
      <w:r>
        <w:t xml:space="preserve">The curriculum should follow the UN-Habitat 5-phase methodology</w:t>
      </w:r>
      <w:r>
        <w:t xml:space="preserve"> </w:t>
      </w:r>
      <w:fldSimple w:instr="NOTEREF _Ref_Footnote_60 \h \f">
        <w:r>
          <w:rPr>
            <w:vertAlign w:val="superscript"/>
          </w:rPr>
          <w:t>60</w:t>
        </w:r>
      </w:fldSimple>
      <w:r>
        <w:t xml:space="preserve">and the iFactory 4-phase roadmap</w:t>
      </w:r>
      <w:r>
        <w:t xml:space="preserve"> </w:t>
      </w:r>
      <w:fldSimple w:instr="NOTEREF _Ref_Footnote_27 \h \f">
        <w:r>
          <w:rPr>
            <w:vertAlign w:val="superscript"/>
          </w:rPr>
          <w:t>27</w:t>
        </w:r>
      </w:fldSimple>
      <w:r>
        <w:t xml:space="preserve">, adapted for Thai municipal contexts. Each master class should be 2-3 days and include: a readiness assessment using SCITI’s self-assessment tool, hands-on workshops on financing (green bonds, PPP structuring), site visits to functioning smart city implementations in Thailand, and peer learning sessions where officials from different municipalities share challenges and solutions. The key metric: trained officials who return to their municipalities with actionable implementation plans. The G20 Global Smart Cities Alliance’s Pioneer City network model</w:t>
      </w:r>
      <w:r>
        <w:t xml:space="preserve"> </w:t>
      </w:r>
      <w:fldSimple w:instr="NOTEREF _Ref_Footnote_75 \h \f">
        <w:r>
          <w:rPr>
            <w:vertAlign w:val="superscript"/>
          </w:rPr>
          <w:t>75</w:t>
        </w:r>
      </w:fldSimple>
      <w:r>
        <w:t xml:space="preserve">provides a framework for creating a formal alumni network that sustains engagement beyond the training event.</w:t>
      </w:r>
    </w:p>
    <w:bookmarkEnd w:id="114"/>
    <w:bookmarkStart w:id="115" w:name="X594b42b16807544794539c56bf5a8dc9832a941"/>
    <w:p>
      <w:pPr>
        <w:pStyle w:val="Heading4"/>
      </w:pPr>
      <w:r>
        <w:t xml:space="preserve">5.3.2 International City Twinning/Matching Platform</w:t>
      </w:r>
    </w:p>
    <w:p>
      <w:pPr>
        <w:pStyle w:val="FirstParagraph"/>
      </w:pPr>
      <w:r>
        <w:t xml:space="preserve">City twinning accelerates learning by matching municipalities with similar characteristics and complementary strengths. SCITI should build a matching platform that pairs Thai cities with international peers based on: population size, primary smart city challenges (flooding, traffic, air quality, etc.), current maturity level, sectoral priorities (mobility, energy, governance, etc.), and language preferences.</w:t>
      </w:r>
    </w:p>
    <w:p>
      <w:pPr>
        <w:pStyle w:val="BodyText"/>
      </w:pPr>
      <w:r>
        <w:t xml:space="preserve">The platform should enable: structured matching with compatibility scoring, virtual meeting scheduling, document sharing for collaboration, and progress tracking for twinning partnerships. For example, Bangkok could twin with Copenhagen on cloudburst management (both face severe flooding challenges), Chiang Mai with Vancouver on air quality management, and Phuket with Barcelona on tourism-resident balance in smart city planning. Each twinning relationship should have a formal 12-month collaboration plan with quarterly milestones. The model to follow is the G20 Alliance’s Pioneer City network, which created structured peer-to-peer learning across 36 cities</w:t>
      </w:r>
      <w:r>
        <w:t xml:space="preserve"> </w:t>
      </w:r>
      <w:fldSimple w:instr="NOTEREF _Ref_Footnote_75 \h \f">
        <w:r>
          <w:rPr>
            <w:vertAlign w:val="superscript"/>
          </w:rPr>
          <w:t>75</w:t>
        </w:r>
      </w:fldSimple>
      <w:r>
        <w:t xml:space="preserve">.</w:t>
      </w:r>
    </w:p>
    <w:bookmarkEnd w:id="115"/>
    <w:bookmarkStart w:id="116" w:name="X1ea08b98a26b44e2c7fdc286691238e7c4ce6a8"/>
    <w:p>
      <w:pPr>
        <w:pStyle w:val="Heading4"/>
      </w:pPr>
      <w:r>
        <w:t xml:space="preserve">5.3.3 Expert Directory: Consultants, Vendors, Academic Partners</w:t>
      </w:r>
    </w:p>
    <w:p>
      <w:pPr>
        <w:pStyle w:val="FirstParagraph"/>
      </w:pPr>
      <w:r>
        <w:t xml:space="preserve">Municipalities consistently report that finding qualified smart city consultants and vendors is a major barrier. SCITI should maintain a curated expert directory categorized by: domain expertise (mobility, energy, digital infrastructure, data analytics, climate adaptation), engagement type (strategy consulting, implementation, training, research), geographic coverage (Thailand-specific, ASEAN, global), and verified credentials (past projects, client references, certifications).</w:t>
      </w:r>
    </w:p>
    <w:p>
      <w:pPr>
        <w:pStyle w:val="BodyText"/>
      </w:pPr>
      <w:r>
        <w:t xml:space="preserve">The directory should include: academic partners (Thammasat, Chulalongkorn, KMUTT, Mahidol for smart city research), international consultants with Thai experience, technology vendors with proven municipal deployments, and financing advisors with green bond and PPP structuring expertise. Each listing should include past project examples, client testimonials, and contact information. The directory should be regularly updated and include a rating/feedback mechanism from municipalities that have engaged listed experts. This directly addresses the European Commission best practice of including named contacts with emails in case studies</w:t>
      </w:r>
      <w:r>
        <w:t xml:space="preserve"> </w:t>
      </w:r>
      <w:fldSimple w:instr="NOTEREF _Ref_Footnote_34 \h \f">
        <w:r>
          <w:rPr>
            <w:vertAlign w:val="superscript"/>
          </w:rPr>
          <w:t>34</w:t>
        </w:r>
      </w:fldSimple>
      <w:r>
        <w:t xml:space="preserve">— extending it from individual case studies to a searchable network.</w:t>
      </w:r>
    </w:p>
    <w:bookmarkEnd w:id="116"/>
    <w:bookmarkStart w:id="117" w:name="Xbf7fa3e4ef66d0a6e46bc384716c45efb9f61e6"/>
    <w:p>
      <w:pPr>
        <w:pStyle w:val="Heading4"/>
      </w:pPr>
      <w:r>
        <w:t xml:space="preserve">5.3.4 Event Calendar: Smart City Summits, Workshops, Hackathons</w:t>
      </w:r>
    </w:p>
    <w:p>
      <w:pPr>
        <w:pStyle w:val="FirstParagraph"/>
      </w:pPr>
      <w:r>
        <w:t xml:space="preserve">A centralized event calendar serves multiple functions: it positions SCITI as the hub for smart city activity in Thailand, drives repeat visits, and creates opportunities for SCITI-hosted events. The calendar should include: international summits (Smart City Expo World Congress, World Economic Forum urban sessions, ASEAN Smart City Network meetings), regional events (ADB urban development forums, UN-Habitat Asia-Pacific events), Thai national events (Digital Thailand conferences, BOI investment roadshows, TICA municipal association meetings), and local events (city-specific hackathons, university research presentations, vendor demonstrations).</w:t>
      </w:r>
    </w:p>
    <w:p>
      <w:pPr>
        <w:pStyle w:val="BodyText"/>
      </w:pPr>
      <w:r>
        <w:t xml:space="preserve">SCITI should host its own quarterly webinar series featuring: city officials presenting implementation case studies, international experts discussing global best practices, vendor showcases for emerging technologies, and financing workshops with live Q&amp;A. Each webinar should be recorded, transcribed, and archived as a searchable resource. The event calendar should integrate with Google Calendar and Outlook, offer email subscription for specific event categories, and include an RSVP mechanism for capacity-limited events.</w:t>
      </w:r>
    </w:p>
    <w:bookmarkEnd w:id="117"/>
    <w:bookmarkEnd w:id="118"/>
    <w:bookmarkStart w:id="123" w:name="award-winning-design-upgrades"/>
    <w:p>
      <w:pPr>
        <w:pStyle w:val="Heading3"/>
      </w:pPr>
      <w:r>
        <w:t xml:space="preserve">5.4 Award-Winning Design Upgrades</w:t>
      </w:r>
    </w:p>
    <w:p>
      <w:pPr>
        <w:pStyle w:val="FirstParagraph"/>
      </w:pPr>
      <w:r>
        <w:t xml:space="preserve">Content alone is insufficient. How that content is presented determines whether users engage, share, and return. These four design upgrades draw directly from award-winning patterns to transform SCITI from a reference tool into a destination site.</w:t>
      </w:r>
    </w:p>
    <w:bookmarkStart w:id="119" w:name="X07638a710668981b035322c6081e1cf02af2f46"/>
    <w:p>
      <w:pPr>
        <w:pStyle w:val="Heading4"/>
      </w:pPr>
      <w:r>
        <w:t xml:space="preserve">5.4.1 Interactive Mapbox/Leaflet Map with All 118 Cities</w:t>
      </w:r>
    </w:p>
    <w:p>
      <w:pPr>
        <w:pStyle w:val="FirstParagraph"/>
      </w:pPr>
      <w:r>
        <w:t xml:space="preserve">Research analyzing 116 smart city open data portals found that most lack personalization features, comparison tools, and visual storytelling</w:t>
      </w:r>
      <w:r>
        <w:t xml:space="preserve"> </w:t>
      </w:r>
      <w:fldSimple w:instr="NOTEREF _Ref_Footnote_44 \h \f">
        <w:r>
          <w:rPr>
            <w:vertAlign w:val="superscript"/>
          </w:rPr>
          <w:t>44</w:t>
        </w:r>
      </w:fldSimple>
      <w:r>
        <w:t xml:space="preserve">. An interactive map directly addresses these gaps. The Pudding’s</w:t>
      </w:r>
      <w:r>
        <w:t xml:space="preserve"> </w:t>
      </w:r>
      <w:r>
        <w:t xml:space="preserve">“</w:t>
      </w:r>
      <w:r>
        <w:t xml:space="preserve">Human Terrain</w:t>
      </w:r>
      <w:r>
        <w:t xml:space="preserve">”</w:t>
      </w:r>
      <w:r>
        <w:t xml:space="preserve"> </w:t>
      </w:r>
      <w:r>
        <w:t xml:space="preserve">project used Mapbox vector tiles to render hundreds of gigabytes of population data without loading it all into the browser — the same tile-based approach should render all 118 Thai smart cities with their multi-dimensional data</w:t>
      </w:r>
      <w:r>
        <w:t xml:space="preserve"> </w:t>
      </w:r>
      <w:r>
        <w:rPr>
          <w:vertAlign w:val="superscript"/>
        </w:rPr>
        <w:footnoteReference w:id="76"/>
      </w:r>
      <w:r>
        <w:t xml:space="preserve">. Mapbox’s built-in collision detection shows and hides labels based on zoom level and importance, keeping the map readable at all scales</w:t>
      </w:r>
      <w:r>
        <w:t xml:space="preserve"> </w:t>
      </w:r>
      <w:fldSimple w:instr="NOTEREF _Ref_Footnote_76 \h \f">
        <w:r>
          <w:rPr>
            <w:vertAlign w:val="superscript"/>
          </w:rPr>
          <w:t>76</w:t>
        </w:r>
      </w:fldSimple>
      <w:r>
        <w:t xml:space="preserve">.</w:t>
      </w:r>
    </w:p>
    <w:p>
      <w:pPr>
        <w:pStyle w:val="BodyText"/>
      </w:pPr>
      <w:r>
        <w:t xml:space="preserve">The map should display: city locations color-coded by smart city maturity tier, hover-to-explore tooltips showing key metrics (population, primary focus areas, latest score), click-to-drill-down navigation to full city profiles, filter layers by focus area (mobility, energy, governance, environment, economy), and time-slider animation showing city development over time. CLEVER°FRANKE’s Chicago Mobility Data Visualization — which won 2,500+ Behance appreciations and 73,000+ views — demonstrates the engagement potential of zoomable maps with time-lapse data visualizations</w:t>
      </w:r>
      <w:r>
        <w:t xml:space="preserve"> </w:t>
      </w:r>
      <w:fldSimple w:instr="NOTEREF _Ref_Footnote_64 \h \f">
        <w:r>
          <w:rPr>
            <w:vertAlign w:val="superscript"/>
          </w:rPr>
          <w:t>64</w:t>
        </w:r>
      </w:fldSimple>
      <w:r>
        <w:t xml:space="preserve">. The IMD Smart City Index uses interactive visualizations with attitude surveys, structural indicators, and technology ratings displayed across multiple dimensions</w:t>
      </w:r>
      <w:r>
        <w:t xml:space="preserve"> </w:t>
      </w:r>
      <w:fldSimple w:instr="NOTEREF _Ref_Footnote_69 \h \f">
        <w:r>
          <w:rPr>
            <w:vertAlign w:val="superscript"/>
          </w:rPr>
          <w:t>69</w:t>
        </w:r>
      </w:fldSimple>
      <w:r>
        <w:t xml:space="preserve">— a pattern SCITI should emulate.</w:t>
      </w:r>
    </w:p>
    <w:bookmarkEnd w:id="119"/>
    <w:bookmarkStart w:id="120" w:name="X301d4778ede20fe791c1b6046fc6f0fea5713a2"/>
    <w:p>
      <w:pPr>
        <w:pStyle w:val="Heading4"/>
      </w:pPr>
      <w:r>
        <w:t xml:space="preserve">5.4.2 Schema.org Dataset Markup for Google Dataset Search</w:t>
      </w:r>
    </w:p>
    <w:p>
      <w:pPr>
        <w:pStyle w:val="FirstParagraph"/>
      </w:pPr>
      <w:r>
        <w:t xml:space="preserve">Schema.org Dataset markup is specifically designed for data repositories and index sites</w:t>
      </w:r>
      <w:r>
        <w:t xml:space="preserve"> </w:t>
      </w:r>
      <w:fldSimple w:instr="NOTEREF _Ref_Footnote_66 \h \f">
        <w:r>
          <w:rPr>
            <w:vertAlign w:val="superscript"/>
          </w:rPr>
          <w:t>66</w:t>
        </w:r>
      </w:fldSimple>
      <w:r>
        <w:t xml:space="preserve">. Implementing it enables SCITI’s data to appear in Google Dataset Search</w:t>
      </w:r>
      <w:r>
        <w:t xml:space="preserve"> </w:t>
      </w:r>
      <w:fldSimple w:instr="NOTEREF _Ref_Footnote_65 \h \f">
        <w:r>
          <w:rPr>
            <w:vertAlign w:val="superscript"/>
          </w:rPr>
          <w:t>65</w:t>
        </w:r>
      </w:fldSimple>
      <w:r>
        <w:t xml:space="preserve"> </w:t>
      </w:r>
      <w:r>
        <w:rPr>
          <w:vertAlign w:val="superscript"/>
        </w:rPr>
        <w:footnoteReference w:id="77"/>
      </w:r>
      <w:r>
        <w:t xml:space="preserve">, significantly expanding discoverability. The markup should use JSON-LD format (Google’s recommended implementation</w:t>
      </w:r>
      <w:r>
        <w:t xml:space="preserve"> </w:t>
      </w:r>
      <w:fldSimple w:instr="NOTEREF _Ref_Footnote_45 \h \f">
        <w:r>
          <w:rPr>
            <w:vertAlign w:val="superscript"/>
          </w:rPr>
          <w:t>45</w:t>
        </w:r>
      </w:fldSimple>
      <w:r>
        <w:t xml:space="preserve">) and include: dataset name, description, URL, creator organization, license, variableMeasured (the smart city dimensions SCITI tracks), spatialCoverage (geographic bounding box covering Thailand), and temporalCoverage (the year of the index)</w:t>
      </w:r>
      <w:r>
        <w:t xml:space="preserve"> </w:t>
      </w:r>
      <w:fldSimple w:instr="NOTEREF _Ref_Footnote_66 \h \f">
        <w:r>
          <w:rPr>
            <w:vertAlign w:val="superscript"/>
          </w:rPr>
          <w:t>66</w:t>
        </w:r>
      </w:fldSimple>
      <w:r>
        <w:t xml:space="preserve">.</w:t>
      </w:r>
    </w:p>
    <w:p>
      <w:pPr>
        <w:pStyle w:val="BodyText"/>
      </w:pPr>
      <w:r>
        <w:t xml:space="preserve">Beyond Dataset schema, SCITI should implement: FAQPage schema for methodology questions (yielding accordion results in SERP), Article schema for city profiles and reports (enabling rich snippets with images), Breadcrumb schema for site hierarchy, Organization schema for SCITI branding (enabling the knowledge panel), and HowTo schema for</w:t>
      </w:r>
      <w:r>
        <w:t xml:space="preserve"> </w:t>
      </w:r>
      <w:r>
        <w:t xml:space="preserve">“</w:t>
      </w:r>
      <w:r>
        <w:t xml:space="preserve">How to use the index</w:t>
      </w:r>
      <w:r>
        <w:t xml:space="preserve">”</w:t>
      </w:r>
      <w:r>
        <w:t xml:space="preserve"> </w:t>
      </w:r>
      <w:r>
        <w:t xml:space="preserve">guides (yielding step-by-step rich results)</w:t>
      </w:r>
      <w:r>
        <w:t xml:space="preserve"> </w:t>
      </w:r>
      <w:r>
        <w:rPr>
          <w:vertAlign w:val="superscript"/>
        </w:rPr>
        <w:footnoteReference w:id="78"/>
      </w:r>
      <w:r>
        <w:t xml:space="preserve">. Each schema implementation must be validated using Google’s Structured Data Testing Tool before deployment</w:t>
      </w:r>
      <w:r>
        <w:t xml:space="preserve"> </w:t>
      </w:r>
      <w:fldSimple w:instr="NOTEREF _Ref_Footnote_53 \h \f">
        <w:r>
          <w:rPr>
            <w:vertAlign w:val="superscript"/>
          </w:rPr>
          <w:t>53</w:t>
        </w:r>
      </w:fldSimple>
      <w:r>
        <w:t xml:space="preserve">. The UK government’s GOV.UK schema implementation provides a proven reference</w:t>
      </w:r>
      <w:r>
        <w:t xml:space="preserve"> </w:t>
      </w:r>
      <w:fldSimple w:instr="NOTEREF _Ref_Footnote_78 \h \f">
        <w:r>
          <w:rPr>
            <w:vertAlign w:val="superscript"/>
          </w:rPr>
          <w:t>78</w:t>
        </w:r>
      </w:fldSimple>
      <w:r>
        <w:t xml:space="preserve">.</w:t>
      </w:r>
    </w:p>
    <w:bookmarkEnd w:id="120"/>
    <w:bookmarkStart w:id="121" w:name="Xf9c8e6ffe59188a51dae46972e653a558a0ff82"/>
    <w:p>
      <w:pPr>
        <w:pStyle w:val="Heading4"/>
      </w:pPr>
      <w:r>
        <w:t xml:space="preserve">5.4.3 Scrollytelling Narrative for Flagship City Stories</w:t>
      </w:r>
    </w:p>
    <w:p>
      <w:pPr>
        <w:pStyle w:val="FirstParagraph"/>
      </w:pPr>
      <w:r>
        <w:t xml:space="preserve">The Pudding, winner of Gold Outstanding Studio at the 2024 Information is Beautiful Awards, has demonstrated that scrollytelling — scroll-triggered animations and data reveals that progress the narrative as users scroll — is the most engaging format for data-driven stories</w:t>
      </w:r>
      <w:r>
        <w:t xml:space="preserve"> </w:t>
      </w:r>
      <w:fldSimple w:instr="NOTEREF _Ref_Footnote_16 \h \f">
        <w:r>
          <w:rPr>
            <w:vertAlign w:val="superscript"/>
          </w:rPr>
          <w:t>16</w:t>
        </w:r>
      </w:fldSimple>
      <w:r>
        <w:t xml:space="preserve"> </w:t>
      </w:r>
      <w:fldSimple w:instr="NOTEREF _Ref_Footnote_68 \h \f">
        <w:r>
          <w:rPr>
            <w:vertAlign w:val="superscript"/>
          </w:rPr>
          <w:t>68</w:t>
        </w:r>
      </w:fldSimple>
      <w:r>
        <w:t xml:space="preserve">. Their approach:</w:t>
      </w:r>
      <w:r>
        <w:t xml:space="preserve"> </w:t>
      </w:r>
      <w:r>
        <w:t xml:space="preserve">“</w:t>
      </w:r>
      <w:r>
        <w:t xml:space="preserve">We don’t tell 10,000-word stories like the New Yorker. We try to examine complex topics the same way they do, but with visuals instead of prose</w:t>
      </w:r>
      <w:r>
        <w:t xml:space="preserve">”</w:t>
      </w:r>
      <w:r>
        <w:t xml:space="preserve"> </w:t>
      </w:r>
      <w:fldSimple w:instr="NOTEREF _Ref_Footnote_67 \h \f">
        <w:r>
          <w:rPr>
            <w:vertAlign w:val="superscript"/>
          </w:rPr>
          <w:t>67</w:t>
        </w:r>
      </w:fldSimple>
      <w:r>
        <w:t xml:space="preserve">. Each piece follows a narrative arc shaped by the data itself —</w:t>
      </w:r>
      <w:r>
        <w:t xml:space="preserve"> </w:t>
      </w:r>
      <w:r>
        <w:t xml:space="preserve">“</w:t>
      </w:r>
      <w:r>
        <w:t xml:space="preserve">V-shapes,</w:t>
      </w:r>
      <w:r>
        <w:t xml:space="preserve">”</w:t>
      </w:r>
      <w:r>
        <w:t xml:space="preserve"> </w:t>
      </w:r>
      <w:r>
        <w:t xml:space="preserve">“</w:t>
      </w:r>
      <w:r>
        <w:t xml:space="preserve">upside-down V-shapes</w:t>
      </w:r>
      <w:r>
        <w:t xml:space="preserve">”</w:t>
      </w:r>
      <w:r>
        <w:t xml:space="preserve"> </w:t>
      </w:r>
      <w:r>
        <w:t xml:space="preserve">depending on the data story</w:t>
      </w:r>
      <w:r>
        <w:t xml:space="preserve"> </w:t>
      </w:r>
      <w:fldSimple w:instr="NOTEREF _Ref_Footnote_67 \h \f">
        <w:r>
          <w:rPr>
            <w:vertAlign w:val="superscript"/>
          </w:rPr>
          <w:t>67</w:t>
        </w:r>
      </w:fldSimple>
      <w:r>
        <w:t xml:space="preserve">.</w:t>
      </w:r>
    </w:p>
    <w:p>
      <w:pPr>
        <w:pStyle w:val="BodyText"/>
      </w:pPr>
      <w:r>
        <w:t xml:space="preserve">SCITI should create scrollytelling narratives for 3-5 flagship Thai cities each year. Each narrative should: open with a compelling human story (a resident’s daily experience), reveal data as the user scrolls (infrastructure metrics, before/after comparisons), integrate interactive elements (toggle between different time periods, explore different neighborhoods), and close with a replicability section showing what other cities can learn. The technical implementation uses Scrollama or a custom scroll library (The Pudding has open-sourced theirs</w:t>
      </w:r>
      <w:r>
        <w:t xml:space="preserve"> </w:t>
      </w:r>
      <w:fldSimple w:instr="NOTEREF _Ref_Footnote_68 \h \f">
        <w:r>
          <w:rPr>
            <w:vertAlign w:val="superscript"/>
          </w:rPr>
          <w:t>68</w:t>
        </w:r>
      </w:fldSimple>
      <w:r>
        <w:t xml:space="preserve">) with D3.js and Canvas/WebGL for custom visualizations</w:t>
      </w:r>
      <w:r>
        <w:t xml:space="preserve"> </w:t>
      </w:r>
      <w:r>
        <w:rPr>
          <w:vertAlign w:val="superscript"/>
        </w:rPr>
        <w:footnoteReference w:id="79"/>
      </w:r>
      <w:r>
        <w:t xml:space="preserve">. CLEVER°FRANKE’s design philosophy applies directly:</w:t>
      </w:r>
      <w:r>
        <w:t xml:space="preserve"> </w:t>
      </w:r>
      <w:r>
        <w:t xml:space="preserve">“</w:t>
      </w:r>
      <w:r>
        <w:t xml:space="preserve">Our goal is not only to visualise data to tell a story or make it useful for practical applications, but also to use it to develop distinctive identities</w:t>
      </w:r>
      <w:r>
        <w:t xml:space="preserve">”</w:t>
      </w:r>
      <w:r>
        <w:t xml:space="preserve"> </w:t>
      </w:r>
      <w:r>
        <w:rPr>
          <w:vertAlign w:val="superscript"/>
        </w:rPr>
        <w:footnoteReference w:id="80"/>
      </w:r>
      <w:r>
        <w:t xml:space="preserve">. Each city’s scrollytelling narrative should have a distinctive visual identity derived from its data.</w:t>
      </w:r>
    </w:p>
    <w:bookmarkEnd w:id="121"/>
    <w:bookmarkStart w:id="122" w:name="Xf0a46cc097f4cba10131ea6c1f663ec47461e9e"/>
    <w:p>
      <w:pPr>
        <w:pStyle w:val="Heading4"/>
      </w:pPr>
      <w:r>
        <w:t xml:space="preserve">5.4.4 Time-Series Comparison: Track City Progress Year-over-Year</w:t>
      </w:r>
    </w:p>
    <w:p>
      <w:pPr>
        <w:pStyle w:val="FirstParagraph"/>
      </w:pPr>
      <w:r>
        <w:t xml:space="preserve">The ability to track city progress over time is core to SCITI’s value proposition as an index. The IMD Smart City Index already shows 2023 vs. 2024 rank changes</w:t>
      </w:r>
      <w:r>
        <w:t xml:space="preserve"> </w:t>
      </w:r>
      <w:fldSimple w:instr="NOTEREF _Ref_Footnote_69 \h \f">
        <w:r>
          <w:rPr>
            <w:vertAlign w:val="superscript"/>
          </w:rPr>
          <w:t>69</w:t>
        </w:r>
      </w:fldSimple>
      <w:r>
        <w:t xml:space="preserve">, but SCITI can go further by providing: multi-year trend lines for each city across all dimensions, year-over-year rank change indicators with animation, city-to-city comparison over time (select two cities and see their trajectories diverge or converge), cohort analysis (group cities by size or region and track aggregate progress), and downloadable trend reports for individual cities or groups.</w:t>
      </w:r>
    </w:p>
    <w:p>
      <w:pPr>
        <w:pStyle w:val="BodyText"/>
      </w:pPr>
      <w:r>
        <w:rPr>
          <w:bCs/>
          <w:b/>
        </w:rPr>
        <w:t xml:space="preserve">Table 3: Award-Winning Design Patterns to Adopt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Design Pattern</w:t>
            </w:r>
          </w:p>
        </w:tc>
        <w:tc>
          <w:tcPr/>
          <w:p>
            <w:pPr>
              <w:pStyle w:val="Compact"/>
              <w:jc w:val="left"/>
            </w:pPr>
            <w:r>
              <w:t xml:space="preserve">Award/Source</w:t>
            </w:r>
          </w:p>
        </w:tc>
        <w:tc>
          <w:tcPr/>
          <w:p>
            <w:pPr>
              <w:pStyle w:val="Compact"/>
              <w:jc w:val="left"/>
            </w:pPr>
            <w:r>
              <w:t xml:space="preserve">What It Delivers</w:t>
            </w:r>
          </w:p>
        </w:tc>
        <w:tc>
          <w:tcPr/>
          <w:p>
            <w:pPr>
              <w:pStyle w:val="Compact"/>
              <w:jc w:val="left"/>
            </w:pPr>
            <w:r>
              <w:t xml:space="preserve">Implementation for SCITI</w:t>
            </w:r>
          </w:p>
        </w:tc>
        <w:tc>
          <w:tcPr/>
          <w:p>
            <w:pPr>
              <w:pStyle w:val="Compact"/>
              <w:jc w:val="left"/>
            </w:pPr>
            <w:r>
              <w:t xml:space="preserve">Effort</w:t>
            </w:r>
          </w:p>
        </w:tc>
      </w:tr>
      <w:tr>
        <w:tc>
          <w:tcPr/>
          <w:p>
            <w:pPr>
              <w:pStyle w:val="Compact"/>
              <w:jc w:val="left"/>
            </w:pPr>
            <w:r>
              <w:t xml:space="preserve">Interactive Mapbox map with vector tiles</w:t>
            </w:r>
          </w:p>
        </w:tc>
        <w:tc>
          <w:tcPr/>
          <w:p>
            <w:pPr>
              <w:pStyle w:val="Compact"/>
              <w:jc w:val="left"/>
            </w:pPr>
            <w:r>
              <w:t xml:space="preserve">The Pudding</w:t>
            </w:r>
            <w:r>
              <w:t xml:space="preserve"> </w:t>
            </w:r>
            <w:fldSimple w:instr="NOTEREF _Ref_Footnote_76 \h \f">
              <w:r>
                <w:rPr>
                  <w:vertAlign w:val="superscript"/>
                </w:rPr>
                <w:t>76</w:t>
              </w:r>
            </w:fldSimple>
            <w:r>
              <w:t xml:space="preserve">, CLEVER°FRANKE</w:t>
            </w:r>
            <w:r>
              <w:t xml:space="preserve"> </w:t>
            </w:r>
            <w:fldSimple w:instr="NOTEREF _Ref_Footnote_64 \h \f">
              <w:r>
                <w:rPr>
                  <w:vertAlign w:val="superscript"/>
                </w:rPr>
                <w:t>64</w:t>
              </w:r>
            </w:fldSimple>
          </w:p>
        </w:tc>
        <w:tc>
          <w:tcPr/>
          <w:p>
            <w:pPr>
              <w:pStyle w:val="Compact"/>
              <w:jc w:val="left"/>
            </w:pPr>
            <w:r>
              <w:t xml:space="preserve">Explorable geographic interface; 73K+ views for CLEVER°FRANKE Chicago project</w:t>
            </w:r>
          </w:p>
        </w:tc>
        <w:tc>
          <w:tcPr/>
          <w:p>
            <w:pPr>
              <w:pStyle w:val="Compact"/>
              <w:jc w:val="left"/>
            </w:pPr>
            <w:r>
              <w:t xml:space="preserve">All 118 cities color-coded by maturity; hover tooltips; filter layers; time-slider animation</w:t>
            </w:r>
          </w:p>
        </w:tc>
        <w:tc>
          <w:tcPr/>
          <w:p>
            <w:pPr>
              <w:pStyle w:val="Compact"/>
              <w:jc w:val="left"/>
            </w:pPr>
            <w:r>
              <w:t xml:space="preserve">Medium: Mapbox GL JS + geo data</w:t>
            </w:r>
          </w:p>
        </w:tc>
      </w:tr>
      <w:tr>
        <w:tc>
          <w:tcPr/>
          <w:p>
            <w:pPr>
              <w:pStyle w:val="Compact"/>
              <w:jc w:val="left"/>
            </w:pPr>
            <w:r>
              <w:t xml:space="preserve">Schema.org Dataset markup (JSON-LD)</w:t>
            </w:r>
          </w:p>
        </w:tc>
        <w:tc>
          <w:tcPr/>
          <w:p>
            <w:pPr>
              <w:pStyle w:val="Compact"/>
              <w:jc w:val="left"/>
            </w:pPr>
            <w:r>
              <w:t xml:space="preserve">Google Dataset Search requirements</w:t>
            </w:r>
            <w:r>
              <w:t xml:space="preserve"> </w:t>
            </w:r>
            <w:fldSimple w:instr="NOTEREF _Ref_Footnote_65 \h \f">
              <w:r>
                <w:rPr>
                  <w:vertAlign w:val="superscript"/>
                </w:rPr>
                <w:t>65</w:t>
              </w:r>
            </w:fldSimple>
            <w:r>
              <w:t xml:space="preserve"> </w:t>
            </w:r>
            <w:fldSimple w:instr="NOTEREF _Ref_Footnote_66 \h \f">
              <w:r>
                <w:rPr>
                  <w:vertAlign w:val="superscript"/>
                </w:rPr>
                <w:t>66</w:t>
              </w:r>
            </w:fldSimple>
          </w:p>
        </w:tc>
        <w:tc>
          <w:tcPr/>
          <w:p>
            <w:pPr>
              <w:pStyle w:val="Compact"/>
              <w:jc w:val="left"/>
            </w:pPr>
            <w:r>
              <w:t xml:space="preserve">Inclusion in Google Dataset Search; rich results in SERP</w:t>
            </w:r>
          </w:p>
        </w:tc>
        <w:tc>
          <w:tcPr/>
          <w:p>
            <w:pPr>
              <w:pStyle w:val="Compact"/>
              <w:jc w:val="left"/>
            </w:pPr>
            <w:r>
              <w:t xml:space="preserve">Dataset, FAQPage, Article, Breadcrumb, Organization schemas across all index pages</w:t>
            </w:r>
          </w:p>
        </w:tc>
        <w:tc>
          <w:tcPr/>
          <w:p>
            <w:pPr>
              <w:pStyle w:val="Compact"/>
              <w:jc w:val="left"/>
            </w:pPr>
            <w:r>
              <w:t xml:space="preserve">Low-Medium: structured data tags</w:t>
            </w:r>
          </w:p>
        </w:tc>
      </w:tr>
      <w:tr>
        <w:tc>
          <w:tcPr/>
          <w:p>
            <w:pPr>
              <w:pStyle w:val="Compact"/>
              <w:jc w:val="left"/>
            </w:pPr>
            <w:r>
              <w:t xml:space="preserve">Scrollytelling narratives</w:t>
            </w:r>
          </w:p>
        </w:tc>
        <w:tc>
          <w:tcPr/>
          <w:p>
            <w:pPr>
              <w:pStyle w:val="Compact"/>
              <w:jc w:val="left"/>
            </w:pPr>
            <w:r>
              <w:t xml:space="preserve">The Pudding — Gold Outstanding Studio 2024</w:t>
            </w:r>
            <w:r>
              <w:t xml:space="preserve"> </w:t>
            </w:r>
            <w:fldSimple w:instr="NOTEREF _Ref_Footnote_16 \h \f">
              <w:r>
                <w:rPr>
                  <w:vertAlign w:val="superscript"/>
                </w:rPr>
                <w:t>16</w:t>
              </w:r>
            </w:fldSimple>
            <w:r>
              <w:t xml:space="preserve"> </w:t>
            </w:r>
            <w:fldSimple w:instr="NOTEREF _Ref_Footnote_68 \h \f">
              <w:r>
                <w:rPr>
                  <w:vertAlign w:val="superscript"/>
                </w:rPr>
                <w:t>68</w:t>
              </w:r>
            </w:fldSimple>
          </w:p>
        </w:tc>
        <w:tc>
          <w:tcPr/>
          <w:p>
            <w:pPr>
              <w:pStyle w:val="Compact"/>
              <w:jc w:val="left"/>
            </w:pPr>
            <w:r>
              <w:t xml:space="preserve">Scroll-triggered data reveals;</w:t>
            </w:r>
            <w:r>
              <w:t xml:space="preserve"> </w:t>
            </w:r>
            <w:r>
              <w:t xml:space="preserve">“</w:t>
            </w:r>
            <w:r>
              <w:t xml:space="preserve">visual essays instead of prose</w:t>
            </w:r>
            <w:r>
              <w:t xml:space="preserve">”</w:t>
            </w:r>
          </w:p>
        </w:tc>
        <w:tc>
          <w:tcPr/>
          <w:p>
            <w:pPr>
              <w:pStyle w:val="Compact"/>
              <w:jc w:val="left"/>
            </w:pPr>
            <w:r>
              <w:t xml:space="preserve">3-5 flagship city stories per year with scroll-driven data visualization</w:t>
            </w:r>
          </w:p>
        </w:tc>
        <w:tc>
          <w:tcPr/>
          <w:p>
            <w:pPr>
              <w:pStyle w:val="Compact"/>
              <w:jc w:val="left"/>
            </w:pPr>
            <w:r>
              <w:t xml:space="preserve">Medium-High: Scrollama + D3.js</w:t>
            </w:r>
          </w:p>
        </w:tc>
      </w:tr>
      <w:tr>
        <w:tc>
          <w:tcPr/>
          <w:p>
            <w:pPr>
              <w:pStyle w:val="Compact"/>
              <w:jc w:val="left"/>
            </w:pPr>
            <w:r>
              <w:t xml:space="preserve">Time-series comparison with animation</w:t>
            </w:r>
          </w:p>
        </w:tc>
        <w:tc>
          <w:tcPr/>
          <w:p>
            <w:pPr>
              <w:pStyle w:val="Compact"/>
              <w:jc w:val="left"/>
            </w:pPr>
            <w:r>
              <w:t xml:space="preserve">IMD Smart City Index</w:t>
            </w:r>
            <w:r>
              <w:t xml:space="preserve"> </w:t>
            </w:r>
            <w:fldSimple w:instr="NOTEREF _Ref_Footnote_69 \h \f">
              <w:r>
                <w:rPr>
                  <w:vertAlign w:val="superscript"/>
                </w:rPr>
                <w:t>69</w:t>
              </w:r>
            </w:fldSimple>
          </w:p>
        </w:tc>
        <w:tc>
          <w:tcPr/>
          <w:p>
            <w:pPr>
              <w:pStyle w:val="Compact"/>
              <w:jc w:val="left"/>
            </w:pPr>
            <w:r>
              <w:t xml:space="preserve">Year-over-year progress tracking; city trajectory visualization</w:t>
            </w:r>
          </w:p>
        </w:tc>
        <w:tc>
          <w:tcPr/>
          <w:p>
            <w:pPr>
              <w:pStyle w:val="Compact"/>
              <w:jc w:val="left"/>
            </w:pPr>
            <w:r>
              <w:t xml:space="preserve">Multi-year trend lines, rank change indicators, cohort analysis, downloadable reports</w:t>
            </w:r>
          </w:p>
        </w:tc>
        <w:tc>
          <w:tcPr/>
          <w:p>
            <w:pPr>
              <w:pStyle w:val="Compact"/>
              <w:jc w:val="left"/>
            </w:pPr>
            <w:r>
              <w:t xml:space="preserve">Medium: database + Chart.js/D3</w:t>
            </w:r>
          </w:p>
        </w:tc>
      </w:tr>
      <w:tr>
        <w:tc>
          <w:tcPr/>
          <w:p>
            <w:pPr>
              <w:pStyle w:val="Compact"/>
              <w:jc w:val="left"/>
            </w:pPr>
            <w:r>
              <w:t xml:space="preserve">Personalized city recommendations</w:t>
            </w:r>
          </w:p>
        </w:tc>
        <w:tc>
          <w:tcPr/>
          <w:p>
            <w:pPr>
              <w:pStyle w:val="Compact"/>
              <w:jc w:val="left"/>
            </w:pPr>
            <w:r>
              <w:t xml:space="preserve">Engagement research</w:t>
            </w:r>
            <w:r>
              <w:t xml:space="preserve"> </w:t>
            </w:r>
            <w:r>
              <w:rPr>
                <w:vertAlign w:val="superscript"/>
              </w:rPr>
              <w:footnoteReference w:id="81"/>
            </w:r>
            <w:r>
              <w:t xml:space="preserve"> </w:t>
            </w:r>
            <w:r>
              <w:rPr>
                <w:vertAlign w:val="superscript"/>
              </w:rPr>
              <w:footnoteReference w:id="82"/>
            </w:r>
          </w:p>
        </w:tc>
        <w:tc>
          <w:tcPr/>
          <w:p>
            <w:pPr>
              <w:pStyle w:val="Compact"/>
              <w:jc w:val="left"/>
            </w:pPr>
            <w:r>
              <w:t xml:space="preserve">“</w:t>
            </w:r>
            <w:r>
              <w:t xml:space="preserve">Find your ideal smart city</w:t>
            </w:r>
            <w:r>
              <w:t xml:space="preserve">”</w:t>
            </w:r>
            <w:r>
              <w:t xml:space="preserve"> </w:t>
            </w:r>
            <w:r>
              <w:t xml:space="preserve">quiz; shareable results</w:t>
            </w:r>
          </w:p>
        </w:tc>
        <w:tc>
          <w:tcPr/>
          <w:p>
            <w:pPr>
              <w:pStyle w:val="Compact"/>
              <w:jc w:val="left"/>
            </w:pPr>
            <w:r>
              <w:t xml:space="preserve">Preference-based quiz matching users to cities by priorities</w:t>
            </w:r>
          </w:p>
        </w:tc>
        <w:tc>
          <w:tcPr/>
          <w:p>
            <w:pPr>
              <w:pStyle w:val="Compact"/>
              <w:jc w:val="left"/>
            </w:pPr>
            <w:r>
              <w:t xml:space="preserve">Low-Medium: questionnaire + matching logic</w:t>
            </w:r>
          </w:p>
        </w:tc>
      </w:tr>
      <w:tr>
        <w:tc>
          <w:tcPr/>
          <w:p>
            <w:pPr>
              <w:pStyle w:val="Compact"/>
              <w:jc w:val="left"/>
            </w:pPr>
            <w:r>
              <w:t xml:space="preserve">Gamification elements</w:t>
            </w:r>
          </w:p>
        </w:tc>
        <w:tc>
          <w:tcPr/>
          <w:p>
            <w:pPr>
              <w:pStyle w:val="Compact"/>
              <w:jc w:val="left"/>
            </w:pPr>
            <w:r>
              <w:t xml:space="preserve">The Pudding interactive games</w:t>
            </w:r>
            <w:r>
              <w:t xml:space="preserve"> </w:t>
            </w:r>
            <w:r>
              <w:rPr>
                <w:vertAlign w:val="superscript"/>
              </w:rPr>
              <w:footnoteReference w:id="83"/>
            </w:r>
          </w:p>
        </w:tc>
        <w:tc>
          <w:tcPr/>
          <w:p>
            <w:pPr>
              <w:pStyle w:val="Compact"/>
              <w:jc w:val="left"/>
            </w:pPr>
            <w:r>
              <w:t xml:space="preserve">Learning through play; higher engagement and sharing</w:t>
            </w:r>
          </w:p>
        </w:tc>
        <w:tc>
          <w:tcPr/>
          <w:p>
            <w:pPr>
              <w:pStyle w:val="Compact"/>
              <w:jc w:val="left"/>
            </w:pPr>
            <w:r>
              <w:t xml:space="preserve">City comparison games, smart city trivia,</w:t>
            </w:r>
            <w:r>
              <w:t xml:space="preserve"> </w:t>
            </w:r>
            <w:r>
              <w:t xml:space="preserve">“</w:t>
            </w:r>
            <w:r>
              <w:t xml:space="preserve">guess the city by metrics</w:t>
            </w:r>
            <w:r>
              <w:t xml:space="preserve">”</w:t>
            </w:r>
          </w:p>
        </w:tc>
        <w:tc>
          <w:tcPr/>
          <w:p>
            <w:pPr>
              <w:pStyle w:val="Compact"/>
              <w:jc w:val="left"/>
            </w:pPr>
            <w:r>
              <w:t xml:space="preserve">Medium: interactive JS components</w:t>
            </w:r>
          </w:p>
        </w:tc>
      </w:tr>
      <w:tr>
        <w:tc>
          <w:tcPr/>
          <w:p>
            <w:pPr>
              <w:pStyle w:val="Compact"/>
              <w:jc w:val="left"/>
            </w:pPr>
            <w:r>
              <w:t xml:space="preserve">Real-time data dashboards</w:t>
            </w:r>
          </w:p>
        </w:tc>
        <w:tc>
          <w:tcPr/>
          <w:p>
            <w:pPr>
              <w:pStyle w:val="Compact"/>
              <w:jc w:val="left"/>
            </w:pPr>
            <w:r>
              <w:t xml:space="preserve">NASA</w:t>
            </w:r>
            <w:r>
              <w:t xml:space="preserve"> </w:t>
            </w:r>
            <w:r>
              <w:t xml:space="preserve">“</w:t>
            </w:r>
            <w:r>
              <w:t xml:space="preserve">Eyes on the Earth</w:t>
            </w:r>
            <w:r>
              <w:t xml:space="preserve">”</w:t>
            </w:r>
            <w:r>
              <w:t xml:space="preserve"> </w:t>
            </w:r>
            <w:fldSimple w:instr="NOTEREF _Ref_Footnote_20 \h \f">
              <w:r>
                <w:rPr>
                  <w:vertAlign w:val="superscript"/>
                </w:rPr>
                <w:t>20</w:t>
              </w:r>
            </w:fldSimple>
          </w:p>
        </w:tc>
        <w:tc>
          <w:tcPr/>
          <w:p>
            <w:pPr>
              <w:pStyle w:val="Compact"/>
              <w:jc w:val="left"/>
            </w:pPr>
            <w:r>
              <w:t xml:space="preserve">Live data feeds create habitual return visits</w:t>
            </w:r>
          </w:p>
        </w:tc>
        <w:tc>
          <w:tcPr/>
          <w:p>
            <w:pPr>
              <w:pStyle w:val="Compact"/>
              <w:jc w:val="left"/>
            </w:pPr>
            <w:r>
              <w:t xml:space="preserve">Integration with open data portals for live sensor feeds</w:t>
            </w:r>
          </w:p>
        </w:tc>
        <w:tc>
          <w:tcPr/>
          <w:p>
            <w:pPr>
              <w:pStyle w:val="Compact"/>
              <w:jc w:val="left"/>
            </w:pPr>
            <w:r>
              <w:t xml:space="preserve">High: API integrations + infrastructure</w:t>
            </w:r>
          </w:p>
        </w:tc>
      </w:tr>
      <w:tr>
        <w:tc>
          <w:tcPr/>
          <w:p>
            <w:pPr>
              <w:pStyle w:val="Compact"/>
              <w:jc w:val="left"/>
            </w:pPr>
            <w:r>
              <w:t xml:space="preserve">WCAG 2.1 AA accessible data tables</w:t>
            </w:r>
          </w:p>
        </w:tc>
        <w:tc>
          <w:tcPr/>
          <w:p>
            <w:pPr>
              <w:pStyle w:val="Compact"/>
              <w:jc w:val="left"/>
            </w:pPr>
            <w:r>
              <w:t xml:space="preserve">Oregon Government</w:t>
            </w:r>
            <w:r>
              <w:t xml:space="preserve"> </w:t>
            </w:r>
            <w:fldSimple w:instr="NOTEREF _Ref_Footnote_42 \h \f">
              <w:r>
                <w:rPr>
                  <w:vertAlign w:val="superscript"/>
                </w:rPr>
                <w:t>42</w:t>
              </w:r>
            </w:fldSimple>
            <w:r>
              <w:t xml:space="preserve">, Highcharts</w:t>
            </w:r>
            <w:r>
              <w:t xml:space="preserve"> </w:t>
            </w:r>
            <w:fldSimple w:instr="NOTEREF _Ref_Footnote_51 \h \f">
              <w:r>
                <w:rPr>
                  <w:vertAlign w:val="superscript"/>
                </w:rPr>
                <w:t>51</w:t>
              </w:r>
            </w:fldSimple>
          </w:p>
        </w:tc>
        <w:tc>
          <w:tcPr/>
          <w:p>
            <w:pPr>
              <w:pStyle w:val="Compact"/>
              <w:jc w:val="left"/>
            </w:pPr>
            <w:r>
              <w:t xml:space="preserve">Screen-reader compatible; keyboard navigable; semantic HTML</w:t>
            </w:r>
          </w:p>
        </w:tc>
        <w:tc>
          <w:tcPr/>
          <w:p>
            <w:pPr>
              <w:pStyle w:val="Compact"/>
              <w:jc w:val="left"/>
            </w:pPr>
            <w:r>
              <w:t xml:space="preserve">Accessible tables behind all visualizations; alt text; keyboard navigation</w:t>
            </w:r>
          </w:p>
        </w:tc>
        <w:tc>
          <w:tcPr/>
          <w:p>
            <w:pPr>
              <w:pStyle w:val="Compact"/>
              <w:jc w:val="left"/>
            </w:pPr>
            <w:r>
              <w:t xml:space="preserve">Low: semantic HTML + ARIA</w:t>
            </w:r>
          </w:p>
        </w:tc>
      </w:tr>
    </w:tbl>
    <w:p>
      <w:pPr>
        <w:pStyle w:val="BodyText"/>
      </w:pPr>
      <w:r>
        <w:t xml:space="preserve">The time-series feature should use the ITU Smart Sustainable Cities Maturity Model’s approach of conducting assessments at the beginning and at different stages, comparing performance with baseline, and including suggested actions at each review point</w:t>
      </w:r>
      <w:r>
        <w:t xml:space="preserve"> </w:t>
      </w:r>
      <w:fldSimple w:instr="NOTEREF _Ref_Footnote_25 \h \f">
        <w:r>
          <w:rPr>
            <w:vertAlign w:val="superscript"/>
          </w:rPr>
          <w:t>25</w:t>
        </w:r>
      </w:fldSimple>
      <w:r>
        <w:t xml:space="preserve">. This creates a continuous improvement loop: cities assess, implement, re-assess, and compare progress — with SCITI as the platform of record for every stage. NASA’s cross-platform ecosystem model</w:t>
      </w:r>
      <w:r>
        <w:t xml:space="preserve"> </w:t>
      </w:r>
      <w:fldSimple w:instr="NOTEREF _Ref_Footnote_20 \h \f">
        <w:r>
          <w:rPr>
            <w:vertAlign w:val="superscript"/>
          </w:rPr>
          <w:t>20</w:t>
        </w:r>
      </w:fldSimple>
      <w:r>
        <w:t xml:space="preserve">suggests extending these visualizations across web, mobile, and downloadable report formats to maximize engagement.</w:t>
      </w:r>
    </w:p>
    <w:p>
      <w:pPr>
        <w:pStyle w:val="BodyText"/>
      </w:pPr>
      <w:r>
        <w:t xml:space="preserve">The cumulative effect of these four design upgrades, combined with the eight content additions in Sections 5.1-5.3, transforms SCITI from a static ranking publication into an interactive platform that city officials use as a daily reference tool. The evidence from award-winning sites is clear: NASA’s real-time data creates habitual return visits</w:t>
      </w:r>
      <w:r>
        <w:t xml:space="preserve"> </w:t>
      </w:r>
      <w:fldSimple w:instr="NOTEREF _Ref_Footnote_20 \h \f">
        <w:r>
          <w:rPr>
            <w:vertAlign w:val="superscript"/>
          </w:rPr>
          <w:t>20</w:t>
        </w:r>
      </w:fldSimple>
      <w:r>
        <w:t xml:space="preserve">, The Pudding’s scrollytelling generates shares and backlinks</w:t>
      </w:r>
      <w:r>
        <w:t xml:space="preserve"> </w:t>
      </w:r>
      <w:fldSimple w:instr="NOTEREF _Ref_Footnote_67 \h \f">
        <w:r>
          <w:rPr>
            <w:vertAlign w:val="superscript"/>
          </w:rPr>
          <w:t>67</w:t>
        </w:r>
      </w:fldSimple>
      <w:r>
        <w:t xml:space="preserve">, and CLEVER°FRANKE’s interactive maps achieve tens of thousands of views</w:t>
      </w:r>
      <w:r>
        <w:t xml:space="preserve"> </w:t>
      </w:r>
      <w:fldSimple w:instr="NOTEREF _Ref_Footnote_64 \h \f">
        <w:r>
          <w:rPr>
            <w:vertAlign w:val="superscript"/>
          </w:rPr>
          <w:t>64</w:t>
        </w:r>
      </w:fldSimple>
      <w:r>
        <w:t xml:space="preserve">. SCITI currently captures none of this engagement potential. These upgrades close that gap with proven, evidence-based patterns.</w:t>
      </w:r>
    </w:p>
    <w:p>
      <w:r>
        <w:pict>
          <v:rect style="width:0;height:1.5pt" o:hralign="center" o:hrstd="t" o:hr="t"/>
        </w:pict>
      </w:r>
    </w:p>
    <w:bookmarkEnd w:id="122"/>
    <w:bookmarkEnd w:id="123"/>
    <w:bookmarkEnd w:id="124"/>
    <w:bookmarkStart w:id="134" w:name="award-readiness-assessment-action-plan"/>
    <w:p>
      <w:pPr>
        <w:pStyle w:val="Heading2"/>
      </w:pPr>
      <w:r>
        <w:t xml:space="preserve">6. Award Readiness Assessment &amp; Action Plan</w:t>
      </w:r>
    </w:p>
    <w:p>
      <w:pPr>
        <w:pStyle w:val="FirstParagraph"/>
      </w:pPr>
      <w:r>
        <w:t xml:space="preserve">The preceding five chapters have documented SCITI’s considerable strengths — a cohesive visual identity, unique interactive features, radical transparency around partnerships, and a modern React 19 + Vite 6 technical stack — alongside critical gaps: routing bugs that return HTTP 404 for common city slugs</w:t>
      </w:r>
      <w:r>
        <w:t xml:space="preserve"> </w:t>
      </w:r>
      <w:fldSimple w:instr="NOTEREF _Ref_Footnote_2 \h \f">
        <w:r>
          <w:rPr>
            <w:vertAlign w:val="superscript"/>
          </w:rPr>
          <w:t>2</w:t>
        </w:r>
      </w:fldSimple>
      <w:r>
        <w:t xml:space="preserve">, a language selector that mislabels Chinese as Thai</w:t>
      </w:r>
      <w:r>
        <w:t xml:space="preserve"> </w:t>
      </w:r>
      <w:fldSimple w:instr="NOTEREF _Ref_Footnote_1 \h \f">
        <w:r>
          <w:rPr>
            <w:vertAlign w:val="superscript"/>
          </w:rPr>
          <w:t>1</w:t>
        </w:r>
      </w:fldSimple>
      <w:r>
        <w:t xml:space="preserve">, placeholder PDFs of approximately 5 KB masquerading as methodology papers</w:t>
      </w:r>
      <w:r>
        <w:t xml:space="preserve"> </w:t>
      </w:r>
      <w:fldSimple w:instr="NOTEREF _Ref_Footnote_1 \h \f">
        <w:r>
          <w:rPr>
            <w:vertAlign w:val="superscript"/>
          </w:rPr>
          <w:t>1</w:t>
        </w:r>
      </w:fldSimple>
      <w:r>
        <w:t xml:space="preserve">, three missing security headers</w:t>
      </w:r>
      <w:r>
        <w:t xml:space="preserve"> </w:t>
      </w:r>
      <w:fldSimple w:instr="NOTEREF _Ref_Footnote_1 \h \f">
        <w:r>
          <w:rPr>
            <w:vertAlign w:val="superscript"/>
          </w:rPr>
          <w:t>1</w:t>
        </w:r>
      </w:fldSimple>
      <w:r>
        <w:t xml:space="preserve">, zero Schema.org structured data</w:t>
      </w:r>
      <w:r>
        <w:t xml:space="preserve"> </w:t>
      </w:r>
      <w:fldSimple w:instr="NOTEREF _Ref_Footnote_1 \h \f">
        <w:r>
          <w:rPr>
            <w:vertAlign w:val="superscript"/>
          </w:rPr>
          <w:t>1</w:t>
        </w:r>
      </w:fldSimple>
      <w:r>
        <w:t xml:space="preserve">, and no browser or CDN-level caching</w:t>
      </w:r>
      <w:r>
        <w:t xml:space="preserve"> </w:t>
      </w:r>
      <w:fldSimple w:instr="NOTEREF _Ref_Footnote_1 \h \f">
        <w:r>
          <w:rPr>
            <w:vertAlign w:val="superscript"/>
          </w:rPr>
          <w:t>1</w:t>
        </w:r>
      </w:fldSimple>
      <w:r>
        <w:t xml:space="preserve">. This chapter synthesizes those findings into an actionable award-readiness assessment and a 90-day implementation plan that moves SCITI from audit findings to submission-ready product.</w:t>
      </w:r>
    </w:p>
    <w:p>
      <w:r>
        <w:pict>
          <v:rect style="width:0;height:1.5pt" o:hralign="center" o:hrstd="t" o:hr="t"/>
        </w:pict>
      </w:r>
    </w:p>
    <w:bookmarkStart w:id="128" w:name="red-dot-design-award-readiness"/>
    <w:p>
      <w:pPr>
        <w:pStyle w:val="Heading3"/>
      </w:pPr>
      <w:r>
        <w:t xml:space="preserve">6.1 Red Dot Design Award Readiness</w:t>
      </w:r>
    </w:p>
    <w:p>
      <w:pPr>
        <w:pStyle w:val="FirstParagraph"/>
      </w:pPr>
      <w:r>
        <w:t xml:space="preserve">The Red Dot Design Award evaluates entries across three disciplines: Product Design, Brands &amp; Communication Design, and Design Concept. SCITI’s current form is most competitive in Communication Design — specifically the sub-categories of Data Visualisation and Interface Design — where its visual storytelling, interactive features, and information architecture can be judged against published work rather than unreleased concepts.</w:t>
      </w:r>
    </w:p>
    <w:bookmarkStart w:id="125" w:name="current-strengths"/>
    <w:p>
      <w:pPr>
        <w:pStyle w:val="Heading4"/>
      </w:pPr>
      <w:r>
        <w:t xml:space="preserve">6.1.1 Current Strengths</w:t>
      </w:r>
    </w:p>
    <w:p>
      <w:pPr>
        <w:pStyle w:val="FirstParagraph"/>
      </w:pPr>
      <w:r>
        <w:rPr>
          <w:bCs/>
          <w:b/>
        </w:rPr>
        <w:t xml:space="preserve">Data transparency and auditability.</w:t>
      </w:r>
      <w:r>
        <w:t xml:space="preserve"> </w:t>
      </w:r>
      <w:r>
        <w:t xml:space="preserve">SCITI’s CC BY 4.0 licensing, version history tracing from v0</w:t>
      </w:r>
      <w:r>
        <w:t xml:space="preserve"> </w:t>
      </w:r>
      <w:r>
        <w:t xml:space="preserve">“</w:t>
      </w:r>
      <w:r>
        <w:t xml:space="preserve">The provocation</w:t>
      </w:r>
      <w:r>
        <w:t xml:space="preserve">”</w:t>
      </w:r>
      <w:r>
        <w:t xml:space="preserve"> </w:t>
      </w:r>
      <w:r>
        <w:t xml:space="preserve">through v2026.04, public composite formula (</w:t>
      </w:r>
      <w:r>
        <w:rPr>
          <w:rStyle w:val="VerbatimChar"/>
        </w:rPr>
        <w:t xml:space="preserve">Composite = (Livability×25 + Economy×20 + Safety×15 + Wellbeing×15 + Environment×10 + Hospitality×10 + Digital×5) / 100</w:t>
      </w:r>
      <w:r>
        <w:t xml:space="preserve">), and explicit source naming (</w:t>
      </w:r>
      <w:r>
        <w:t xml:space="preserve">“</w:t>
      </w:r>
      <w:r>
        <w:t xml:space="preserve">Road fatalities from thairsc.com. Flood frequency from GISTDA 2005–2016. PM2.5 from live stations</w:t>
      </w:r>
      <w:r>
        <w:t xml:space="preserve">”</w:t>
      </w:r>
      <w:r>
        <w:t xml:space="preserve">) constitute a level of methodological openness that no other smart city index in Southeast Asia currently matches</w:t>
      </w:r>
      <w:r>
        <w:t xml:space="preserve"> </w:t>
      </w:r>
      <w:fldSimple w:instr="NOTEREF _Ref_Footnote_1 \h \f">
        <w:r>
          <w:rPr>
            <w:vertAlign w:val="superscript"/>
          </w:rPr>
          <w:t>1</w:t>
        </w:r>
      </w:fldSimple>
      <w:r>
        <w:t xml:space="preserve"> </w:t>
      </w:r>
      <w:fldSimple w:instr="NOTEREF _Ref_Footnote_11 \h \f">
        <w:r>
          <w:rPr>
            <w:vertAlign w:val="superscript"/>
          </w:rPr>
          <w:t>11</w:t>
        </w:r>
      </w:fldSimple>
      <w:r>
        <w:t xml:space="preserve">. Red Dot jurors in the Communication Design discipline specifically value projects that</w:t>
      </w:r>
      <w:r>
        <w:t xml:space="preserve"> </w:t>
      </w:r>
      <w:r>
        <w:t xml:space="preserve">“</w:t>
      </w:r>
      <w:r>
        <w:t xml:space="preserve">make complex information accessible and understandable</w:t>
      </w:r>
      <w:r>
        <w:t xml:space="preserve">”</w:t>
      </w:r>
      <w:r>
        <w:t xml:space="preserve"> </w:t>
      </w:r>
      <w:r>
        <w:t xml:space="preserve">— SCITI’s transparency architecture does exactly this.</w:t>
      </w:r>
    </w:p>
    <w:p>
      <w:pPr>
        <w:pStyle w:val="BodyText"/>
      </w:pPr>
      <w:r>
        <w:rPr>
          <w:bCs/>
          <w:b/>
        </w:rPr>
        <w:t xml:space="preserve">Visual design maturity.</w:t>
      </w:r>
      <w:r>
        <w:t xml:space="preserve"> </w:t>
      </w:r>
      <w:r>
        <w:t xml:space="preserve">The site’s radar charts (spider charts) on city dossiers and the Rankings page are rendered cleanly and resize responsively within their containers</w:t>
      </w:r>
      <w:r>
        <w:t xml:space="preserve"> </w:t>
      </w:r>
      <w:fldSimple w:instr="NOTEREF _Ref_Footnote_1 \h \f">
        <w:r>
          <w:rPr>
            <w:vertAlign w:val="superscript"/>
          </w:rPr>
          <w:t>1</w:t>
        </w:r>
      </w:fldSimple>
      <w:r>
        <w:t xml:space="preserve">. The tier badge system (Alpha/Beta/Gamma) with Greek letter icons provides immediate visual hierarchy. The Top Five cards with asymmetric grid layout, dark gradient overlays, and gold monospace type demonstrate sophisticated information design that Red Dot has recognised in comparable data-visualisation projects. The dark navy (</w:t>
      </w:r>
      <w:r>
        <w:rPr>
          <w:rStyle w:val="VerbatimChar"/>
        </w:rPr>
        <w:t xml:space="preserve">#0F2F53</w:t>
      </w:r>
      <w:r>
        <w:t xml:space="preserve">) and gold palette is distinctive and consistently applied across all pages</w:t>
      </w:r>
      <w:r>
        <w:t xml:space="preserve"> </w:t>
      </w:r>
      <w:fldSimple w:instr="NOTEREF _Ref_Footnote_1 \h \f">
        <w:r>
          <w:rPr>
            <w:vertAlign w:val="superscript"/>
          </w:rPr>
          <w:t>1</w:t>
        </w:r>
      </w:fldSimple>
      <w:r>
        <w:t xml:space="preserve">.</w:t>
      </w:r>
    </w:p>
    <w:p>
      <w:pPr>
        <w:pStyle w:val="BodyText"/>
      </w:pPr>
      <w:r>
        <w:rPr>
          <w:bCs/>
          <w:b/>
        </w:rPr>
        <w:t xml:space="preserve">Unique content: the Partners page.</w:t>
      </w:r>
      <w:r>
        <w:t xml:space="preserve"> </w:t>
      </w:r>
      <w:r>
        <w:t xml:space="preserve">The Partners page is arguably SCITI’s strongest single asset for award submission. Explicitly marking international partnerships as</w:t>
      </w:r>
      <w:r>
        <w:t xml:space="preserve"> </w:t>
      </w:r>
      <w:r>
        <w:t xml:space="preserve">“</w:t>
      </w:r>
      <w:r>
        <w:t xml:space="preserve">Stalled</w:t>
      </w:r>
      <w:r>
        <w:t xml:space="preserve">”</w:t>
      </w:r>
      <w:r>
        <w:t xml:space="preserve"> </w:t>
      </w:r>
      <w:r>
        <w:t xml:space="preserve">(South Korea) or</w:t>
      </w:r>
      <w:r>
        <w:t xml:space="preserve"> </w:t>
      </w:r>
      <w:r>
        <w:t xml:space="preserve">“</w:t>
      </w:r>
      <w:r>
        <w:t xml:space="preserve">Early Stage</w:t>
      </w:r>
      <w:r>
        <w:t xml:space="preserve">”</w:t>
      </w:r>
      <w:r>
        <w:t xml:space="preserve"> </w:t>
      </w:r>
      <w:r>
        <w:t xml:space="preserve">(Austria) alongside</w:t>
      </w:r>
      <w:r>
        <w:t xml:space="preserve"> </w:t>
      </w:r>
      <w:r>
        <w:t xml:space="preserve">“</w:t>
      </w:r>
      <w:r>
        <w:t xml:space="preserve">Active</w:t>
      </w:r>
      <w:r>
        <w:t xml:space="preserve">”</w:t>
      </w:r>
      <w:r>
        <w:t xml:space="preserve"> </w:t>
      </w:r>
      <w:r>
        <w:t xml:space="preserve">(Japan, United States) and</w:t>
      </w:r>
      <w:r>
        <w:t xml:space="preserve"> </w:t>
      </w:r>
      <w:r>
        <w:t xml:space="preserve">“</w:t>
      </w:r>
      <w:r>
        <w:t xml:space="preserve">Completed</w:t>
      </w:r>
      <w:r>
        <w:t xml:space="preserve">”</w:t>
      </w:r>
      <w:r>
        <w:t xml:space="preserve"> </w:t>
      </w:r>
      <w:r>
        <w:t xml:space="preserve">(United Kingdom) is virtually unheard of in government digital products, where the institutional incentive is invariably to present all cooperation as successful</w:t>
      </w:r>
      <w:r>
        <w:t xml:space="preserve"> </w:t>
      </w:r>
      <w:fldSimple w:instr="NOTEREF _Ref_Footnote_1 \h \f">
        <w:r>
          <w:rPr>
            <w:vertAlign w:val="superscript"/>
          </w:rPr>
          <w:t>1</w:t>
        </w:r>
      </w:fldSimple>
      <w:r>
        <w:t xml:space="preserve">. This honesty —</w:t>
      </w:r>
      <w:r>
        <w:t xml:space="preserve"> </w:t>
      </w:r>
      <w:r>
        <w:t xml:space="preserve">“</w:t>
      </w:r>
      <w:r>
        <w:t xml:space="preserve">9 partnerships, 4 statuses: what actually delivered</w:t>
      </w:r>
      <w:r>
        <w:t xml:space="preserve">”</w:t>
      </w:r>
      <w:r>
        <w:t xml:space="preserve"> </w:t>
      </w:r>
      <w:r>
        <w:t xml:space="preserve">— transforms a dry inventory into a piece of editorial design that jurors will remember.</w:t>
      </w:r>
    </w:p>
    <w:p>
      <w:pPr>
        <w:pStyle w:val="BodyText"/>
      </w:pPr>
      <w:r>
        <w:rPr>
          <w:bCs/>
          <w:b/>
        </w:rPr>
        <w:t xml:space="preserve">Interactive differentiation.</w:t>
      </w:r>
      <w:r>
        <w:t xml:space="preserve"> </w:t>
      </w:r>
      <w:r>
        <w:t xml:space="preserve">The</w:t>
      </w:r>
      <w:r>
        <w:t xml:space="preserve"> </w:t>
      </w:r>
      <w:r>
        <w:t xml:space="preserve">“</w:t>
      </w:r>
      <w:r>
        <w:t xml:space="preserve">Your City</w:t>
      </w:r>
      <w:r>
        <w:t xml:space="preserve">”</w:t>
      </w:r>
      <w:r>
        <w:t xml:space="preserve"> </w:t>
      </w:r>
      <w:r>
        <w:t xml:space="preserve">matcher with its A→B→C pillar priority cycling and live top-10 compatibility table, and the Compare tool with its pill-based basket interface (add/remove up to 5 cities with a</w:t>
      </w:r>
      <w:r>
        <w:t xml:space="preserve"> </w:t>
      </w:r>
      <w:r>
        <w:t xml:space="preserve">“</w:t>
      </w:r>
      <w:r>
        <w:t xml:space="preserve">3/5</w:t>
      </w:r>
      <w:r>
        <w:t xml:space="preserve">”</w:t>
      </w:r>
      <w:r>
        <w:t xml:space="preserve"> </w:t>
      </w:r>
      <w:r>
        <w:t xml:space="preserve">counter), are genuine interactive features that elevate SCITI above the static ranking publications it competes with</w:t>
      </w:r>
      <w:r>
        <w:t xml:space="preserve"> </w:t>
      </w:r>
      <w:fldSimple w:instr="NOTEREF _Ref_Footnote_1 \h \f">
        <w:r>
          <w:rPr>
            <w:vertAlign w:val="superscript"/>
          </w:rPr>
          <w:t>1</w:t>
        </w:r>
      </w:fldSimple>
      <w:r>
        <w:t xml:space="preserve">. Most smart city indices are PDF reports with a search box. SCITI is a decision-support tool.</w:t>
      </w:r>
    </w:p>
    <w:bookmarkEnd w:id="125"/>
    <w:bookmarkStart w:id="126" w:name="Xc187c3d5d5e60ccb2844c3a377ed0f54af196c8"/>
    <w:p>
      <w:pPr>
        <w:pStyle w:val="Heading4"/>
      </w:pPr>
      <w:r>
        <w:t xml:space="preserve">6.1.2 Critical Gaps Requiring Remediation Before Submission</w:t>
      </w:r>
    </w:p>
    <w:p>
      <w:pPr>
        <w:pStyle w:val="FirstParagraph"/>
      </w:pPr>
      <w:r>
        <w:rPr>
          <w:bCs/>
          <w:b/>
        </w:rPr>
        <w:t xml:space="preserve">Routing and slug failures.</w:t>
      </w:r>
      <w:r>
        <w:t xml:space="preserve"> </w:t>
      </w:r>
      <w:r>
        <w:t xml:space="preserve">The</w:t>
      </w:r>
      <w:r>
        <w:t xml:space="preserve"> </w:t>
      </w:r>
      <w:r>
        <w:rPr>
          <w:rStyle w:val="VerbatimChar"/>
        </w:rPr>
        <w:t xml:space="preserve">/city/phuket</w:t>
      </w:r>
      <w:r>
        <w:t xml:space="preserve"> </w:t>
      </w:r>
      <w:r>
        <w:t xml:space="preserve">route returns HTTP 404; the correct slug is likely</w:t>
      </w:r>
      <w:r>
        <w:t xml:space="preserve"> </w:t>
      </w:r>
      <w:r>
        <w:rPr>
          <w:rStyle w:val="VerbatimChar"/>
        </w:rPr>
        <w:t xml:space="preserve">phuket-smart-city</w:t>
      </w:r>
      <w:r>
        <w:t xml:space="preserve">. The</w:t>
      </w:r>
      <w:r>
        <w:t xml:space="preserve"> </w:t>
      </w:r>
      <w:r>
        <w:rPr>
          <w:rStyle w:val="VerbatimChar"/>
        </w:rPr>
        <w:t xml:space="preserve">/rankings</w:t>
      </w:r>
      <w:r>
        <w:t xml:space="preserve"> </w:t>
      </w:r>
      <w:r>
        <w:t xml:space="preserve">path (no trailing slash) also returns 404 while</w:t>
      </w:r>
      <w:r>
        <w:t xml:space="preserve"> </w:t>
      </w:r>
      <w:r>
        <w:rPr>
          <w:rStyle w:val="VerbatimChar"/>
        </w:rPr>
        <w:t xml:space="preserve">/rankings/</w:t>
      </w:r>
      <w:r>
        <w:t xml:space="preserve"> </w:t>
      </w:r>
      <w:r>
        <w:t xml:space="preserve">works</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These are not edge cases — Phuket is Thailand’s most internationally recognised smart city, and a broken dossier link is the first thing a juror testing the site will encounter. The 404 page offers a feedback form to</w:t>
      </w:r>
      <w:r>
        <w:t xml:space="preserve"> </w:t>
      </w:r>
      <w:r>
        <w:rPr>
          <w:rStyle w:val="VerbatimChar"/>
        </w:rPr>
        <w:t xml:space="preserve">non.ar@depa.or.th</w:t>
      </w:r>
      <w:r>
        <w:t xml:space="preserve">, but a slug alias or client-side redirect would be the correct fix.</w:t>
      </w:r>
    </w:p>
    <w:p>
      <w:pPr>
        <w:pStyle w:val="BodyText"/>
      </w:pPr>
      <w:r>
        <w:rPr>
          <w:bCs/>
          <w:b/>
        </w:rPr>
        <w:t xml:space="preserve">Language mislabel bug.</w:t>
      </w:r>
      <w:r>
        <w:t xml:space="preserve"> </w:t>
      </w:r>
      <w:r>
        <w:t xml:space="preserve">The</w:t>
      </w:r>
      <w:r>
        <w:t xml:space="preserve"> </w:t>
      </w:r>
      <w:r>
        <w:t xml:space="preserve">“</w:t>
      </w:r>
      <w:r>
        <w:t xml:space="preserve">TH</w:t>
      </w:r>
      <w:r>
        <w:t xml:space="preserve">”</w:t>
      </w:r>
      <w:r>
        <w:t xml:space="preserve"> </w:t>
      </w:r>
      <w:r>
        <w:t xml:space="preserve">button in the top-right navigation renders the entire site in Simplified Chinese</w:t>
      </w:r>
      <w:r>
        <w:t xml:space="preserve"> </w:t>
      </w:r>
      <w:fldSimple w:instr="NOTEREF _Ref_Footnote_1 \h \f">
        <w:r>
          <w:rPr>
            <w:vertAlign w:val="superscript"/>
          </w:rPr>
          <w:t>1</w:t>
        </w:r>
      </w:fldSimple>
      <w:r>
        <w:t xml:space="preserve">. This is a label bug, not a missing-translation bug — the Chinese content is complete and high-quality. But a Thai user clicking</w:t>
      </w:r>
      <w:r>
        <w:t xml:space="preserve"> </w:t>
      </w:r>
      <w:r>
        <w:t xml:space="preserve">“</w:t>
      </w:r>
      <w:r>
        <w:t xml:space="preserve">TH</w:t>
      </w:r>
      <w:r>
        <w:t xml:space="preserve">”</w:t>
      </w:r>
      <w:r>
        <w:t xml:space="preserve"> </w:t>
      </w:r>
      <w:r>
        <w:t xml:space="preserve">and receiving Chinese characters would justifiably regard the product as broken. Thai language content is entirely absent from the application despite the project’s phonetic guide referencing Thai script (</w:t>
      </w:r>
      <w:r>
        <w:rPr>
          <w:rStyle w:val="VerbatimChar"/>
        </w:rPr>
        <w:t xml:space="preserve">Samastiti ≈ สมาร์ทซิตี้</w:t>
      </w:r>
      <w:r>
        <w:t xml:space="preserve">)</w:t>
      </w:r>
      <w:r>
        <w:t xml:space="preserve"> </w:t>
      </w:r>
      <w:fldSimple w:instr="NOTEREF _Ref_Footnote_1 \h \f">
        <w:r>
          <w:rPr>
            <w:vertAlign w:val="superscript"/>
          </w:rPr>
          <w:t>1</w:t>
        </w:r>
      </w:fldSimple>
      <w:r>
        <w:t xml:space="preserve">. For a Thai government-backed platform, this is a credibility-destroying gap that must be resolved before any international award submission.</w:t>
      </w:r>
    </w:p>
    <w:p>
      <w:pPr>
        <w:pStyle w:val="BodyText"/>
      </w:pPr>
      <w:r>
        <w:rPr>
          <w:bCs/>
          <w:b/>
        </w:rPr>
        <w:t xml:space="preserve">PDF placeholders.</w:t>
      </w:r>
      <w:r>
        <w:t xml:space="preserve"> </w:t>
      </w:r>
      <w:r>
        <w:t xml:space="preserve">The four PDF download buttons (Executive Summary, Methodology Paper, Full Report, Performance Audit) present files of approximately 5 KB each — a genuine methodology paper would exceed 1 MB</w:t>
      </w:r>
      <w:r>
        <w:t xml:space="preserve"> </w:t>
      </w:r>
      <w:fldSimple w:instr="NOTEREF _Ref_Footnote_1 \h \f">
        <w:r>
          <w:rPr>
            <w:vertAlign w:val="superscript"/>
          </w:rPr>
          <w:t>1</w:t>
        </w:r>
      </w:fldSimple>
      <w:r>
        <w:t xml:space="preserve">. This is not a minor cosmetic issue. SCITI’s credibility claim rests on transparency and auditability. Offering 5 KB PDF stubs undermines the entire value proposition. The methodology page documents a composite formula and version history</w:t>
      </w:r>
      <w:r>
        <w:t xml:space="preserve"> </w:t>
      </w:r>
      <w:fldSimple w:instr="NOTEREF _Ref_Footnote_11 \h \f">
        <w:r>
          <w:rPr>
            <w:vertAlign w:val="superscript"/>
          </w:rPr>
          <w:t>11</w:t>
        </w:r>
      </w:fldSimple>
      <w:r>
        <w:t xml:space="preserve">, but without downloadable documents, SCITI is asking users to trust rather than verify.</w:t>
      </w:r>
    </w:p>
    <w:p>
      <w:pPr>
        <w:pStyle w:val="BodyText"/>
      </w:pPr>
      <w:r>
        <w:rPr>
          <w:bCs/>
          <w:b/>
        </w:rPr>
        <w:t xml:space="preserve">Security and performance gaps.</w:t>
      </w:r>
      <w:r>
        <w:t xml:space="preserve"> </w:t>
      </w:r>
      <w:r>
        <w:t xml:space="preserve">Three critical security headers (HSTS, CSP, X-Frame-Options) are absent from all responses</w:t>
      </w:r>
      <w:r>
        <w:t xml:space="preserve"> </w:t>
      </w:r>
      <w:fldSimple w:instr="NOTEREF _Ref_Footnote_1 \h \f">
        <w:r>
          <w:rPr>
            <w:vertAlign w:val="superscript"/>
          </w:rPr>
          <w:t>1</w:t>
        </w:r>
      </w:fldSimple>
      <w:r>
        <w:t xml:space="preserve">. The</w:t>
      </w:r>
      <w:r>
        <w:t xml:space="preserve"> </w:t>
      </w:r>
      <w:r>
        <w:rPr>
          <w:rStyle w:val="VerbatimChar"/>
        </w:rPr>
        <w:t xml:space="preserve">Cache-Control: max-age=0</w:t>
      </w:r>
      <w:r>
        <w:t xml:space="preserve"> </w:t>
      </w:r>
      <w:r>
        <w:t xml:space="preserve">header and</w:t>
      </w:r>
      <w:r>
        <w:t xml:space="preserve"> </w:t>
      </w:r>
      <w:r>
        <w:rPr>
          <w:rStyle w:val="VerbatimChar"/>
        </w:rPr>
        <w:t xml:space="preserve">CF-Cache-Status: DYNAMIC</w:t>
      </w:r>
      <w:r>
        <w:t xml:space="preserve"> </w:t>
      </w:r>
      <w:r>
        <w:t xml:space="preserve">mean zero browser and zero CDN caching, negating the meticulous frontend performance optimizations</w:t>
      </w:r>
      <w:r>
        <w:t xml:space="preserve"> </w:t>
      </w:r>
      <w:fldSimple w:instr="NOTEREF _Ref_Footnote_1 \h \f">
        <w:r>
          <w:rPr>
            <w:vertAlign w:val="superscript"/>
          </w:rPr>
          <w:t>1</w:t>
        </w:r>
      </w:fldSimple>
      <w:r>
        <w:t xml:space="preserve">. These are invisible to jurors but reflect on the product’s production readiness.</w:t>
      </w:r>
    </w:p>
    <w:bookmarkEnd w:id="126"/>
    <w:bookmarkStart w:id="127" w:name="recommended-award-categories"/>
    <w:p>
      <w:pPr>
        <w:pStyle w:val="Heading4"/>
      </w:pPr>
      <w:r>
        <w:t xml:space="preserve">6.1.3 Recommended Award Categories</w:t>
      </w:r>
    </w:p>
    <w:p>
      <w:pPr>
        <w:pStyle w:val="FirstParagraph"/>
      </w:pPr>
      <w:r>
        <w:t xml:space="preserve">SCITI should submit to three Red Dot categories in the Communication Design discipline:</w:t>
      </w:r>
    </w:p>
    <w:p>
      <w:pPr>
        <w:numPr>
          <w:ilvl w:val="0"/>
          <w:numId w:val="1002"/>
        </w:numPr>
      </w:pPr>
      <w:r>
        <w:rPr>
          <w:bCs/>
          <w:b/>
        </w:rPr>
        <w:t xml:space="preserve">Communication Design — Data Visualisation.</w:t>
      </w:r>
      <w:r>
        <w:t xml:space="preserve"> </w:t>
      </w:r>
      <w:r>
        <w:t xml:space="preserve">Justification: radar charts across 118 cities, tier badge system, Top Five asymmetric grid with contextual data badges, and the lens-based filtering with live spider chart updates. The evidence: every city dossier renders a seven-pillar spider chart with composite score overlay</w:t>
      </w:r>
      <w:r>
        <w:t xml:space="preserve"> </w:t>
      </w:r>
      <w:fldSimple w:instr="NOTEREF _Ref_Footnote_1 \h \f">
        <w:r>
          <w:rPr>
            <w:vertAlign w:val="superscript"/>
          </w:rPr>
          <w:t>1</w:t>
        </w:r>
      </w:fldSimple>
      <w:r>
        <w:t xml:space="preserve">.</w:t>
      </w:r>
    </w:p>
    <w:p>
      <w:pPr>
        <w:numPr>
          <w:ilvl w:val="0"/>
          <w:numId w:val="1002"/>
        </w:numPr>
      </w:pPr>
      <w:r>
        <w:rPr>
          <w:bCs/>
          <w:b/>
        </w:rPr>
        <w:t xml:space="preserve">Communication Design — Interface Design.</w:t>
      </w:r>
      <w:r>
        <w:t xml:space="preserve"> </w:t>
      </w:r>
      <w:r>
        <w:t xml:space="preserve">Justification: the</w:t>
      </w:r>
      <w:r>
        <w:t xml:space="preserve"> </w:t>
      </w:r>
      <w:r>
        <w:t xml:space="preserve">“</w:t>
      </w:r>
      <w:r>
        <w:t xml:space="preserve">Your City</w:t>
      </w:r>
      <w:r>
        <w:t xml:space="preserve">”</w:t>
      </w:r>
      <w:r>
        <w:t xml:space="preserve"> </w:t>
      </w:r>
      <w:r>
        <w:t xml:space="preserve">matcher with real-time A→B→C cycling and compatibility percentages, the Compare tool basket with pill interface, and the five-tab dossier structure (Overview/Analysis/Execution/Evidence/Next Steps). These interactions exceed the static-table interfaces typical of government data products</w:t>
      </w:r>
      <w:r>
        <w:t xml:space="preserve"> </w:t>
      </w:r>
      <w:fldSimple w:instr="NOTEREF _Ref_Footnote_1 \h \f">
        <w:r>
          <w:rPr>
            <w:vertAlign w:val="superscript"/>
          </w:rPr>
          <w:t>1</w:t>
        </w:r>
      </w:fldSimple>
      <w:r>
        <w:t xml:space="preserve">.</w:t>
      </w:r>
    </w:p>
    <w:p>
      <w:pPr>
        <w:numPr>
          <w:ilvl w:val="0"/>
          <w:numId w:val="1002"/>
        </w:numPr>
      </w:pPr>
      <w:r>
        <w:rPr>
          <w:bCs/>
          <w:b/>
        </w:rPr>
        <w:t xml:space="preserve">Communication Design — Digital Editorial Media.</w:t>
      </w:r>
      <w:r>
        <w:t xml:space="preserve"> </w:t>
      </w:r>
      <w:r>
        <w:t xml:space="preserve">Justification: the Partners page’s editorial honesty, the Story page’s city archetype narratives (</w:t>
      </w:r>
      <w:r>
        <w:t xml:space="preserve">“</w:t>
      </w:r>
      <w:r>
        <w:t xml:space="preserve">The Heavyweight,</w:t>
      </w:r>
      <w:r>
        <w:t xml:space="preserve">”</w:t>
      </w:r>
      <w:r>
        <w:t xml:space="preserve"> </w:t>
      </w:r>
      <w:r>
        <w:t xml:space="preserve">“</w:t>
      </w:r>
      <w:r>
        <w:t xml:space="preserve">The Grit,</w:t>
      </w:r>
      <w:r>
        <w:t xml:space="preserve">”</w:t>
      </w:r>
      <w:r>
        <w:t xml:space="preserve"> </w:t>
      </w:r>
      <w:r>
        <w:t xml:space="preserve">“</w:t>
      </w:r>
      <w:r>
        <w:t xml:space="preserve">The Reality Check</w:t>
      </w:r>
      <w:r>
        <w:t xml:space="preserve">”</w:t>
      </w:r>
      <w:r>
        <w:t xml:space="preserve">), and the homepage’s eight-section narrative arc from emotional hook to data to actionable exports</w:t>
      </w:r>
      <w:r>
        <w:t xml:space="preserve"> </w:t>
      </w:r>
      <w:fldSimple w:instr="NOTEREF _Ref_Footnote_1 \h \f">
        <w:r>
          <w:rPr>
            <w:vertAlign w:val="superscript"/>
          </w:rPr>
          <w:t>1</w:t>
        </w:r>
      </w:fldSimple>
      <w:r>
        <w:t xml:space="preserve">. This category rewards storytelling craft, which SCITI demonstrates more strongly than most data-driven submissions.</w:t>
      </w:r>
    </w:p>
    <w:p>
      <w:r>
        <w:pict>
          <v:rect style="width:0;height:1.5pt" o:hralign="center" o:hrstd="t" o:hr="t"/>
        </w:pict>
      </w:r>
    </w:p>
    <w:bookmarkEnd w:id="127"/>
    <w:bookmarkEnd w:id="128"/>
    <w:bookmarkStart w:id="129" w:name="day-action-plan"/>
    <w:p>
      <w:pPr>
        <w:pStyle w:val="Heading3"/>
      </w:pPr>
      <w:r>
        <w:t xml:space="preserve">6.2 90-Day Action Plan</w:t>
      </w:r>
    </w:p>
    <w:p>
      <w:pPr>
        <w:pStyle w:val="FirstParagraph"/>
      </w:pPr>
      <w:r>
        <w:t xml:space="preserve">The following scorecard quantifies SCITI’s readiness across 12 assessment dimensions. Each score is derived from the specific findings documented in Chapters 1–5. The target scores reflect the minimum threshold for a credible Red Dot submission or international launch.</w:t>
      </w:r>
    </w:p>
    <w:p>
      <w:pPr>
        <w:pStyle w:val="BodyText"/>
      </w:pPr>
      <w:r>
        <w:rPr>
          <w:bCs/>
          <w:b/>
        </w:rPr>
        <w:t xml:space="preserve">Table 1: Award Readiness Scorecard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Current Score</w:t>
            </w:r>
          </w:p>
        </w:tc>
        <w:tc>
          <w:tcPr/>
          <w:p>
            <w:pPr>
              <w:pStyle w:val="Compact"/>
              <w:jc w:val="left"/>
            </w:pPr>
            <w:r>
              <w:t xml:space="preserve">Target</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Routing &amp; navigation</w:t>
            </w:r>
          </w:p>
        </w:tc>
        <w:tc>
          <w:tcPr/>
          <w:p>
            <w:pPr>
              <w:pStyle w:val="Compact"/>
              <w:jc w:val="left"/>
            </w:pPr>
            <w:r>
              <w:t xml:space="preserve">6/10</w:t>
            </w:r>
          </w:p>
        </w:tc>
        <w:tc>
          <w:tcPr/>
          <w:p>
            <w:pPr>
              <w:pStyle w:val="Compact"/>
              <w:jc w:val="left"/>
            </w:pPr>
            <w:r>
              <w:t xml:space="preserve">9/10</w:t>
            </w:r>
          </w:p>
        </w:tc>
        <w:tc>
          <w:tcPr/>
          <w:p>
            <w:pPr>
              <w:pStyle w:val="Compact"/>
              <w:jc w:val="left"/>
            </w:pPr>
            <w:r>
              <w:t xml:space="preserve">Slug aliases for all city names; fix</w:t>
            </w:r>
            <w:r>
              <w:t xml:space="preserve"> </w:t>
            </w:r>
            <w:r>
              <w:rPr>
                <w:rStyle w:val="VerbatimChar"/>
              </w:rPr>
              <w:t xml:space="preserve">/rankings</w:t>
            </w:r>
            <w:r>
              <w:t xml:space="preserve"> </w:t>
            </w:r>
            <w:r>
              <w:t xml:space="preserve">trailing-slash 404</w:t>
            </w:r>
            <w:r>
              <w:t xml:space="preserve"> </w:t>
            </w:r>
            <w:fldSimple w:instr="NOTEREF _Ref_Footnote_1 \h \f">
              <w:r>
                <w:rPr>
                  <w:vertAlign w:val="superscript"/>
                </w:rPr>
                <w:t>1</w:t>
              </w:r>
            </w:fldSimple>
            <w:r>
              <w:t xml:space="preserve"> </w:t>
            </w:r>
            <w:fldSimple w:instr="NOTEREF _Ref_Footnote_2 \h \f">
              <w:r>
                <w:rPr>
                  <w:vertAlign w:val="superscript"/>
                </w:rPr>
                <w:t>2</w:t>
              </w:r>
            </w:fldSimple>
          </w:p>
        </w:tc>
        <w:tc>
          <w:tcPr/>
          <w:p>
            <w:pPr>
              <w:pStyle w:val="Compact"/>
              <w:jc w:val="left"/>
            </w:pPr>
            <w:r>
              <w:t xml:space="preserve">Critical</w:t>
            </w:r>
          </w:p>
        </w:tc>
      </w:tr>
      <w:tr>
        <w:tc>
          <w:tcPr/>
          <w:p>
            <w:pPr>
              <w:pStyle w:val="Compact"/>
              <w:jc w:val="left"/>
            </w:pPr>
            <w:r>
              <w:t xml:space="preserve">Language support</w:t>
            </w:r>
          </w:p>
        </w:tc>
        <w:tc>
          <w:tcPr/>
          <w:p>
            <w:pPr>
              <w:pStyle w:val="Compact"/>
              <w:jc w:val="left"/>
            </w:pPr>
            <w:r>
              <w:t xml:space="preserve">3/10</w:t>
            </w:r>
          </w:p>
        </w:tc>
        <w:tc>
          <w:tcPr/>
          <w:p>
            <w:pPr>
              <w:pStyle w:val="Compact"/>
              <w:jc w:val="left"/>
            </w:pPr>
            <w:r>
              <w:t xml:space="preserve">9/10</w:t>
            </w:r>
          </w:p>
        </w:tc>
        <w:tc>
          <w:tcPr/>
          <w:p>
            <w:pPr>
              <w:pStyle w:val="Compact"/>
              <w:jc w:val="left"/>
            </w:pPr>
            <w:r>
              <w:t xml:space="preserve">Fix</w:t>
            </w:r>
            <w:r>
              <w:t xml:space="preserve"> </w:t>
            </w:r>
            <w:r>
              <w:t xml:space="preserve">“</w:t>
            </w:r>
            <w:r>
              <w:t xml:space="preserve">TH</w:t>
            </w:r>
            <w:r>
              <w:t xml:space="preserve">”</w:t>
            </w:r>
            <w:r>
              <w:t xml:space="preserve"> </w:t>
            </w:r>
            <w:r>
              <w:t xml:space="preserve">label bug; add Thai language content</w:t>
            </w:r>
            <w:r>
              <w:t xml:space="preserve"> </w:t>
            </w:r>
            <w:fldSimple w:instr="NOTEREF _Ref_Footnote_1 \h \f">
              <w:r>
                <w:rPr>
                  <w:vertAlign w:val="superscript"/>
                </w:rPr>
                <w:t>1</w:t>
              </w:r>
            </w:fldSimple>
          </w:p>
        </w:tc>
        <w:tc>
          <w:tcPr/>
          <w:p>
            <w:pPr>
              <w:pStyle w:val="Compact"/>
              <w:jc w:val="left"/>
            </w:pPr>
            <w:r>
              <w:t xml:space="preserve">Critical</w:t>
            </w:r>
          </w:p>
        </w:tc>
      </w:tr>
      <w:tr>
        <w:tc>
          <w:tcPr/>
          <w:p>
            <w:pPr>
              <w:pStyle w:val="Compact"/>
              <w:jc w:val="left"/>
            </w:pPr>
            <w:r>
              <w:t xml:space="preserve">PDF &amp; document delivery</w:t>
            </w:r>
          </w:p>
        </w:tc>
        <w:tc>
          <w:tcPr/>
          <w:p>
            <w:pPr>
              <w:pStyle w:val="Compact"/>
              <w:jc w:val="left"/>
            </w:pPr>
            <w:r>
              <w:t xml:space="preserve">2/10</w:t>
            </w:r>
          </w:p>
        </w:tc>
        <w:tc>
          <w:tcPr/>
          <w:p>
            <w:pPr>
              <w:pStyle w:val="Compact"/>
              <w:jc w:val="left"/>
            </w:pPr>
            <w:r>
              <w:t xml:space="preserve">8/10</w:t>
            </w:r>
          </w:p>
        </w:tc>
        <w:tc>
          <w:tcPr/>
          <w:p>
            <w:pPr>
              <w:pStyle w:val="Compact"/>
              <w:jc w:val="left"/>
            </w:pPr>
            <w:r>
              <w:t xml:space="preserve">Replace 5 KB placeholders with real documents</w:t>
            </w:r>
            <w:r>
              <w:t xml:space="preserve"> </w:t>
            </w:r>
            <w:fldSimple w:instr="NOTEREF _Ref_Footnote_1 \h \f">
              <w:r>
                <w:rPr>
                  <w:vertAlign w:val="superscript"/>
                </w:rPr>
                <w:t>1</w:t>
              </w:r>
            </w:fldSimple>
          </w:p>
        </w:tc>
        <w:tc>
          <w:tcPr/>
          <w:p>
            <w:pPr>
              <w:pStyle w:val="Compact"/>
              <w:jc w:val="left"/>
            </w:pPr>
            <w:r>
              <w:t xml:space="preserve">Critical</w:t>
            </w:r>
          </w:p>
        </w:tc>
      </w:tr>
      <w:tr>
        <w:tc>
          <w:tcPr/>
          <w:p>
            <w:pPr>
              <w:pStyle w:val="Compact"/>
              <w:jc w:val="left"/>
            </w:pPr>
            <w:r>
              <w:t xml:space="preserve">Security headers</w:t>
            </w:r>
          </w:p>
        </w:tc>
        <w:tc>
          <w:tcPr/>
          <w:p>
            <w:pPr>
              <w:pStyle w:val="Compact"/>
              <w:jc w:val="left"/>
            </w:pPr>
            <w:r>
              <w:t xml:space="preserve">3/10</w:t>
            </w:r>
          </w:p>
        </w:tc>
        <w:tc>
          <w:tcPr/>
          <w:p>
            <w:pPr>
              <w:pStyle w:val="Compact"/>
              <w:jc w:val="left"/>
            </w:pPr>
            <w:r>
              <w:t xml:space="preserve">9/10</w:t>
            </w:r>
          </w:p>
        </w:tc>
        <w:tc>
          <w:tcPr/>
          <w:p>
            <w:pPr>
              <w:pStyle w:val="Compact"/>
              <w:jc w:val="left"/>
            </w:pPr>
            <w:r>
              <w:t xml:space="preserve">Add HSTS, CSP, X-Frame-Options at Cloudflare edge</w:t>
            </w:r>
            <w:r>
              <w:t xml:space="preserve"> </w:t>
            </w:r>
            <w:fldSimple w:instr="NOTEREF _Ref_Footnote_1 \h \f">
              <w:r>
                <w:rPr>
                  <w:vertAlign w:val="superscript"/>
                </w:rPr>
                <w:t>1</w:t>
              </w:r>
            </w:fldSimple>
          </w:p>
        </w:tc>
        <w:tc>
          <w:tcPr/>
          <w:p>
            <w:pPr>
              <w:pStyle w:val="Compact"/>
              <w:jc w:val="left"/>
            </w:pPr>
            <w:r>
              <w:t xml:space="preserve">High</w:t>
            </w:r>
          </w:p>
        </w:tc>
      </w:tr>
      <w:tr>
        <w:tc>
          <w:tcPr/>
          <w:p>
            <w:pPr>
              <w:pStyle w:val="Compact"/>
              <w:jc w:val="left"/>
            </w:pPr>
            <w:r>
              <w:t xml:space="preserve">Caching &amp; performance</w:t>
            </w:r>
          </w:p>
        </w:tc>
        <w:tc>
          <w:tcPr/>
          <w:p>
            <w:pPr>
              <w:pStyle w:val="Compact"/>
              <w:jc w:val="left"/>
            </w:pPr>
            <w:r>
              <w:t xml:space="preserve">4/10</w:t>
            </w:r>
          </w:p>
        </w:tc>
        <w:tc>
          <w:tcPr/>
          <w:p>
            <w:pPr>
              <w:pStyle w:val="Compact"/>
              <w:jc w:val="left"/>
            </w:pPr>
            <w:r>
              <w:t xml:space="preserve">8/10</w:t>
            </w:r>
          </w:p>
        </w:tc>
        <w:tc>
          <w:tcPr/>
          <w:p>
            <w:pPr>
              <w:pStyle w:val="Compact"/>
              <w:jc w:val="left"/>
            </w:pPr>
            <w:r>
              <w:t xml:space="preserve">Configure Cloudflare Page Rule; adjust Cache-Control</w:t>
            </w:r>
            <w:r>
              <w:t xml:space="preserve"> </w:t>
            </w:r>
            <w:fldSimple w:instr="NOTEREF _Ref_Footnote_1 \h \f">
              <w:r>
                <w:rPr>
                  <w:vertAlign w:val="superscript"/>
                </w:rPr>
                <w:t>1</w:t>
              </w:r>
            </w:fldSimple>
          </w:p>
        </w:tc>
        <w:tc>
          <w:tcPr/>
          <w:p>
            <w:pPr>
              <w:pStyle w:val="Compact"/>
              <w:jc w:val="left"/>
            </w:pPr>
            <w:r>
              <w:t xml:space="preserve">High</w:t>
            </w:r>
          </w:p>
        </w:tc>
      </w:tr>
      <w:tr>
        <w:tc>
          <w:tcPr/>
          <w:p>
            <w:pPr>
              <w:pStyle w:val="Compact"/>
              <w:jc w:val="left"/>
            </w:pPr>
            <w:r>
              <w:t xml:space="preserve">Data visualisation</w:t>
            </w:r>
          </w:p>
        </w:tc>
        <w:tc>
          <w:tcPr/>
          <w:p>
            <w:pPr>
              <w:pStyle w:val="Compact"/>
              <w:jc w:val="left"/>
            </w:pPr>
            <w:r>
              <w:t xml:space="preserve">8/10</w:t>
            </w:r>
          </w:p>
        </w:tc>
        <w:tc>
          <w:tcPr/>
          <w:p>
            <w:pPr>
              <w:pStyle w:val="Compact"/>
              <w:jc w:val="left"/>
            </w:pPr>
            <w:r>
              <w:t xml:space="preserve">9/10</w:t>
            </w:r>
          </w:p>
        </w:tc>
        <w:tc>
          <w:tcPr/>
          <w:p>
            <w:pPr>
              <w:pStyle w:val="Compact"/>
              <w:jc w:val="left"/>
            </w:pPr>
            <w:r>
              <w:t xml:space="preserve">Enhance radar charts with comparison overlays</w:t>
            </w:r>
          </w:p>
        </w:tc>
        <w:tc>
          <w:tcPr/>
          <w:p>
            <w:pPr>
              <w:pStyle w:val="Compact"/>
              <w:jc w:val="left"/>
            </w:pPr>
            <w:r>
              <w:t xml:space="preserve">Medium</w:t>
            </w:r>
          </w:p>
        </w:tc>
      </w:tr>
      <w:tr>
        <w:tc>
          <w:tcPr/>
          <w:p>
            <w:pPr>
              <w:pStyle w:val="Compact"/>
              <w:jc w:val="left"/>
            </w:pPr>
            <w:r>
              <w:t xml:space="preserve">Interface design</w:t>
            </w:r>
          </w:p>
        </w:tc>
        <w:tc>
          <w:tcPr/>
          <w:p>
            <w:pPr>
              <w:pStyle w:val="Compact"/>
              <w:jc w:val="left"/>
            </w:pPr>
            <w:r>
              <w:t xml:space="preserve">8/10</w:t>
            </w:r>
          </w:p>
        </w:tc>
        <w:tc>
          <w:tcPr/>
          <w:p>
            <w:pPr>
              <w:pStyle w:val="Compact"/>
              <w:jc w:val="left"/>
            </w:pPr>
            <w:r>
              <w:t xml:space="preserve">9/10</w:t>
            </w:r>
          </w:p>
        </w:tc>
        <w:tc>
          <w:tcPr/>
          <w:p>
            <w:pPr>
              <w:pStyle w:val="Compact"/>
              <w:jc w:val="left"/>
            </w:pPr>
            <w:r>
              <w:t xml:space="preserve">Polish pill interactions; add loading states</w:t>
            </w:r>
          </w:p>
        </w:tc>
        <w:tc>
          <w:tcPr/>
          <w:p>
            <w:pPr>
              <w:pStyle w:val="Compact"/>
              <w:jc w:val="left"/>
            </w:pPr>
            <w:r>
              <w:t xml:space="preserve">Medium</w:t>
            </w:r>
          </w:p>
        </w:tc>
      </w:tr>
      <w:tr>
        <w:tc>
          <w:tcPr/>
          <w:p>
            <w:pPr>
              <w:pStyle w:val="Compact"/>
              <w:jc w:val="left"/>
            </w:pPr>
            <w:r>
              <w:t xml:space="preserve">Content depth</w:t>
            </w:r>
          </w:p>
        </w:tc>
        <w:tc>
          <w:tcPr/>
          <w:p>
            <w:pPr>
              <w:pStyle w:val="Compact"/>
              <w:jc w:val="left"/>
            </w:pPr>
            <w:r>
              <w:t xml:space="preserve">5/10</w:t>
            </w:r>
          </w:p>
        </w:tc>
        <w:tc>
          <w:tcPr/>
          <w:p>
            <w:pPr>
              <w:pStyle w:val="Compact"/>
              <w:jc w:val="left"/>
            </w:pPr>
            <w:r>
              <w:t xml:space="preserve">8/10</w:t>
            </w:r>
          </w:p>
        </w:tc>
        <w:tc>
          <w:tcPr/>
          <w:p>
            <w:pPr>
              <w:pStyle w:val="Compact"/>
              <w:jc w:val="left"/>
            </w:pPr>
            <w:r>
              <w:t xml:space="preserve">Add self-assessment, financing, case studies per Section 5</w:t>
            </w:r>
            <w:r>
              <w:t xml:space="preserve"> </w:t>
            </w:r>
            <w:fldSimple w:instr="NOTEREF _Ref_Footnote_60 \h \f">
              <w:r>
                <w:rPr>
                  <w:vertAlign w:val="superscript"/>
                </w:rPr>
                <w:t>60</w:t>
              </w:r>
            </w:fldSimple>
            <w:r>
              <w:t xml:space="preserve"> </w:t>
            </w:r>
            <w:fldSimple w:instr="NOTEREF _Ref_Footnote_34 \h \f">
              <w:r>
                <w:rPr>
                  <w:vertAlign w:val="superscript"/>
                </w:rPr>
                <w:t>34</w:t>
              </w:r>
            </w:fldSimple>
          </w:p>
        </w:tc>
        <w:tc>
          <w:tcPr/>
          <w:p>
            <w:pPr>
              <w:pStyle w:val="Compact"/>
              <w:jc w:val="left"/>
            </w:pPr>
            <w:r>
              <w:t xml:space="preserve">High</w:t>
            </w:r>
          </w:p>
        </w:tc>
      </w:tr>
      <w:tr>
        <w:tc>
          <w:tcPr/>
          <w:p>
            <w:pPr>
              <w:pStyle w:val="Compact"/>
              <w:jc w:val="left"/>
            </w:pPr>
            <w:r>
              <w:t xml:space="preserve">SEO &amp; structured data</w:t>
            </w:r>
          </w:p>
        </w:tc>
        <w:tc>
          <w:tcPr/>
          <w:p>
            <w:pPr>
              <w:pStyle w:val="Compact"/>
              <w:jc w:val="left"/>
            </w:pPr>
            <w:r>
              <w:t xml:space="preserve">4/10</w:t>
            </w:r>
          </w:p>
        </w:tc>
        <w:tc>
          <w:tcPr/>
          <w:p>
            <w:pPr>
              <w:pStyle w:val="Compact"/>
              <w:jc w:val="left"/>
            </w:pPr>
            <w:r>
              <w:t xml:space="preserve">8/10</w:t>
            </w:r>
          </w:p>
        </w:tc>
        <w:tc>
          <w:tcPr/>
          <w:p>
            <w:pPr>
              <w:pStyle w:val="Compact"/>
              <w:jc w:val="left"/>
            </w:pPr>
            <w:r>
              <w:t xml:space="preserve">Add Schema.org JSON-LD; city-specific meta descriptions</w:t>
            </w:r>
            <w:r>
              <w:t xml:space="preserve"> </w:t>
            </w:r>
            <w:fldSimple w:instr="NOTEREF _Ref_Footnote_1 \h \f">
              <w:r>
                <w:rPr>
                  <w:vertAlign w:val="superscript"/>
                </w:rPr>
                <w:t>1</w:t>
              </w:r>
            </w:fldSimple>
          </w:p>
        </w:tc>
        <w:tc>
          <w:tcPr/>
          <w:p>
            <w:pPr>
              <w:pStyle w:val="Compact"/>
              <w:jc w:val="left"/>
            </w:pPr>
            <w:r>
              <w:t xml:space="preserve">Medium</w:t>
            </w:r>
          </w:p>
        </w:tc>
      </w:tr>
      <w:tr>
        <w:tc>
          <w:tcPr/>
          <w:p>
            <w:pPr>
              <w:pStyle w:val="Compact"/>
              <w:jc w:val="left"/>
            </w:pPr>
            <w:r>
              <w:t xml:space="preserve">Accessibility</w:t>
            </w:r>
          </w:p>
        </w:tc>
        <w:tc>
          <w:tcPr/>
          <w:p>
            <w:pPr>
              <w:pStyle w:val="Compact"/>
              <w:jc w:val="left"/>
            </w:pPr>
            <w:r>
              <w:t xml:space="preserve">5/10</w:t>
            </w:r>
          </w:p>
        </w:tc>
        <w:tc>
          <w:tcPr/>
          <w:p>
            <w:pPr>
              <w:pStyle w:val="Compact"/>
              <w:jc w:val="left"/>
            </w:pPr>
            <w:r>
              <w:t xml:space="preserve">8/10</w:t>
            </w:r>
          </w:p>
        </w:tc>
        <w:tc>
          <w:tcPr/>
          <w:p>
            <w:pPr>
              <w:pStyle w:val="Compact"/>
              <w:jc w:val="left"/>
            </w:pPr>
            <w:r>
              <w:t xml:space="preserve">WCAG 2.1 AA tables; keyboard navigation; alt text</w:t>
            </w:r>
            <w:r>
              <w:t xml:space="preserve"> </w:t>
            </w:r>
            <w:fldSimple w:instr="NOTEREF _Ref_Footnote_42 \h \f">
              <w:r>
                <w:rPr>
                  <w:vertAlign w:val="superscript"/>
                </w:rPr>
                <w:t>42</w:t>
              </w:r>
            </w:fldSimple>
            <w:r>
              <w:t xml:space="preserve"> </w:t>
            </w:r>
            <w:fldSimple w:instr="NOTEREF _Ref_Footnote_51 \h \f">
              <w:r>
                <w:rPr>
                  <w:vertAlign w:val="superscript"/>
                </w:rPr>
                <w:t>51</w:t>
              </w:r>
            </w:fldSimple>
          </w:p>
        </w:tc>
        <w:tc>
          <w:tcPr/>
          <w:p>
            <w:pPr>
              <w:pStyle w:val="Compact"/>
              <w:jc w:val="left"/>
            </w:pPr>
            <w:r>
              <w:t xml:space="preserve">Medium</w:t>
            </w:r>
          </w:p>
        </w:tc>
      </w:tr>
      <w:tr>
        <w:tc>
          <w:tcPr/>
          <w:p>
            <w:pPr>
              <w:pStyle w:val="Compact"/>
              <w:jc w:val="left"/>
            </w:pPr>
            <w:r>
              <w:t xml:space="preserve">Mobile responsiveness</w:t>
            </w:r>
          </w:p>
        </w:tc>
        <w:tc>
          <w:tcPr/>
          <w:p>
            <w:pPr>
              <w:pStyle w:val="Compact"/>
              <w:jc w:val="left"/>
            </w:pPr>
            <w:r>
              <w:t xml:space="preserve">6/10</w:t>
            </w:r>
          </w:p>
        </w:tc>
        <w:tc>
          <w:tcPr/>
          <w:p>
            <w:pPr>
              <w:pStyle w:val="Compact"/>
              <w:jc w:val="left"/>
            </w:pPr>
            <w:r>
              <w:t xml:space="preserve">9/10</w:t>
            </w:r>
          </w:p>
        </w:tc>
        <w:tc>
          <w:tcPr/>
          <w:p>
            <w:pPr>
              <w:pStyle w:val="Compact"/>
              <w:jc w:val="left"/>
            </w:pPr>
            <w:r>
              <w:t xml:space="preserve">Dedicated mobile testing; touch-optimised interactions</w:t>
            </w:r>
          </w:p>
        </w:tc>
        <w:tc>
          <w:tcPr/>
          <w:p>
            <w:pPr>
              <w:pStyle w:val="Compact"/>
              <w:jc w:val="left"/>
            </w:pPr>
            <w:r>
              <w:t xml:space="preserve">Medium</w:t>
            </w:r>
          </w:p>
        </w:tc>
      </w:tr>
      <w:tr>
        <w:tc>
          <w:tcPr/>
          <w:p>
            <w:pPr>
              <w:pStyle w:val="Compact"/>
              <w:jc w:val="left"/>
            </w:pPr>
            <w:r>
              <w:t xml:space="preserve">Award narrative &amp; documentation</w:t>
            </w:r>
          </w:p>
        </w:tc>
        <w:tc>
          <w:tcPr/>
          <w:p>
            <w:pPr>
              <w:pStyle w:val="Compact"/>
              <w:jc w:val="left"/>
            </w:pPr>
            <w:r>
              <w:t xml:space="preserve">4/10</w:t>
            </w:r>
          </w:p>
        </w:tc>
        <w:tc>
          <w:tcPr/>
          <w:p>
            <w:pPr>
              <w:pStyle w:val="Compact"/>
              <w:jc w:val="left"/>
            </w:pPr>
            <w:r>
              <w:t xml:space="preserve">9/10</w:t>
            </w:r>
          </w:p>
        </w:tc>
        <w:tc>
          <w:tcPr/>
          <w:p>
            <w:pPr>
              <w:pStyle w:val="Compact"/>
              <w:jc w:val="left"/>
            </w:pPr>
            <w:r>
              <w:t xml:space="preserve">Prepare submission text, screenshots, case study</w:t>
            </w:r>
          </w:p>
        </w:tc>
        <w:tc>
          <w:tcPr/>
          <w:p>
            <w:pPr>
              <w:pStyle w:val="Compact"/>
              <w:jc w:val="left"/>
            </w:pPr>
            <w:r>
              <w:t xml:space="preserve">High</w:t>
            </w:r>
          </w:p>
        </w:tc>
      </w:tr>
    </w:tbl>
    <w:p>
      <w:pPr>
        <w:pStyle w:val="BodyText"/>
      </w:pPr>
      <w:r>
        <w:rPr>
          <w:bCs/>
          <w:b/>
        </w:rPr>
        <w:t xml:space="preserve">Interpretation:</w:t>
      </w:r>
      <w:r>
        <w:t xml:space="preserve"> </w:t>
      </w:r>
      <w:r>
        <w:t xml:space="preserve">SCITI scores highest on visual design dimensions (8/10 for data visualisation and interface design) and lowest on content infrastructure (2–5/10 for PDFs, language, caching, SEO). The pattern is clear: the frontend design team has delivered award-calibre work that is undermined by backend configuration gaps and incomplete content. The four critical-priority items must be resolved before any award submission; the five high- and medium-priority items should be addressed in the same 90-day sprint to ensure the submission presents a complete product.</w:t>
      </w:r>
    </w:p>
    <w:p>
      <w:r>
        <w:pict>
          <v:rect style="width:0;height:1.5pt" o:hralign="center" o:hrstd="t" o:hr="t"/>
        </w:pict>
      </w:r>
    </w:p>
    <w:p>
      <w:pPr>
        <w:pStyle w:val="FirstParagraph"/>
      </w:pPr>
      <w:r>
        <w:t xml:space="preserve">The following timeline maps these fixes and enhancements to a concrete 12-week schedule with owners and deliverables.</w:t>
      </w:r>
    </w:p>
    <w:p>
      <w:pPr>
        <w:pStyle w:val="BodyText"/>
      </w:pPr>
      <w:r>
        <w:rPr>
          <w:bCs/>
          <w:b/>
        </w:rPr>
        <w:t xml:space="preserve">Table 2: 90-Day Action Plan Timeline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Task</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Fix all slug aliases:</w:t>
            </w:r>
            <w:r>
              <w:t xml:space="preserve"> </w:t>
            </w:r>
            <w:r>
              <w:rPr>
                <w:rStyle w:val="VerbatimChar"/>
              </w:rPr>
              <w:t xml:space="preserve">/city/phuket</w:t>
            </w:r>
            <w:r>
              <w:t xml:space="preserve"> </w:t>
            </w:r>
            <w:r>
              <w:t xml:space="preserve">→</w:t>
            </w:r>
            <w:r>
              <w:t xml:space="preserve"> </w:t>
            </w:r>
            <w:r>
              <w:rPr>
                <w:rStyle w:val="VerbatimChar"/>
              </w:rPr>
              <w:t xml:space="preserve">/city/phuket-smart-city</w:t>
            </w:r>
            <w:r>
              <w:t xml:space="preserve">;</w:t>
            </w:r>
            <w:r>
              <w:t xml:space="preserve"> </w:t>
            </w:r>
            <w:r>
              <w:rPr>
                <w:rStyle w:val="VerbatimChar"/>
              </w:rPr>
              <w:t xml:space="preserve">/rankings</w:t>
            </w:r>
            <w:r>
              <w:t xml:space="preserve"> </w:t>
            </w:r>
            <w:r>
              <w:t xml:space="preserve">→</w:t>
            </w:r>
            <w:r>
              <w:t xml:space="preserve"> </w:t>
            </w:r>
            <w:r>
              <w:rPr>
                <w:rStyle w:val="VerbatimChar"/>
              </w:rPr>
              <w:t xml:space="preserve">/rankings/</w:t>
            </w:r>
            <w:r>
              <w:t xml:space="preserve"> </w:t>
            </w:r>
            <w:r>
              <w:t xml:space="preserve">redirect; test all 118 city routes</w:t>
            </w:r>
          </w:p>
        </w:tc>
        <w:tc>
          <w:tcPr/>
          <w:p>
            <w:pPr>
              <w:pStyle w:val="Compact"/>
              <w:jc w:val="left"/>
            </w:pPr>
            <w:r>
              <w:t xml:space="preserve">Frontend Dev</w:t>
            </w:r>
          </w:p>
        </w:tc>
        <w:tc>
          <w:tcPr/>
          <w:p>
            <w:pPr>
              <w:pStyle w:val="Compact"/>
              <w:jc w:val="left"/>
            </w:pPr>
            <w:r>
              <w:t xml:space="preserve">Zero 404s on all city name variants; redirect map documented</w:t>
            </w:r>
          </w:p>
        </w:tc>
      </w:tr>
      <w:tr>
        <w:tc>
          <w:tcPr/>
          <w:p>
            <w:pPr>
              <w:pStyle w:val="Compact"/>
              <w:jc w:val="left"/>
            </w:pPr>
            <w:r>
              <w:t xml:space="preserve">1</w:t>
            </w:r>
          </w:p>
        </w:tc>
        <w:tc>
          <w:tcPr/>
          <w:p>
            <w:pPr>
              <w:pStyle w:val="Compact"/>
              <w:jc w:val="left"/>
            </w:pPr>
            <w:r>
              <w:t xml:space="preserve">Fix</w:t>
            </w:r>
            <w:r>
              <w:t xml:space="preserve"> </w:t>
            </w:r>
            <w:r>
              <w:t xml:space="preserve">“</w:t>
            </w:r>
            <w:r>
              <w:t xml:space="preserve">TH</w:t>
            </w:r>
            <w:r>
              <w:t xml:space="preserve">”</w:t>
            </w:r>
            <w:r>
              <w:t xml:space="preserve"> </w:t>
            </w:r>
            <w:r>
              <w:t xml:space="preserve">button label: rename to</w:t>
            </w:r>
            <w:r>
              <w:t xml:space="preserve"> </w:t>
            </w:r>
            <w:r>
              <w:t xml:space="preserve">“</w:t>
            </w:r>
            <w:r>
              <w:t xml:space="preserve">CN</w:t>
            </w:r>
            <w:r>
              <w:t xml:space="preserve">”</w:t>
            </w:r>
            <w:r>
              <w:t xml:space="preserve"> </w:t>
            </w:r>
            <w:r>
              <w:t xml:space="preserve">or</w:t>
            </w:r>
            <w:r>
              <w:t xml:space="preserve"> </w:t>
            </w:r>
            <w:r>
              <w:t xml:space="preserve">“</w:t>
            </w:r>
            <w:r>
              <w:t xml:space="preserve">中文</w:t>
            </w:r>
            <w:r>
              <w:t xml:space="preserve">”</w:t>
            </w:r>
            <w:r>
              <w:t xml:space="preserve">; verify EN/CN toggle works correctly</w:t>
            </w:r>
          </w:p>
        </w:tc>
        <w:tc>
          <w:tcPr/>
          <w:p>
            <w:pPr>
              <w:pStyle w:val="Compact"/>
              <w:jc w:val="left"/>
            </w:pPr>
            <w:r>
              <w:t xml:space="preserve">Frontend Dev</w:t>
            </w:r>
          </w:p>
        </w:tc>
        <w:tc>
          <w:tcPr/>
          <w:p>
            <w:pPr>
              <w:pStyle w:val="Compact"/>
              <w:jc w:val="left"/>
            </w:pPr>
            <w:r>
              <w:t xml:space="preserve">Language selector correctly labelled; both languages functional</w:t>
            </w:r>
          </w:p>
        </w:tc>
      </w:tr>
      <w:tr>
        <w:tc>
          <w:tcPr/>
          <w:p>
            <w:pPr>
              <w:pStyle w:val="Compact"/>
              <w:jc w:val="left"/>
            </w:pPr>
            <w:r>
              <w:t xml:space="preserve">2</w:t>
            </w:r>
          </w:p>
        </w:tc>
        <w:tc>
          <w:tcPr/>
          <w:p>
            <w:pPr>
              <w:pStyle w:val="Compact"/>
              <w:jc w:val="left"/>
            </w:pPr>
            <w:r>
              <w:t xml:space="preserve">Write and deploy real PDFs: Executive Summary (8–12 pp), Methodology Paper (20–30 pp), Full Report (50+ pp), Performance Audit</w:t>
            </w:r>
          </w:p>
        </w:tc>
        <w:tc>
          <w:tcPr/>
          <w:p>
            <w:pPr>
              <w:pStyle w:val="Compact"/>
              <w:jc w:val="left"/>
            </w:pPr>
            <w:r>
              <w:t xml:space="preserve">Content Lead + Designer</w:t>
            </w:r>
          </w:p>
        </w:tc>
        <w:tc>
          <w:tcPr/>
          <w:p>
            <w:pPr>
              <w:pStyle w:val="Compact"/>
              <w:jc w:val="left"/>
            </w:pPr>
            <w:r>
              <w:t xml:space="preserve">4 PDFs &gt;1 MB each, professionally designed, downloadable from homepage</w:t>
            </w:r>
          </w:p>
        </w:tc>
      </w:tr>
      <w:tr>
        <w:tc>
          <w:tcPr/>
          <w:p>
            <w:pPr>
              <w:pStyle w:val="Compact"/>
              <w:jc w:val="left"/>
            </w:pPr>
            <w:r>
              <w:t xml:space="preserve">2</w:t>
            </w:r>
          </w:p>
        </w:tc>
        <w:tc>
          <w:tcPr/>
          <w:p>
            <w:pPr>
              <w:pStyle w:val="Compact"/>
              <w:jc w:val="left"/>
            </w:pPr>
            <w:r>
              <w:t xml:space="preserve">Add Thai language content: translate all UI strings, navigation, city names, dossier tabs</w:t>
            </w:r>
          </w:p>
        </w:tc>
        <w:tc>
          <w:tcPr/>
          <w:p>
            <w:pPr>
              <w:pStyle w:val="Compact"/>
              <w:jc w:val="left"/>
            </w:pPr>
            <w:r>
              <w:t xml:space="preserve">Translator + Frontend Dev</w:t>
            </w:r>
          </w:p>
        </w:tc>
        <w:tc>
          <w:tcPr/>
          <w:p>
            <w:pPr>
              <w:pStyle w:val="Compact"/>
              <w:jc w:val="left"/>
            </w:pPr>
            <w:r>
              <w:t xml:space="preserve">Full Thai language site; ISO 639-1</w:t>
            </w:r>
            <w:r>
              <w:t xml:space="preserve"> </w:t>
            </w:r>
            <w:r>
              <w:rPr>
                <w:rStyle w:val="VerbatimChar"/>
              </w:rPr>
              <w:t xml:space="preserve">th</w:t>
            </w:r>
            <w:r>
              <w:t xml:space="preserve"> </w:t>
            </w:r>
            <w:r>
              <w:t xml:space="preserve">locale implemented</w:t>
            </w:r>
          </w:p>
        </w:tc>
      </w:tr>
      <w:tr>
        <w:tc>
          <w:tcPr/>
          <w:p>
            <w:pPr>
              <w:pStyle w:val="Compact"/>
              <w:jc w:val="left"/>
            </w:pPr>
            <w:r>
              <w:t xml:space="preserve">3</w:t>
            </w:r>
          </w:p>
        </w:tc>
        <w:tc>
          <w:tcPr/>
          <w:p>
            <w:pPr>
              <w:pStyle w:val="Compact"/>
              <w:jc w:val="left"/>
            </w:pPr>
            <w:r>
              <w:t xml:space="preserve">Configure Cloudflare security: enable HSTS (max-age=31536000; preload); add CSP policy; set X-Frame-Options: DENY</w:t>
            </w:r>
          </w:p>
        </w:tc>
        <w:tc>
          <w:tcPr/>
          <w:p>
            <w:pPr>
              <w:pStyle w:val="Compact"/>
              <w:jc w:val="left"/>
            </w:pPr>
            <w:r>
              <w:t xml:space="preserve">DevOps</w:t>
            </w:r>
          </w:p>
        </w:tc>
        <w:tc>
          <w:tcPr/>
          <w:p>
            <w:pPr>
              <w:pStyle w:val="Compact"/>
              <w:jc w:val="left"/>
            </w:pPr>
            <w:r>
              <w:t xml:space="preserve">All 6 security headers present; curl verification passed</w:t>
            </w:r>
          </w:p>
        </w:tc>
      </w:tr>
      <w:tr>
        <w:tc>
          <w:tcPr/>
          <w:p>
            <w:pPr>
              <w:pStyle w:val="Compact"/>
              <w:jc w:val="left"/>
            </w:pPr>
            <w:r>
              <w:t xml:space="preserve">3</w:t>
            </w:r>
          </w:p>
        </w:tc>
        <w:tc>
          <w:tcPr/>
          <w:p>
            <w:pPr>
              <w:pStyle w:val="Compact"/>
              <w:jc w:val="left"/>
            </w:pPr>
            <w:r>
              <w:t xml:space="preserve">Fix caching: Cloudflare Page Rule</w:t>
            </w:r>
            <w:r>
              <w:t xml:space="preserve"> </w:t>
            </w:r>
            <w:r>
              <w:t xml:space="preserve">“</w:t>
            </w:r>
            <w:r>
              <w:t xml:space="preserve">Cache Everything</w:t>
            </w:r>
            <w:r>
              <w:t xml:space="preserve">”</w:t>
            </w:r>
            <w:r>
              <w:t xml:space="preserve"> </w:t>
            </w:r>
            <w:r>
              <w:t xml:space="preserve">for HTML; Browser Cache TTL 2 hours; versioned asset hashes</w:t>
            </w:r>
          </w:p>
        </w:tc>
        <w:tc>
          <w:tcPr/>
          <w:p>
            <w:pPr>
              <w:pStyle w:val="Compact"/>
              <w:jc w:val="left"/>
            </w:pPr>
            <w:r>
              <w:t xml:space="preserve">DevOps</w:t>
            </w:r>
          </w:p>
        </w:tc>
        <w:tc>
          <w:tcPr/>
          <w:p>
            <w:pPr>
              <w:pStyle w:val="Compact"/>
              <w:jc w:val="left"/>
            </w:pPr>
            <w:r>
              <w:t xml:space="preserve">CF-Cache-Status: HIT on repeat requests; LCP &lt;2.5s</w:t>
            </w:r>
          </w:p>
        </w:tc>
      </w:tr>
      <w:tr>
        <w:tc>
          <w:tcPr/>
          <w:p>
            <w:pPr>
              <w:pStyle w:val="Compact"/>
              <w:jc w:val="left"/>
            </w:pPr>
            <w:r>
              <w:t xml:space="preserve">4</w:t>
            </w:r>
          </w:p>
        </w:tc>
        <w:tc>
          <w:tcPr/>
          <w:p>
            <w:pPr>
              <w:pStyle w:val="Compact"/>
              <w:jc w:val="left"/>
            </w:pPr>
            <w:r>
              <w:t xml:space="preserve">Add city-specific meta descriptions and Schema.org JSON-LD (Dataset, Organization, City schemas)</w:t>
            </w:r>
          </w:p>
        </w:tc>
        <w:tc>
          <w:tcPr/>
          <w:p>
            <w:pPr>
              <w:pStyle w:val="Compact"/>
              <w:jc w:val="left"/>
            </w:pPr>
            <w:r>
              <w:t xml:space="preserve">Frontend Dev</w:t>
            </w:r>
          </w:p>
        </w:tc>
        <w:tc>
          <w:tcPr/>
          <w:p>
            <w:pPr>
              <w:pStyle w:val="Compact"/>
              <w:jc w:val="left"/>
            </w:pPr>
            <w:r>
              <w:t xml:space="preserve">Unique meta per dossier; Google Rich Results Test passes</w:t>
            </w:r>
          </w:p>
        </w:tc>
      </w:tr>
      <w:tr>
        <w:tc>
          <w:tcPr/>
          <w:p>
            <w:pPr>
              <w:pStyle w:val="Compact"/>
              <w:jc w:val="left"/>
            </w:pPr>
            <w:r>
              <w:t xml:space="preserve">4</w:t>
            </w:r>
          </w:p>
        </w:tc>
        <w:tc>
          <w:tcPr/>
          <w:p>
            <w:pPr>
              <w:pStyle w:val="Compact"/>
              <w:jc w:val="left"/>
            </w:pPr>
            <w:r>
              <w:t xml:space="preserve">Implement WCAG 2.1 AA: accessible data tables, ARIA labels, keyboard navigation, alt text on all images</w:t>
            </w:r>
          </w:p>
        </w:tc>
        <w:tc>
          <w:tcPr/>
          <w:p>
            <w:pPr>
              <w:pStyle w:val="Compact"/>
              <w:jc w:val="left"/>
            </w:pPr>
            <w:r>
              <w:t xml:space="preserve">Frontend Dev</w:t>
            </w:r>
          </w:p>
        </w:tc>
        <w:tc>
          <w:tcPr/>
          <w:p>
            <w:pPr>
              <w:pStyle w:val="Compact"/>
              <w:jc w:val="left"/>
            </w:pPr>
            <w:r>
              <w:t xml:space="preserve">Screen-reader compatible; Lighthouse accessibility score ≥90</w:t>
            </w:r>
          </w:p>
        </w:tc>
      </w:tr>
      <w:tr>
        <w:tc>
          <w:tcPr/>
          <w:p>
            <w:pPr>
              <w:pStyle w:val="Compact"/>
              <w:jc w:val="left"/>
            </w:pPr>
            <w:r>
              <w:t xml:space="preserve">5–6</w:t>
            </w:r>
          </w:p>
        </w:tc>
        <w:tc>
          <w:tcPr/>
          <w:p>
            <w:pPr>
              <w:pStyle w:val="Compact"/>
              <w:jc w:val="left"/>
            </w:pPr>
            <w:r>
              <w:t xml:space="preserve">Build Smart City Readiness Self-Assessment: 18 focus areas, 5-level maturity scale, radar chart output</w:t>
            </w:r>
          </w:p>
        </w:tc>
        <w:tc>
          <w:tcPr/>
          <w:p>
            <w:pPr>
              <w:pStyle w:val="Compact"/>
              <w:jc w:val="left"/>
            </w:pPr>
            <w:r>
              <w:t xml:space="preserve">Full-stack Dev + Content</w:t>
            </w:r>
          </w:p>
        </w:tc>
        <w:tc>
          <w:tcPr/>
          <w:p>
            <w:pPr>
              <w:pStyle w:val="Compact"/>
              <w:jc w:val="left"/>
            </w:pPr>
            <w:r>
              <w:t xml:space="preserve">Live questionnaire at</w:t>
            </w:r>
            <w:r>
              <w:t xml:space="preserve"> </w:t>
            </w:r>
            <w:r>
              <w:rPr>
                <w:rStyle w:val="VerbatimChar"/>
              </w:rPr>
              <w:t xml:space="preserve">/assess</w:t>
            </w:r>
            <w:r>
              <w:t xml:space="preserve"> </w:t>
            </w:r>
            <w:r>
              <w:t xml:space="preserve">with personalised report generation</w:t>
            </w:r>
          </w:p>
        </w:tc>
      </w:tr>
      <w:tr>
        <w:tc>
          <w:tcPr/>
          <w:p>
            <w:pPr>
              <w:pStyle w:val="Compact"/>
              <w:jc w:val="left"/>
            </w:pPr>
            <w:r>
              <w:t xml:space="preserve">5–6</w:t>
            </w:r>
          </w:p>
        </w:tc>
        <w:tc>
          <w:tcPr/>
          <w:p>
            <w:pPr>
              <w:pStyle w:val="Compact"/>
              <w:jc w:val="left"/>
            </w:pPr>
            <w:r>
              <w:t xml:space="preserve">Create</w:t>
            </w:r>
            <w:r>
              <w:t xml:space="preserve"> </w:t>
            </w:r>
            <w:r>
              <w:t xml:space="preserve">“</w:t>
            </w:r>
            <w:r>
              <w:t xml:space="preserve">Financing Your Smart City</w:t>
            </w:r>
            <w:r>
              <w:t xml:space="preserve">”</w:t>
            </w:r>
            <w:r>
              <w:t xml:space="preserve"> </w:t>
            </w:r>
            <w:r>
              <w:t xml:space="preserve">page: green bonds, PPP models (OMC/DBFOM/BOOT), BOI incentives, ADB ACGF</w:t>
            </w:r>
          </w:p>
        </w:tc>
        <w:tc>
          <w:tcPr/>
          <w:p>
            <w:pPr>
              <w:pStyle w:val="Compact"/>
              <w:jc w:val="left"/>
            </w:pPr>
            <w:r>
              <w:t xml:space="preserve">Content Lead + Financial Researcher</w:t>
            </w:r>
          </w:p>
        </w:tc>
        <w:tc>
          <w:tcPr/>
          <w:p>
            <w:pPr>
              <w:pStyle w:val="Compact"/>
              <w:jc w:val="left"/>
            </w:pPr>
            <w:r>
              <w:t xml:space="preserve">Published page with structured sections, downloadable templates</w:t>
            </w:r>
          </w:p>
        </w:tc>
      </w:tr>
      <w:tr>
        <w:tc>
          <w:tcPr/>
          <w:p>
            <w:pPr>
              <w:pStyle w:val="Compact"/>
              <w:jc w:val="left"/>
            </w:pPr>
            <w:r>
              <w:t xml:space="preserve">7–8</w:t>
            </w:r>
          </w:p>
        </w:tc>
        <w:tc>
          <w:tcPr/>
          <w:p>
            <w:pPr>
              <w:pStyle w:val="Compact"/>
              <w:jc w:val="left"/>
            </w:pPr>
            <w:r>
              <w:t xml:space="preserve">Build Case Study Library: 10 detailed cases following European Commission format (exec summary, context, solution, implementation, results, lessons, replicability, contact)</w:t>
            </w:r>
            <w:r>
              <w:t xml:space="preserve"> </w:t>
            </w:r>
            <w:fldSimple w:instr="NOTEREF _Ref_Footnote_34 \h \f">
              <w:r>
                <w:rPr>
                  <w:vertAlign w:val="superscript"/>
                </w:rPr>
                <w:t>34</w:t>
              </w:r>
            </w:fldSimple>
          </w:p>
        </w:tc>
        <w:tc>
          <w:tcPr/>
          <w:p>
            <w:pPr>
              <w:pStyle w:val="Compact"/>
              <w:jc w:val="left"/>
            </w:pPr>
            <w:r>
              <w:t xml:space="preserve">Content Lead + Researcher</w:t>
            </w:r>
          </w:p>
        </w:tc>
        <w:tc>
          <w:tcPr/>
          <w:p>
            <w:pPr>
              <w:pStyle w:val="Compact"/>
              <w:jc w:val="left"/>
            </w:pPr>
            <w:r>
              <w:rPr>
                <w:rStyle w:val="VerbatimChar"/>
              </w:rPr>
              <w:t xml:space="preserve">/cases</w:t>
            </w:r>
            <w:r>
              <w:t xml:space="preserve"> </w:t>
            </w:r>
            <w:r>
              <w:t xml:space="preserve">page live with 10 cases; each includes</w:t>
            </w:r>
            <w:r>
              <w:t xml:space="preserve"> </w:t>
            </w:r>
            <w:r>
              <w:t xml:space="preserve">“</w:t>
            </w:r>
            <w:r>
              <w:t xml:space="preserve">Replicability for Thai Cities</w:t>
            </w:r>
            <w:r>
              <w:t xml:space="preserve">”</w:t>
            </w:r>
            <w:r>
              <w:t xml:space="preserve"> </w:t>
            </w:r>
            <w:r>
              <w:t xml:space="preserve">sidebar</w:t>
            </w:r>
          </w:p>
        </w:tc>
      </w:tr>
      <w:tr>
        <w:tc>
          <w:tcPr/>
          <w:p>
            <w:pPr>
              <w:pStyle w:val="Compact"/>
              <w:jc w:val="left"/>
            </w:pPr>
            <w:r>
              <w:t xml:space="preserve">7–8</w:t>
            </w:r>
          </w:p>
        </w:tc>
        <w:tc>
          <w:tcPr/>
          <w:p>
            <w:pPr>
              <w:pStyle w:val="Compact"/>
              <w:jc w:val="left"/>
            </w:pPr>
            <w:r>
              <w:t xml:space="preserve">Add Procurement Guide: 4-stage process, 25+ Dos and Don’ts tables, outcome-based specifications per UK GDS model</w:t>
            </w:r>
            <w:r>
              <w:t xml:space="preserve"> </w:t>
            </w:r>
            <w:fldSimple w:instr="NOTEREF _Ref_Footnote_61 \h \f">
              <w:r>
                <w:rPr>
                  <w:vertAlign w:val="superscript"/>
                </w:rPr>
                <w:t>61</w:t>
              </w:r>
            </w:fldSimple>
          </w:p>
        </w:tc>
        <w:tc>
          <w:tcPr/>
          <w:p>
            <w:pPr>
              <w:pStyle w:val="Compact"/>
              <w:jc w:val="left"/>
            </w:pPr>
            <w:r>
              <w:t xml:space="preserve">Procurement Specialist + Writer</w:t>
            </w:r>
          </w:p>
        </w:tc>
        <w:tc>
          <w:tcPr/>
          <w:p>
            <w:pPr>
              <w:pStyle w:val="Compact"/>
              <w:jc w:val="left"/>
            </w:pPr>
            <w:r>
              <w:rPr>
                <w:rStyle w:val="VerbatimChar"/>
              </w:rPr>
              <w:t xml:space="preserve">/procurement</w:t>
            </w:r>
            <w:r>
              <w:t xml:space="preserve"> </w:t>
            </w:r>
            <w:r>
              <w:t xml:space="preserve">page live; adapted for Thailand’s Government Procurement Act</w:t>
            </w:r>
          </w:p>
        </w:tc>
      </w:tr>
      <w:tr>
        <w:tc>
          <w:tcPr/>
          <w:p>
            <w:pPr>
              <w:pStyle w:val="Compact"/>
              <w:jc w:val="left"/>
            </w:pPr>
            <w:r>
              <w:t xml:space="preserve">9</w:t>
            </w:r>
          </w:p>
        </w:tc>
        <w:tc>
          <w:tcPr/>
          <w:p>
            <w:pPr>
              <w:pStyle w:val="Compact"/>
              <w:jc w:val="left"/>
            </w:pPr>
            <w:r>
              <w:t xml:space="preserve">Implement Schema.org Dataset markup (JSON-LD) for Google Dataset Search inclusion</w:t>
            </w:r>
            <w:r>
              <w:t xml:space="preserve"> </w:t>
            </w:r>
            <w:fldSimple w:instr="NOTEREF _Ref_Footnote_65 \h \f">
              <w:r>
                <w:rPr>
                  <w:vertAlign w:val="superscript"/>
                </w:rPr>
                <w:t>65</w:t>
              </w:r>
            </w:fldSimple>
            <w:r>
              <w:t xml:space="preserve"> </w:t>
            </w:r>
            <w:fldSimple w:instr="NOTEREF _Ref_Footnote_66 \h \f">
              <w:r>
                <w:rPr>
                  <w:vertAlign w:val="superscript"/>
                </w:rPr>
                <w:t>66</w:t>
              </w:r>
            </w:fldSimple>
          </w:p>
        </w:tc>
        <w:tc>
          <w:tcPr/>
          <w:p>
            <w:pPr>
              <w:pStyle w:val="Compact"/>
              <w:jc w:val="left"/>
            </w:pPr>
            <w:r>
              <w:t xml:space="preserve">Frontend Dev</w:t>
            </w:r>
          </w:p>
        </w:tc>
        <w:tc>
          <w:tcPr/>
          <w:p>
            <w:pPr>
              <w:pStyle w:val="Compact"/>
              <w:jc w:val="left"/>
            </w:pPr>
            <w:r>
              <w:t xml:space="preserve">Indexed in Google Dataset Search; structured data validated</w:t>
            </w:r>
          </w:p>
        </w:tc>
      </w:tr>
      <w:tr>
        <w:tc>
          <w:tcPr/>
          <w:p>
            <w:pPr>
              <w:pStyle w:val="Compact"/>
              <w:jc w:val="left"/>
            </w:pPr>
            <w:r>
              <w:t xml:space="preserve">9</w:t>
            </w:r>
          </w:p>
        </w:tc>
        <w:tc>
          <w:tcPr/>
          <w:p>
            <w:pPr>
              <w:pStyle w:val="Compact"/>
              <w:jc w:val="left"/>
            </w:pPr>
            <w:r>
              <w:t xml:space="preserve">Deploy interactive Leaflet/Mapbox map: all 118 cities colour-coded by tier, hover tooltips, filter layers</w:t>
            </w:r>
            <w:r>
              <w:t xml:space="preserve"> </w:t>
            </w:r>
            <w:fldSimple w:instr="NOTEREF _Ref_Footnote_64 \h \f">
              <w:r>
                <w:rPr>
                  <w:vertAlign w:val="superscript"/>
                </w:rPr>
                <w:t>64</w:t>
              </w:r>
            </w:fldSimple>
          </w:p>
        </w:tc>
        <w:tc>
          <w:tcPr/>
          <w:p>
            <w:pPr>
              <w:pStyle w:val="Compact"/>
              <w:jc w:val="left"/>
            </w:pPr>
            <w:r>
              <w:t xml:space="preserve">Frontend Dev + GIS</w:t>
            </w:r>
          </w:p>
        </w:tc>
        <w:tc>
          <w:tcPr/>
          <w:p>
            <w:pPr>
              <w:pStyle w:val="Compact"/>
              <w:jc w:val="left"/>
            </w:pPr>
            <w:r>
              <w:rPr>
                <w:rStyle w:val="VerbatimChar"/>
              </w:rPr>
              <w:t xml:space="preserve">/map</w:t>
            </w:r>
            <w:r>
              <w:t xml:space="preserve"> </w:t>
            </w:r>
            <w:r>
              <w:t xml:space="preserve">page live with explorable geographic interface</w:t>
            </w:r>
          </w:p>
        </w:tc>
      </w:tr>
      <w:tr>
        <w:tc>
          <w:tcPr/>
          <w:p>
            <w:pPr>
              <w:pStyle w:val="Compact"/>
              <w:jc w:val="left"/>
            </w:pPr>
            <w:r>
              <w:t xml:space="preserve">10</w:t>
            </w:r>
          </w:p>
        </w:tc>
        <w:tc>
          <w:tcPr/>
          <w:p>
            <w:pPr>
              <w:pStyle w:val="Compact"/>
              <w:jc w:val="left"/>
            </w:pPr>
            <w:r>
              <w:t xml:space="preserve">Build time-series comparison: year-over-year trend lines, rank change indicators, cohort analysis per IMD model</w:t>
            </w:r>
            <w:r>
              <w:t xml:space="preserve"> </w:t>
            </w:r>
            <w:fldSimple w:instr="NOTEREF _Ref_Footnote_69 \h \f">
              <w:r>
                <w:rPr>
                  <w:vertAlign w:val="superscript"/>
                </w:rPr>
                <w:t>69</w:t>
              </w:r>
            </w:fldSimple>
          </w:p>
        </w:tc>
        <w:tc>
          <w:tcPr/>
          <w:p>
            <w:pPr>
              <w:pStyle w:val="Compact"/>
              <w:jc w:val="left"/>
            </w:pPr>
            <w:r>
              <w:t xml:space="preserve">Frontend Dev + Data</w:t>
            </w:r>
          </w:p>
        </w:tc>
        <w:tc>
          <w:tcPr/>
          <w:p>
            <w:pPr>
              <w:pStyle w:val="Compact"/>
              <w:jc w:val="left"/>
            </w:pPr>
            <w:r>
              <w:t xml:space="preserve">City progress tracking across all 7 pillars; downloadable trend reports</w:t>
            </w:r>
          </w:p>
        </w:tc>
      </w:tr>
      <w:tr>
        <w:tc>
          <w:tcPr/>
          <w:p>
            <w:pPr>
              <w:pStyle w:val="Compact"/>
              <w:jc w:val="left"/>
            </w:pPr>
            <w:r>
              <w:t xml:space="preserve">10</w:t>
            </w:r>
          </w:p>
        </w:tc>
        <w:tc>
          <w:tcPr/>
          <w:p>
            <w:pPr>
              <w:pStyle w:val="Compact"/>
              <w:jc w:val="left"/>
            </w:pPr>
            <w:r>
              <w:t xml:space="preserve">First flagship scrollytelling narrative: 1 city (Phuket or Khon Kaen) with scroll-driven data reveals per The Pudding model</w:t>
            </w:r>
            <w:r>
              <w:t xml:space="preserve"> </w:t>
            </w:r>
            <w:fldSimple w:instr="NOTEREF _Ref_Footnote_67 \h \f">
              <w:r>
                <w:rPr>
                  <w:vertAlign w:val="superscript"/>
                </w:rPr>
                <w:t>67</w:t>
              </w:r>
            </w:fldSimple>
            <w:r>
              <w:t xml:space="preserve"> </w:t>
            </w:r>
            <w:fldSimple w:instr="NOTEREF _Ref_Footnote_68 \h \f">
              <w:r>
                <w:rPr>
                  <w:vertAlign w:val="superscript"/>
                </w:rPr>
                <w:t>68</w:t>
              </w:r>
            </w:fldSimple>
          </w:p>
        </w:tc>
        <w:tc>
          <w:tcPr/>
          <w:p>
            <w:pPr>
              <w:pStyle w:val="Compact"/>
              <w:jc w:val="left"/>
            </w:pPr>
            <w:r>
              <w:t xml:space="preserve">Frontend Dev + Content + Designer</w:t>
            </w:r>
          </w:p>
        </w:tc>
        <w:tc>
          <w:tcPr/>
          <w:p>
            <w:pPr>
              <w:pStyle w:val="Compact"/>
              <w:jc w:val="left"/>
            </w:pPr>
            <w:r>
              <w:t xml:space="preserve">Published narrative; shareable; distinctive visual identity from data</w:t>
            </w:r>
          </w:p>
        </w:tc>
      </w:tr>
      <w:tr>
        <w:tc>
          <w:tcPr/>
          <w:p>
            <w:pPr>
              <w:pStyle w:val="Compact"/>
              <w:jc w:val="left"/>
            </w:pPr>
            <w:r>
              <w:t xml:space="preserve">11</w:t>
            </w:r>
          </w:p>
        </w:tc>
        <w:tc>
          <w:tcPr/>
          <w:p>
            <w:pPr>
              <w:pStyle w:val="Compact"/>
              <w:jc w:val="left"/>
            </w:pPr>
            <w:r>
              <w:t xml:space="preserve">Mobile testing: dedicated testing on iOS Safari, Android Chrome; touch-optimise interactions; responsive refinements</w:t>
            </w:r>
          </w:p>
        </w:tc>
        <w:tc>
          <w:tcPr/>
          <w:p>
            <w:pPr>
              <w:pStyle w:val="Compact"/>
              <w:jc w:val="left"/>
            </w:pPr>
            <w:r>
              <w:t xml:space="preserve">QA + Frontend Dev</w:t>
            </w:r>
          </w:p>
        </w:tc>
        <w:tc>
          <w:tcPr/>
          <w:p>
            <w:pPr>
              <w:pStyle w:val="Compact"/>
              <w:jc w:val="left"/>
            </w:pPr>
            <w:r>
              <w:t xml:space="preserve">Zero mobile-specific bugs; touch targets ≥44px; no horizontal scroll</w:t>
            </w:r>
          </w:p>
        </w:tc>
      </w:tr>
      <w:tr>
        <w:tc>
          <w:tcPr/>
          <w:p>
            <w:pPr>
              <w:pStyle w:val="Compact"/>
              <w:jc w:val="left"/>
            </w:pPr>
            <w:r>
              <w:t xml:space="preserve">11</w:t>
            </w:r>
          </w:p>
        </w:tc>
        <w:tc>
          <w:tcPr/>
          <w:p>
            <w:pPr>
              <w:pStyle w:val="Compact"/>
              <w:jc w:val="left"/>
            </w:pPr>
            <w:r>
              <w:t xml:space="preserve">Award submission preparation: write category narratives, capture screenshots, record feature walkthrough video</w:t>
            </w:r>
          </w:p>
        </w:tc>
        <w:tc>
          <w:tcPr/>
          <w:p>
            <w:pPr>
              <w:pStyle w:val="Compact"/>
              <w:jc w:val="left"/>
            </w:pPr>
            <w:r>
              <w:t xml:space="preserve">Award Coordinator</w:t>
            </w:r>
          </w:p>
        </w:tc>
        <w:tc>
          <w:tcPr/>
          <w:p>
            <w:pPr>
              <w:pStyle w:val="Compact"/>
              <w:jc w:val="left"/>
            </w:pPr>
            <w:r>
              <w:t xml:space="preserve">Submission documents ready for all 3 Red Dot categories</w:t>
            </w:r>
          </w:p>
        </w:tc>
      </w:tr>
      <w:tr>
        <w:tc>
          <w:tcPr/>
          <w:p>
            <w:pPr>
              <w:pStyle w:val="Compact"/>
              <w:jc w:val="left"/>
            </w:pPr>
            <w:r>
              <w:t xml:space="preserve">12</w:t>
            </w:r>
          </w:p>
        </w:tc>
        <w:tc>
          <w:tcPr/>
          <w:p>
            <w:pPr>
              <w:pStyle w:val="Compact"/>
              <w:jc w:val="left"/>
            </w:pPr>
            <w:r>
              <w:t xml:space="preserve">Buffer week: address feedback from internal review; final polish; submit to Red Dot Design Award</w:t>
            </w:r>
          </w:p>
        </w:tc>
        <w:tc>
          <w:tcPr/>
          <w:p>
            <w:pPr>
              <w:pStyle w:val="Compact"/>
              <w:jc w:val="left"/>
            </w:pPr>
            <w:r>
              <w:t xml:space="preserve">All</w:t>
            </w:r>
          </w:p>
        </w:tc>
        <w:tc>
          <w:tcPr/>
          <w:p>
            <w:pPr>
              <w:pStyle w:val="Compact"/>
              <w:jc w:val="left"/>
            </w:pPr>
            <w:r>
              <w:t xml:space="preserve">Submission filed; all critical and high-priority items resolved</w:t>
            </w:r>
          </w:p>
        </w:tc>
      </w:tr>
    </w:tbl>
    <w:p>
      <w:r>
        <w:pict>
          <v:rect style="width:0;height:1.5pt" o:hralign="center" o:hrstd="t" o:hr="t"/>
        </w:pict>
      </w:r>
    </w:p>
    <w:bookmarkEnd w:id="129"/>
    <w:bookmarkStart w:id="133" w:name="long-term-vision"/>
    <w:p>
      <w:pPr>
        <w:pStyle w:val="Heading3"/>
      </w:pPr>
      <w:r>
        <w:t xml:space="preserve">6.3 Long-Term Vision</w:t>
      </w:r>
    </w:p>
    <w:p>
      <w:pPr>
        <w:pStyle w:val="FirstParagraph"/>
      </w:pPr>
      <w:r>
        <w:t xml:space="preserve">The 90-day action plan moves SCITI from audit findings to award submission. The following three-phase vision maps what comes after.</w:t>
      </w:r>
    </w:p>
    <w:bookmarkStart w:id="130" w:name="from-thai-index-to-asean-index"/>
    <w:p>
      <w:pPr>
        <w:pStyle w:val="Heading4"/>
      </w:pPr>
      <w:r>
        <w:t xml:space="preserve">6.3.1 From Thai Index to ASEAN Index</w:t>
      </w:r>
    </w:p>
    <w:p>
      <w:pPr>
        <w:pStyle w:val="FirstParagraph"/>
      </w:pPr>
      <w:r>
        <w:t xml:space="preserve">SCITI currently evaluates 118 Thai cities across seven pillars with a composite formula disclosed on the methodology page</w:t>
      </w:r>
      <w:r>
        <w:t xml:space="preserve"> </w:t>
      </w:r>
      <w:fldSimple w:instr="NOTEREF _Ref_Footnote_11 \h \f">
        <w:r>
          <w:rPr>
            <w:vertAlign w:val="superscript"/>
          </w:rPr>
          <w:t>11</w:t>
        </w:r>
      </w:fldSimple>
      <w:r>
        <w:t xml:space="preserve">. The ASEAN Smart Cities Framework (ASCF) covers 26 pilot cities across 10 member states with six strategic outcomes</w:t>
      </w:r>
      <w:r>
        <w:t xml:space="preserve"> </w:t>
      </w:r>
      <w:fldSimple w:instr="NOTEREF _Ref_Footnote_8 \h \f">
        <w:r>
          <w:rPr>
            <w:vertAlign w:val="superscript"/>
          </w:rPr>
          <w:t>8</w:t>
        </w:r>
      </w:fldSimple>
      <w:r>
        <w:t xml:space="preserve"> </w:t>
      </w:r>
      <w:fldSimple w:instr="NOTEREF _Ref_Footnote_53 \h \f">
        <w:r>
          <w:rPr>
            <w:vertAlign w:val="superscript"/>
          </w:rPr>
          <w:t>53</w:t>
        </w:r>
      </w:fldSimple>
      <w:r>
        <w:t xml:space="preserve">. SCITI’s architecture — TypeScript constants, version-controlled data, seven-pillar scoring — is technically portable. The barrier is not technical but methodological: SCITI must demonstrate that its indicator definitions and data sources are comparable across national boundaries.</w:t>
      </w:r>
    </w:p>
    <w:p>
      <w:pPr>
        <w:pStyle w:val="BodyText"/>
      </w:pPr>
      <w:r>
        <w:t xml:space="preserve">The expansion pathway follows the IMD Smart City Index’s HDI-based peer grouping model</w:t>
      </w:r>
      <w:r>
        <w:t xml:space="preserve"> </w:t>
      </w:r>
      <w:fldSimple w:instr="NOTEREF _Ref_Footnote_7 \h \f">
        <w:r>
          <w:rPr>
            <w:vertAlign w:val="superscript"/>
          </w:rPr>
          <w:t>7</w:t>
        </w:r>
      </w:fldSimple>
      <w:r>
        <w:t xml:space="preserve">. SCITI would create peer groups by national development level (Singapore as a standalone tier; Thailand, Malaysia, and Vietnam in a middle tier; Cambodia, Laos, and Myanmar in an emerging tier), ensuring that a Yangon or Phnom Penh is not directly compared to Bangkok. The 7-pillar framework maps cleanly onto the ASCF’s six strategic outcomes with Digital as the bridging dimension. The target: include all 26 ASCN pilot cities in SCITI 2027, positioning the platform as the definitive ASEAN smart city assessment tool.</w:t>
      </w:r>
    </w:p>
    <w:bookmarkEnd w:id="130"/>
    <w:bookmarkStart w:id="131" w:name="from-index-to-platform"/>
    <w:p>
      <w:pPr>
        <w:pStyle w:val="Heading4"/>
      </w:pPr>
      <w:r>
        <w:t xml:space="preserve">6.3.2 From Index to Platform</w:t>
      </w:r>
    </w:p>
    <w:p>
      <w:pPr>
        <w:pStyle w:val="FirstParagraph"/>
      </w:pPr>
      <w:r>
        <w:t xml:space="preserve">An index ranks. A platform enables action. The content additions in Section 5.1 — the readiness self-assessment, financing guide, case study library, and procurement guide — are the first layer of platform functionality</w:t>
      </w:r>
      <w:r>
        <w:t xml:space="preserve"> </w:t>
      </w:r>
      <w:fldSimple w:instr="NOTEREF _Ref_Footnote_60 \h \f">
        <w:r>
          <w:rPr>
            <w:vertAlign w:val="superscript"/>
          </w:rPr>
          <w:t>60</w:t>
        </w:r>
      </w:fldSimple>
      <w:r>
        <w:t xml:space="preserve"> </w:t>
      </w:r>
      <w:fldSimple w:instr="NOTEREF _Ref_Footnote_61 \h \f">
        <w:r>
          <w:rPr>
            <w:vertAlign w:val="superscript"/>
          </w:rPr>
          <w:t>61</w:t>
        </w:r>
      </w:fldSimple>
      <w:r>
        <w:t xml:space="preserve"> </w:t>
      </w:r>
      <w:fldSimple w:instr="NOTEREF _Ref_Footnote_34 \h \f">
        <w:r>
          <w:rPr>
            <w:vertAlign w:val="superscript"/>
          </w:rPr>
          <w:t>34</w:t>
        </w:r>
      </w:fldSimple>
      <w:r>
        <w:t xml:space="preserve">. The community features in Section 5.3 extend this further: city official training programs modelled on Copenhagenize’s master classes</w:t>
      </w:r>
      <w:r>
        <w:t xml:space="preserve"> </w:t>
      </w:r>
      <w:fldSimple w:instr="NOTEREF _Ref_Footnote_29 \h \f">
        <w:r>
          <w:rPr>
            <w:vertAlign w:val="superscript"/>
          </w:rPr>
          <w:t>29</w:t>
        </w:r>
      </w:fldSimple>
      <w:r>
        <w:t xml:space="preserve">, an international city twinning/matching platform, an expert directory of consultants and vendors, and an event calendar aggregating smart city summits and workshops</w:t>
      </w:r>
      <w:r>
        <w:t xml:space="preserve"> </w:t>
      </w:r>
      <w:fldSimple w:instr="NOTEREF _Ref_Footnote_75 \h \f">
        <w:r>
          <w:rPr>
            <w:vertAlign w:val="superscript"/>
          </w:rPr>
          <w:t>75</w:t>
        </w:r>
      </w:fldSimple>
      <w:r>
        <w:t xml:space="preserve">.</w:t>
      </w:r>
    </w:p>
    <w:p>
      <w:pPr>
        <w:pStyle w:val="BodyText"/>
      </w:pPr>
      <w:r>
        <w:t xml:space="preserve">The most transformative addition would be the Digital Twin Playbook (Section 5.2.1), which addresses the fastest-growing segment of smart city investment globally</w:t>
      </w:r>
      <w:r>
        <w:t xml:space="preserve"> </w:t>
      </w:r>
      <w:fldSimple w:instr="NOTEREF _Ref_Footnote_9 \h \f">
        <w:r>
          <w:rPr>
            <w:vertAlign w:val="superscript"/>
          </w:rPr>
          <w:t>9</w:t>
        </w:r>
      </w:fldSimple>
      <w:r>
        <w:t xml:space="preserve">. Singapore, Seoul, Barcelona, and Helsinki have all deployed city-scale digital twins</w:t>
      </w:r>
      <w:r>
        <w:t xml:space="preserve"> </w:t>
      </w:r>
      <w:fldSimple w:instr="NOTEREF _Ref_Footnote_72 \h \f">
        <w:r>
          <w:rPr>
            <w:vertAlign w:val="superscript"/>
          </w:rPr>
          <w:t>72</w:t>
        </w:r>
      </w:fldSimple>
      <w:r>
        <w:t xml:space="preserve">. No Southeast Asian city has a comprehensive digital twin. SCITI’s playbook — structured around four maturity tiers with technology stacks, budget ranges, and Thai-specific use cases (flood modelling for Bangkok, traffic optimisation for Chiang Mai, energy grid management for the Eastern Economic Corridor) — would fill a genuine regional gap.</w:t>
      </w:r>
    </w:p>
    <w:bookmarkEnd w:id="131"/>
    <w:bookmarkStart w:id="132" w:name="from-platform-to-movement"/>
    <w:p>
      <w:pPr>
        <w:pStyle w:val="Heading4"/>
      </w:pPr>
      <w:r>
        <w:t xml:space="preserve">6.3.3 From Platform to Movement</w:t>
      </w:r>
    </w:p>
    <w:p>
      <w:pPr>
        <w:pStyle w:val="FirstParagraph"/>
      </w:pPr>
      <w:r>
        <w:t xml:space="preserve">The final transformation is from a tool that city officials use into a movement that shapes policy. This requires three institutional commitments.</w:t>
      </w:r>
    </w:p>
    <w:p>
      <w:pPr>
        <w:pStyle w:val="BodyText"/>
      </w:pPr>
      <w:r>
        <w:rPr>
          <w:bCs/>
          <w:b/>
        </w:rPr>
        <w:t xml:space="preserve">Annual SCITI Summit.</w:t>
      </w:r>
      <w:r>
        <w:t xml:space="preserve"> </w:t>
      </w:r>
      <w:r>
        <w:t xml:space="preserve">Copenhagenize runs capacity-building workshops and strategic presentations to elected officials</w:t>
      </w:r>
      <w:r>
        <w:t xml:space="preserve"> </w:t>
      </w:r>
      <w:fldSimple w:instr="NOTEREF _Ref_Footnote_29 \h \f">
        <w:r>
          <w:rPr>
            <w:vertAlign w:val="superscript"/>
          </w:rPr>
          <w:t>29</w:t>
        </w:r>
      </w:fldSimple>
      <w:r>
        <w:t xml:space="preserve">. The EU Smart Cities Marketplace hosts financing masterclasses with 1-to-1 consulting</w:t>
      </w:r>
      <w:r>
        <w:t xml:space="preserve"> </w:t>
      </w:r>
      <w:fldSimple w:instr="NOTEREF _Ref_Footnote_40 \h \f">
        <w:r>
          <w:rPr>
            <w:vertAlign w:val="superscript"/>
          </w:rPr>
          <w:t>40</w:t>
        </w:r>
      </w:fldSimple>
      <w:r>
        <w:t xml:space="preserve">. SCITI should host an annual summit — rotating between Bangkok, Chiang Mai, and Khon Kaen — bringing together city officials, international experts, technology vendors, and financing institutions. Each summit would launch the new edition of the index, announce award winners for city excellence, and facilitate matchmaking between Thai cities and international partners.</w:t>
      </w:r>
    </w:p>
    <w:p>
      <w:pPr>
        <w:pStyle w:val="BodyText"/>
      </w:pPr>
      <w:r>
        <w:rPr>
          <w:bCs/>
          <w:b/>
        </w:rPr>
        <w:t xml:space="preserve">Research partnerships.</w:t>
      </w:r>
      <w:r>
        <w:t xml:space="preserve"> </w:t>
      </w:r>
      <w:r>
        <w:t xml:space="preserve">IESE’s Cities in Motion Index derives credibility from its academic partnership with the University of Navarra and its use of the peer-reviewed DP2 statistical technique</w:t>
      </w:r>
      <w:r>
        <w:t xml:space="preserve"> </w:t>
      </w:r>
      <w:fldSimple w:instr="NOTEREF _Ref_Footnote_5 \h \f">
        <w:r>
          <w:rPr>
            <w:vertAlign w:val="superscript"/>
          </w:rPr>
          <w:t>5</w:t>
        </w:r>
      </w:fldSimple>
      <w:r>
        <w:t xml:space="preserve"> </w:t>
      </w:r>
      <w:fldSimple w:instr="NOTEREF _Ref_Footnote_23 \h \f">
        <w:r>
          <w:rPr>
            <w:vertAlign w:val="superscript"/>
          </w:rPr>
          <w:t>23</w:t>
        </w:r>
      </w:fldSimple>
      <w:r>
        <w:t xml:space="preserve">. IMD partners with SUTD for survey methodology</w:t>
      </w:r>
      <w:r>
        <w:t xml:space="preserve"> </w:t>
      </w:r>
      <w:fldSimple w:instr="NOTEREF _Ref_Footnote_18 \h \f">
        <w:r>
          <w:rPr>
            <w:vertAlign w:val="superscript"/>
          </w:rPr>
          <w:t>18</w:t>
        </w:r>
      </w:fldSimple>
      <w:r>
        <w:t xml:space="preserve">. SCITI should formalise partnerships with Thai universities (Thammasat, Chulalongkorn, KMUTT, Mahidol) for methodology review, data validation, and indicator development. A published sensitivity analysis demonstrating the robustness of the 7-pillar weighting scheme — following IESE’s model</w:t>
      </w:r>
      <w:r>
        <w:t xml:space="preserve"> </w:t>
      </w:r>
      <w:fldSimple w:instr="NOTEREF _Ref_Footnote_5 \h \f">
        <w:r>
          <w:rPr>
            <w:vertAlign w:val="superscript"/>
          </w:rPr>
          <w:t>5</w:t>
        </w:r>
      </w:fldSimple>
      <w:r>
        <w:t xml:space="preserve">— would elevate SCITI from a government report to a research-validated instrument.</w:t>
      </w:r>
    </w:p>
    <w:p>
      <w:pPr>
        <w:pStyle w:val="BodyText"/>
      </w:pPr>
      <w:r>
        <w:rPr>
          <w:bCs/>
          <w:b/>
        </w:rPr>
        <w:t xml:space="preserve">Policy influence.</w:t>
      </w:r>
      <w:r>
        <w:t xml:space="preserve"> </w:t>
      </w:r>
      <w:r>
        <w:t xml:space="preserve">The ultimate measure of an index’s impact is whether it changes government behaviour. Singapore’s Digital Government Blueprint establishes 15 specific KPIs with explicit targets</w:t>
      </w:r>
      <w:r>
        <w:t xml:space="preserve"> </w:t>
      </w:r>
      <w:fldSimple w:instr="NOTEREF _Ref_Footnote_50 \h \f">
        <w:r>
          <w:rPr>
            <w:vertAlign w:val="superscript"/>
          </w:rPr>
          <w:t>50</w:t>
        </w:r>
      </w:fldSimple>
      <w:r>
        <w:t xml:space="preserve">. SCITI’s composite scores and per-pillar breakdowns should feed directly into DEPA’s certification process, BOI incentive allocation, and municipal performance evaluations. When a city manager in Nakhon Sawan can point to a SCITI Environment score to justify a flood-management budget, or a mayor in Hat Yai can cite a Hospitality score to attract tourism investment, the index has become policy infrastructure — not just a website, but a pillar of urban governance.</w:t>
      </w:r>
    </w:p>
    <w:p>
      <w:r>
        <w:pict>
          <v:rect style="width:0;height:1.5pt" o:hralign="center" o:hrstd="t" o:hr="t"/>
        </w:pict>
      </w:r>
    </w:p>
    <w:bookmarkEnd w:id="132"/>
    <w:bookmarkEnd w:id="133"/>
    <w:bookmarkEnd w:id="134"/>
    <w:bookmarkEnd w:id="135"/>
    <w:bookmarkStart w:id="136" w:name="X1a3606bfd0cb97a00a2c4d4a834727d17be7e10"/>
    <w:p>
      <w:pPr>
        <w:pStyle w:val="Heading1"/>
      </w:pPr>
      <w:r>
        <w:t xml:space="preserve">Appendix: Screenshots Captured During Testing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Screenshot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homepage.png</w:t>
            </w:r>
          </w:p>
        </w:tc>
        <w:tc>
          <w:tcPr/>
          <w:p>
            <w:pPr>
              <w:pStyle w:val="Compact"/>
              <w:jc w:val="left"/>
            </w:pPr>
            <w:r>
              <w:t xml:space="preserve">Homepage hero with Wat Arun</w:t>
            </w:r>
          </w:p>
        </w:tc>
      </w:tr>
      <w:tr>
        <w:tc>
          <w:tcPr/>
          <w:p>
            <w:pPr>
              <w:pStyle w:val="Compact"/>
              <w:jc w:val="left"/>
            </w:pPr>
            <w:r>
              <w:t xml:space="preserve">2</w:t>
            </w:r>
          </w:p>
        </w:tc>
        <w:tc>
          <w:tcPr/>
          <w:p>
            <w:pPr>
              <w:pStyle w:val="Compact"/>
              <w:jc w:val="left"/>
            </w:pPr>
            <w:r>
              <w:t xml:space="preserve">homepage_scroll1.png</w:t>
            </w:r>
          </w:p>
        </w:tc>
        <w:tc>
          <w:tcPr/>
          <w:p>
            <w:pPr>
              <w:pStyle w:val="Compact"/>
              <w:jc w:val="left"/>
            </w:pPr>
            <w:r>
              <w:t xml:space="preserve">Opening argument section</w:t>
            </w:r>
          </w:p>
        </w:tc>
      </w:tr>
      <w:tr>
        <w:tc>
          <w:tcPr/>
          <w:p>
            <w:pPr>
              <w:pStyle w:val="Compact"/>
              <w:jc w:val="left"/>
            </w:pPr>
            <w:r>
              <w:t xml:space="preserve">3</w:t>
            </w:r>
          </w:p>
        </w:tc>
        <w:tc>
          <w:tcPr/>
          <w:p>
            <w:pPr>
              <w:pStyle w:val="Compact"/>
              <w:jc w:val="left"/>
            </w:pPr>
            <w:r>
              <w:t xml:space="preserve">homepage_scroll2.png</w:t>
            </w:r>
          </w:p>
        </w:tc>
        <w:tc>
          <w:tcPr/>
          <w:p>
            <w:pPr>
              <w:pStyle w:val="Compact"/>
              <w:jc w:val="left"/>
            </w:pPr>
            <w:r>
              <w:t xml:space="preserve">Top 5 city cards</w:t>
            </w:r>
          </w:p>
        </w:tc>
      </w:tr>
      <w:tr>
        <w:tc>
          <w:tcPr/>
          <w:p>
            <w:pPr>
              <w:pStyle w:val="Compact"/>
              <w:jc w:val="left"/>
            </w:pPr>
            <w:r>
              <w:t xml:space="preserve">4</w:t>
            </w:r>
          </w:p>
        </w:tc>
        <w:tc>
          <w:tcPr/>
          <w:p>
            <w:pPr>
              <w:pStyle w:val="Compact"/>
              <w:jc w:val="left"/>
            </w:pPr>
            <w:r>
              <w:t xml:space="preserve">homepage_scroll3.png</w:t>
            </w:r>
          </w:p>
        </w:tc>
        <w:tc>
          <w:tcPr/>
          <w:p>
            <w:pPr>
              <w:pStyle w:val="Compact"/>
              <w:jc w:val="left"/>
            </w:pPr>
            <w:r>
              <w:t xml:space="preserve">Open data &amp; methodology</w:t>
            </w:r>
          </w:p>
        </w:tc>
      </w:tr>
      <w:tr>
        <w:tc>
          <w:tcPr/>
          <w:p>
            <w:pPr>
              <w:pStyle w:val="Compact"/>
              <w:jc w:val="left"/>
            </w:pPr>
            <w:r>
              <w:t xml:space="preserve">5</w:t>
            </w:r>
          </w:p>
        </w:tc>
        <w:tc>
          <w:tcPr/>
          <w:p>
            <w:pPr>
              <w:pStyle w:val="Compact"/>
              <w:jc w:val="left"/>
            </w:pPr>
            <w:r>
              <w:t xml:space="preserve">homepage_scroll4.png</w:t>
            </w:r>
          </w:p>
        </w:tc>
        <w:tc>
          <w:tcPr/>
          <w:p>
            <w:pPr>
              <w:pStyle w:val="Compact"/>
              <w:jc w:val="left"/>
            </w:pPr>
            <w:r>
              <w:t xml:space="preserve">Footer &amp; news section</w:t>
            </w:r>
          </w:p>
        </w:tc>
      </w:tr>
      <w:tr>
        <w:tc>
          <w:tcPr/>
          <w:p>
            <w:pPr>
              <w:pStyle w:val="Compact"/>
              <w:jc w:val="left"/>
            </w:pPr>
            <w:r>
              <w:t xml:space="preserve">6</w:t>
            </w:r>
          </w:p>
        </w:tc>
        <w:tc>
          <w:tcPr/>
          <w:p>
            <w:pPr>
              <w:pStyle w:val="Compact"/>
              <w:jc w:val="left"/>
            </w:pPr>
            <w:r>
              <w:t xml:space="preserve">rankings_page.png</w:t>
            </w:r>
          </w:p>
        </w:tc>
        <w:tc>
          <w:tcPr/>
          <w:p>
            <w:pPr>
              <w:pStyle w:val="Compact"/>
              <w:jc w:val="left"/>
            </w:pPr>
            <w:r>
              <w:t xml:space="preserve">Rankings hero (Khon Kaen)</w:t>
            </w:r>
          </w:p>
        </w:tc>
      </w:tr>
      <w:tr>
        <w:tc>
          <w:tcPr/>
          <w:p>
            <w:pPr>
              <w:pStyle w:val="Compact"/>
              <w:jc w:val="left"/>
            </w:pPr>
            <w:r>
              <w:t xml:space="preserve">7</w:t>
            </w:r>
          </w:p>
        </w:tc>
        <w:tc>
          <w:tcPr/>
          <w:p>
            <w:pPr>
              <w:pStyle w:val="Compact"/>
              <w:jc w:val="left"/>
            </w:pPr>
            <w:r>
              <w:t xml:space="preserve">rankings_full.png</w:t>
            </w:r>
          </w:p>
        </w:tc>
        <w:tc>
          <w:tcPr/>
          <w:p>
            <w:pPr>
              <w:pStyle w:val="Compact"/>
              <w:jc w:val="left"/>
            </w:pPr>
            <w:r>
              <w:t xml:space="preserve">Directory with editor’s picks</w:t>
            </w:r>
          </w:p>
        </w:tc>
      </w:tr>
      <w:tr>
        <w:tc>
          <w:tcPr/>
          <w:p>
            <w:pPr>
              <w:pStyle w:val="Compact"/>
              <w:jc w:val="left"/>
            </w:pPr>
            <w:r>
              <w:t xml:space="preserve">8</w:t>
            </w:r>
          </w:p>
        </w:tc>
        <w:tc>
          <w:tcPr/>
          <w:p>
            <w:pPr>
              <w:pStyle w:val="Compact"/>
              <w:jc w:val="left"/>
            </w:pPr>
            <w:r>
              <w:t xml:space="preserve">your_city.png</w:t>
            </w:r>
          </w:p>
        </w:tc>
        <w:tc>
          <w:tcPr/>
          <w:p>
            <w:pPr>
              <w:pStyle w:val="Compact"/>
              <w:jc w:val="left"/>
            </w:pPr>
            <w:r>
              <w:t xml:space="preserve">Interactive city matcher</w:t>
            </w:r>
          </w:p>
        </w:tc>
      </w:tr>
      <w:tr>
        <w:tc>
          <w:tcPr/>
          <w:p>
            <w:pPr>
              <w:pStyle w:val="Compact"/>
              <w:jc w:val="left"/>
            </w:pPr>
            <w:r>
              <w:t xml:space="preserve">9</w:t>
            </w:r>
          </w:p>
        </w:tc>
        <w:tc>
          <w:tcPr/>
          <w:p>
            <w:pPr>
              <w:pStyle w:val="Compact"/>
              <w:jc w:val="left"/>
            </w:pPr>
            <w:r>
              <w:t xml:space="preserve">compare.png</w:t>
            </w:r>
          </w:p>
        </w:tc>
        <w:tc>
          <w:tcPr/>
          <w:p>
            <w:pPr>
              <w:pStyle w:val="Compact"/>
              <w:jc w:val="left"/>
            </w:pPr>
            <w:r>
              <w:t xml:space="preserve">Side-by-side city comparison</w:t>
            </w:r>
          </w:p>
        </w:tc>
      </w:tr>
      <w:tr>
        <w:tc>
          <w:tcPr/>
          <w:p>
            <w:pPr>
              <w:pStyle w:val="Compact"/>
              <w:jc w:val="left"/>
            </w:pPr>
            <w:r>
              <w:t xml:space="preserve">10</w:t>
            </w:r>
          </w:p>
        </w:tc>
        <w:tc>
          <w:tcPr/>
          <w:p>
            <w:pPr>
              <w:pStyle w:val="Compact"/>
              <w:jc w:val="left"/>
            </w:pPr>
            <w:r>
              <w:t xml:space="preserve">method.png</w:t>
            </w:r>
          </w:p>
        </w:tc>
        <w:tc>
          <w:tcPr/>
          <w:p>
            <w:pPr>
              <w:pStyle w:val="Compact"/>
              <w:jc w:val="left"/>
            </w:pPr>
            <w:r>
              <w:t xml:space="preserve">Methodology dropdown</w:t>
            </w:r>
          </w:p>
        </w:tc>
      </w:tr>
      <w:tr>
        <w:tc>
          <w:tcPr/>
          <w:p>
            <w:pPr>
              <w:pStyle w:val="Compact"/>
              <w:jc w:val="left"/>
            </w:pPr>
            <w:r>
              <w:t xml:space="preserve">11</w:t>
            </w:r>
          </w:p>
        </w:tc>
        <w:tc>
          <w:tcPr/>
          <w:p>
            <w:pPr>
              <w:pStyle w:val="Compact"/>
              <w:jc w:val="left"/>
            </w:pPr>
            <w:r>
              <w:t xml:space="preserve">methodology.png</w:t>
            </w:r>
          </w:p>
        </w:tc>
        <w:tc>
          <w:tcPr/>
          <w:p>
            <w:pPr>
              <w:pStyle w:val="Compact"/>
              <w:jc w:val="left"/>
            </w:pPr>
            <w:r>
              <w:t xml:space="preserve">Version history &amp; tech stack</w:t>
            </w:r>
          </w:p>
        </w:tc>
      </w:tr>
      <w:tr>
        <w:tc>
          <w:tcPr/>
          <w:p>
            <w:pPr>
              <w:pStyle w:val="Compact"/>
              <w:jc w:val="left"/>
            </w:pPr>
            <w:r>
              <w:t xml:space="preserve">12</w:t>
            </w:r>
          </w:p>
        </w:tc>
        <w:tc>
          <w:tcPr/>
          <w:p>
            <w:pPr>
              <w:pStyle w:val="Compact"/>
              <w:jc w:val="left"/>
            </w:pPr>
            <w:r>
              <w:t xml:space="preserve">stories.png</w:t>
            </w:r>
          </w:p>
        </w:tc>
        <w:tc>
          <w:tcPr/>
          <w:p>
            <w:pPr>
              <w:pStyle w:val="Compact"/>
              <w:jc w:val="left"/>
            </w:pPr>
            <w:r>
              <w:t xml:space="preserve">Stories dropdown</w:t>
            </w:r>
          </w:p>
        </w:tc>
      </w:tr>
      <w:tr>
        <w:tc>
          <w:tcPr/>
          <w:p>
            <w:pPr>
              <w:pStyle w:val="Compact"/>
              <w:jc w:val="left"/>
            </w:pPr>
            <w:r>
              <w:t xml:space="preserve">13</w:t>
            </w:r>
          </w:p>
        </w:tc>
        <w:tc>
          <w:tcPr/>
          <w:p>
            <w:pPr>
              <w:pStyle w:val="Compact"/>
              <w:jc w:val="left"/>
            </w:pPr>
            <w:r>
              <w:t xml:space="preserve">manifesto.png</w:t>
            </w:r>
          </w:p>
        </w:tc>
        <w:tc>
          <w:tcPr/>
          <w:p>
            <w:pPr>
              <w:pStyle w:val="Compact"/>
              <w:jc w:val="left"/>
            </w:pPr>
            <w:r>
              <w:t xml:space="preserve">City archetype narratives</w:t>
            </w:r>
          </w:p>
        </w:tc>
      </w:tr>
      <w:tr>
        <w:tc>
          <w:tcPr/>
          <w:p>
            <w:pPr>
              <w:pStyle w:val="Compact"/>
              <w:jc w:val="left"/>
            </w:pPr>
            <w:r>
              <w:t xml:space="preserve">14</w:t>
            </w:r>
          </w:p>
        </w:tc>
        <w:tc>
          <w:tcPr/>
          <w:p>
            <w:pPr>
              <w:pStyle w:val="Compact"/>
              <w:jc w:val="left"/>
            </w:pPr>
            <w:r>
              <w:t xml:space="preserve">rankings_dropdown.png</w:t>
            </w:r>
          </w:p>
        </w:tc>
        <w:tc>
          <w:tcPr/>
          <w:p>
            <w:pPr>
              <w:pStyle w:val="Compact"/>
              <w:jc w:val="left"/>
            </w:pPr>
            <w:r>
              <w:t xml:space="preserve">Rankings submenu</w:t>
            </w:r>
          </w:p>
        </w:tc>
      </w:tr>
      <w:tr>
        <w:tc>
          <w:tcPr/>
          <w:p>
            <w:pPr>
              <w:pStyle w:val="Compact"/>
              <w:jc w:val="left"/>
            </w:pPr>
            <w:r>
              <w:t xml:space="preserve">15</w:t>
            </w:r>
          </w:p>
        </w:tc>
        <w:tc>
          <w:tcPr/>
          <w:p>
            <w:pPr>
              <w:pStyle w:val="Compact"/>
              <w:jc w:val="left"/>
            </w:pPr>
            <w:r>
              <w:t xml:space="preserve">network.png</w:t>
            </w:r>
          </w:p>
        </w:tc>
        <w:tc>
          <w:tcPr/>
          <w:p>
            <w:pPr>
              <w:pStyle w:val="Compact"/>
              <w:jc w:val="left"/>
            </w:pPr>
            <w:r>
              <w:t xml:space="preserve">Network dropdown</w:t>
            </w:r>
          </w:p>
        </w:tc>
      </w:tr>
      <w:tr>
        <w:tc>
          <w:tcPr/>
          <w:p>
            <w:pPr>
              <w:pStyle w:val="Compact"/>
              <w:jc w:val="left"/>
            </w:pPr>
            <w:r>
              <w:t xml:space="preserve">16</w:t>
            </w:r>
          </w:p>
        </w:tc>
        <w:tc>
          <w:tcPr/>
          <w:p>
            <w:pPr>
              <w:pStyle w:val="Compact"/>
              <w:jc w:val="left"/>
            </w:pPr>
            <w:r>
              <w:t xml:space="preserve">partners.png</w:t>
            </w:r>
          </w:p>
        </w:tc>
        <w:tc>
          <w:tcPr/>
          <w:p>
            <w:pPr>
              <w:pStyle w:val="Compact"/>
              <w:jc w:val="left"/>
            </w:pPr>
            <w:r>
              <w:t xml:space="preserve">9 international partnerships</w:t>
            </w:r>
          </w:p>
        </w:tc>
      </w:tr>
      <w:tr>
        <w:tc>
          <w:tcPr/>
          <w:p>
            <w:pPr>
              <w:pStyle w:val="Compact"/>
              <w:jc w:val="left"/>
            </w:pPr>
            <w:r>
              <w:t xml:space="preserve">17</w:t>
            </w:r>
          </w:p>
        </w:tc>
        <w:tc>
          <w:tcPr/>
          <w:p>
            <w:pPr>
              <w:pStyle w:val="Compact"/>
              <w:jc w:val="left"/>
            </w:pPr>
            <w:r>
              <w:t xml:space="preserve">city_phuket.png</w:t>
            </w:r>
          </w:p>
        </w:tc>
        <w:tc>
          <w:tcPr/>
          <w:p>
            <w:pPr>
              <w:pStyle w:val="Compact"/>
              <w:jc w:val="left"/>
            </w:pPr>
            <w:r>
              <w:t xml:space="preserve">404 error for /city/phuket</w:t>
            </w:r>
          </w:p>
        </w:tc>
      </w:tr>
      <w:tr>
        <w:tc>
          <w:tcPr/>
          <w:p>
            <w:pPr>
              <w:pStyle w:val="Compact"/>
              <w:jc w:val="left"/>
            </w:pPr>
            <w:r>
              <w:t xml:space="preserve">18</w:t>
            </w:r>
          </w:p>
        </w:tc>
        <w:tc>
          <w:tcPr/>
          <w:p>
            <w:pPr>
              <w:pStyle w:val="Compact"/>
              <w:jc w:val="left"/>
            </w:pPr>
            <w:r>
              <w:t xml:space="preserve">city_phuket_noslash.png</w:t>
            </w:r>
          </w:p>
        </w:tc>
        <w:tc>
          <w:tcPr/>
          <w:p>
            <w:pPr>
              <w:pStyle w:val="Compact"/>
              <w:jc w:val="left"/>
            </w:pPr>
            <w:r>
              <w:t xml:space="preserve">404 confirmed without slash</w:t>
            </w:r>
          </w:p>
        </w:tc>
      </w:tr>
      <w:tr>
        <w:tc>
          <w:tcPr/>
          <w:p>
            <w:pPr>
              <w:pStyle w:val="Compact"/>
              <w:jc w:val="left"/>
            </w:pPr>
            <w:r>
              <w:t xml:space="preserve">19</w:t>
            </w:r>
          </w:p>
        </w:tc>
        <w:tc>
          <w:tcPr/>
          <w:p>
            <w:pPr>
              <w:pStyle w:val="Compact"/>
              <w:jc w:val="left"/>
            </w:pPr>
            <w:r>
              <w:t xml:space="preserve">city_click.png</w:t>
            </w:r>
          </w:p>
        </w:tc>
        <w:tc>
          <w:tcPr/>
          <w:p>
            <w:pPr>
              <w:pStyle w:val="Compact"/>
              <w:jc w:val="left"/>
            </w:pPr>
            <w:r>
              <w:t xml:space="preserve">Working city page (Phra Ram 4)</w:t>
            </w:r>
          </w:p>
        </w:tc>
      </w:tr>
      <w:tr>
        <w:tc>
          <w:tcPr/>
          <w:p>
            <w:pPr>
              <w:pStyle w:val="Compact"/>
              <w:jc w:val="left"/>
            </w:pPr>
            <w:r>
              <w:t xml:space="preserve">20</w:t>
            </w:r>
          </w:p>
        </w:tc>
        <w:tc>
          <w:tcPr/>
          <w:p>
            <w:pPr>
              <w:pStyle w:val="Compact"/>
              <w:jc w:val="left"/>
            </w:pPr>
            <w:r>
              <w:t xml:space="preserve">thai_language.png</w:t>
            </w:r>
          </w:p>
        </w:tc>
        <w:tc>
          <w:tcPr/>
          <w:p>
            <w:pPr>
              <w:pStyle w:val="Compact"/>
              <w:jc w:val="left"/>
            </w:pPr>
            <w:r>
              <w:t xml:space="preserve">“</w:t>
            </w:r>
            <w:r>
              <w:t xml:space="preserve">TH</w:t>
            </w:r>
            <w:r>
              <w:t xml:space="preserve">”</w:t>
            </w:r>
            <w:r>
              <w:t xml:space="preserve"> </w:t>
            </w:r>
            <w:r>
              <w:t xml:space="preserve">button showing Chinese</w:t>
            </w:r>
          </w:p>
        </w:tc>
      </w:tr>
      <w:tr>
        <w:tc>
          <w:tcPr/>
          <w:p>
            <w:pPr>
              <w:pStyle w:val="Compact"/>
              <w:jc w:val="left"/>
            </w:pPr>
            <w:r>
              <w:t xml:space="preserve">21</w:t>
            </w:r>
          </w:p>
        </w:tc>
        <w:tc>
          <w:tcPr/>
          <w:p>
            <w:pPr>
              <w:pStyle w:val="Compact"/>
              <w:jc w:val="left"/>
            </w:pPr>
            <w:r>
              <w:t xml:space="preserve">back_en.png</w:t>
            </w:r>
          </w:p>
        </w:tc>
        <w:tc>
          <w:tcPr/>
          <w:p>
            <w:pPr>
              <w:pStyle w:val="Compact"/>
              <w:jc w:val="left"/>
            </w:pPr>
            <w:r>
              <w:t xml:space="preserve">Back to English</w:t>
            </w:r>
          </w:p>
        </w:tc>
      </w:tr>
      <w:tr>
        <w:tc>
          <w:tcPr/>
          <w:p>
            <w:pPr>
              <w:pStyle w:val="Compact"/>
              <w:jc w:val="left"/>
            </w:pPr>
            <w:r>
              <w:t xml:space="preserve">22</w:t>
            </w:r>
          </w:p>
        </w:tc>
        <w:tc>
          <w:tcPr/>
          <w:p>
            <w:pPr>
              <w:pStyle w:val="Compact"/>
              <w:jc w:val="left"/>
            </w:pPr>
            <w:r>
              <w:t xml:space="preserve">darkmode.png</w:t>
            </w:r>
          </w:p>
        </w:tc>
        <w:tc>
          <w:tcPr/>
          <w:p>
            <w:pPr>
              <w:pStyle w:val="Compact"/>
              <w:jc w:val="left"/>
            </w:pPr>
            <w:r>
              <w:t xml:space="preserve">Dark mode activated</w:t>
            </w:r>
          </w:p>
        </w:tc>
      </w:tr>
      <w:tr>
        <w:tc>
          <w:tcPr/>
          <w:p>
            <w:pPr>
              <w:pStyle w:val="Compact"/>
              <w:jc w:val="left"/>
            </w:pPr>
            <w:r>
              <w:t xml:space="preserve">23</w:t>
            </w:r>
          </w:p>
        </w:tc>
        <w:tc>
          <w:tcPr/>
          <w:p>
            <w:pPr>
              <w:pStyle w:val="Compact"/>
              <w:jc w:val="left"/>
            </w:pPr>
            <w:r>
              <w:t xml:space="preserve">rankings_for_city.png</w:t>
            </w:r>
          </w:p>
        </w:tc>
        <w:tc>
          <w:tcPr/>
          <w:p>
            <w:pPr>
              <w:pStyle w:val="Compact"/>
              <w:jc w:val="left"/>
            </w:pPr>
            <w:r>
              <w:t xml:space="preserve">404 on /rankings (no slash)</w:t>
            </w:r>
          </w:p>
        </w:tc>
      </w:tr>
      <w:tr>
        <w:tc>
          <w:tcPr/>
          <w:p>
            <w:pPr>
              <w:pStyle w:val="Compact"/>
              <w:jc w:val="left"/>
            </w:pPr>
            <w:r>
              <w:t xml:space="preserve">24</w:t>
            </w:r>
          </w:p>
        </w:tc>
        <w:tc>
          <w:tcPr/>
          <w:p>
            <w:pPr>
              <w:pStyle w:val="Compact"/>
              <w:jc w:val="left"/>
            </w:pPr>
            <w:r>
              <w:t xml:space="preserve">topfive.png</w:t>
            </w:r>
          </w:p>
        </w:tc>
        <w:tc>
          <w:tcPr/>
          <w:p>
            <w:pPr>
              <w:pStyle w:val="Compact"/>
              <w:jc w:val="left"/>
            </w:pPr>
            <w:r>
              <w:t xml:space="preserve">Top Five section with city cards</w:t>
            </w:r>
          </w:p>
        </w:tc>
      </w:tr>
    </w:tbl>
    <w:p>
      <w:r>
        <w:pict>
          <v:rect style="width:0;height:1.5pt" o:hralign="center" o:hrstd="t" o:hr="t"/>
        </w:pict>
      </w:r>
    </w:p>
    <w:bookmarkEnd w:id="136"/>
    <w:bookmarkStart w:id="137" w:name="appendix-research-sources"/>
    <w:p>
      <w:pPr>
        <w:pStyle w:val="Heading1"/>
      </w:pPr>
      <w:r>
        <w:t xml:space="preserve">Appendix: Research Sources</w:t>
      </w:r>
    </w:p>
    <w:p>
      <w:pPr>
        <w:pStyle w:val="FirstParagraph"/>
      </w:pPr>
      <w:r>
        <w:t xml:space="preserve">This audit incorporated findings from 4 parallel research agents conducting 40+ web searches across:</w:t>
      </w:r>
    </w:p>
    <w:p>
      <w:pPr>
        <w:numPr>
          <w:ilvl w:val="0"/>
          <w:numId w:val="1003"/>
        </w:numPr>
        <w:pStyle w:val="Compact"/>
      </w:pPr>
      <w:r>
        <w:rPr>
          <w:bCs/>
          <w:b/>
        </w:rPr>
        <w:t xml:space="preserve">Global Smart City Indexes</w:t>
      </w:r>
      <w:r>
        <w:t xml:space="preserve"> </w:t>
      </w:r>
      <w:r>
        <w:t xml:space="preserve">(sciti_dim01_global_indexes.md) — IMD, IESE, Copenhagenize, EIU, LORDIMAS</w:t>
      </w:r>
    </w:p>
    <w:p>
      <w:pPr>
        <w:numPr>
          <w:ilvl w:val="0"/>
          <w:numId w:val="1003"/>
        </w:numPr>
        <w:pStyle w:val="Compact"/>
      </w:pPr>
      <w:r>
        <w:rPr>
          <w:bCs/>
          <w:b/>
        </w:rPr>
        <w:t xml:space="preserve">Smart City Frameworks</w:t>
      </w:r>
      <w:r>
        <w:t xml:space="preserve"> </w:t>
      </w:r>
      <w:r>
        <w:t xml:space="preserve">(sciti_dim02_frameworks.md) — UN-Habitat CPI, ISO 37120/37122, EU Marketplace, Singapore DGB, ASEAN ASCF, Japan Society 5.0, Dubai 10X</w:t>
      </w:r>
    </w:p>
    <w:p>
      <w:pPr>
        <w:numPr>
          <w:ilvl w:val="0"/>
          <w:numId w:val="1003"/>
        </w:numPr>
        <w:pStyle w:val="Compact"/>
      </w:pPr>
      <w:r>
        <w:rPr>
          <w:bCs/>
          <w:b/>
        </w:rPr>
        <w:t xml:space="preserve">Bible Content</w:t>
      </w:r>
      <w:r>
        <w:t xml:space="preserve"> </w:t>
      </w:r>
      <w:r>
        <w:t xml:space="preserve">(sciti_dim03_bible_content.md) — UN-Habitat Guide, C40 Resource Centre, UK GDS Guide, G20 Alliance Roadmap, ITU maturity model</w:t>
      </w:r>
    </w:p>
    <w:p>
      <w:pPr>
        <w:numPr>
          <w:ilvl w:val="0"/>
          <w:numId w:val="1003"/>
        </w:numPr>
        <w:pStyle w:val="Compact"/>
      </w:pPr>
      <w:r>
        <w:rPr>
          <w:bCs/>
          <w:b/>
        </w:rPr>
        <w:t xml:space="preserve">Award Patterns</w:t>
      </w:r>
      <w:r>
        <w:t xml:space="preserve"> </w:t>
      </w:r>
      <w:r>
        <w:t xml:space="preserve">(sciti_dim04_award_patterns.md) — Red Dot, Information is Beautiful, Webby Awards, schema.org, WCAG 2.1</w:t>
      </w:r>
    </w:p>
    <w:p>
      <w:pPr>
        <w:pStyle w:val="FirstParagraph"/>
      </w:pPr>
      <w:r>
        <w:t xml:space="preserve">All research files available at:</w:t>
      </w:r>
      <w:r>
        <w:t xml:space="preserve"> </w:t>
      </w:r>
      <w:r>
        <w:rPr>
          <w:rStyle w:val="VerbatimChar"/>
        </w:rPr>
        <w:t xml:space="preserve">/mnt/agents/output/research/</w:t>
      </w:r>
    </w:p>
    <w:p>
      <w:r>
        <w:pict>
          <v:rect style="width:0;height:1.5pt" o:hralign="center" o:hrstd="t" o:hr="t"/>
        </w:pict>
      </w:r>
    </w:p>
    <w:p>
      <w:pPr>
        <w:pStyle w:val="FirstParagraph"/>
      </w:pPr>
      <w:r>
        <w:rPr>
          <w:iCs/>
          <w:i/>
        </w:rPr>
        <w:t xml:space="preserve">Report generated through systematic manual testing, technical analysis, and multi-agent research. All bugs verified through direct interaction. All recommendations actionable and prioritized.</w:t>
      </w:r>
    </w:p>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Smart City Thailand Index (SCITI) | Reality Check. https://sciti.nonarkara.org/</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Smart City Thailand Index (SCITI) | Rankings. https://sciti.nonarkara.org/rankings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Smart City Thailand Index (SCITI) | Methodology. https://sciti.nonarkara.org/methodology</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Libertify. https://www.libertify.com/interactive-library/imd-smart-city-index-2025-urban-technology-rankings/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IESE Business School. https://www.iese.edu/media/research/pdfs/ST-0649-E.pdf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sacbike.org. https://sacbike.org/wp-content/uploads/2025/11/COPENHAGENIZE-INDEX2025_Report_LDef.pdf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WeGO. https://we-gov.org/wp-content/uploads/2024/07/WeGO-IMD-Smarti-Cities-Index-2024.pdf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Red Ciudades Inteligentes. https://redciudadesinteligentes.net/wp-content/uploads/2025/03/Manual-de-ciudades-Inteligentes-2da-edicion-EN.pdf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Frontiers. https://www.frontiersin.org/journals/sustainable-cities/articles/10.3389/frsc.2026.1733281/full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thegpsc.org. https://www.thegpsc.org/sites/gpsc/files/integrating_climate_adaptation_toolkit_c40_gpsc_eng.pdf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Smart City Thailand Index (SCITI) | What Is Your City?. https://sciti.nonarkara.org/discover</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Smart City Thailand Index (SCITI) | Compare Cities. https://sciti.nonarkara.org/compare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Smart City Thailand Index (SCITI) | Story. https://sciti.nonarkara.org/story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greenfinanceplatform.org. https://www.greenfinanceplatform.org/sites/default/files/downloads/resource/The_State_of_Cities_Climate_Finance_Part_1-min.pdf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Columbia SIPA. https://www.sipa.columbia.edu/sites/default/files/2024-06/Final%20report_City%20of%20BA_for%20publication.pdf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7itsnews.com. https://www.7itsnews.com/index.php?m=home&amp;c=View&amp;a=index&amp;aid=22792</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Cities Today. https://cities-today.com/36-cities-adopt-policy-roadmap-for-ethical-use-of-data-and-technology/</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The Place Brand Observer | TPBO. https://placebrandobserver.com/smart-city-index-2024-summary/</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The Place Brand Observer | TPBO. https://placebrandobserver.com/iese-cities-in-motion-index-2025-results/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newpolis.media. https://newpolis.media/smart-city-ranking-methodology-beyond-the-top-10-cities-of-2025-ii/</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Rinnovabili.it. https://www.rinnovabili.it/wp-content/uploads/2025/04/cities-in-motion-2025-.pdf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iteh.ai. https://cdn.standards.iteh.ai/samples/69050/2e8b58add7054523af3c08edd7ed571b/ISO-37122-2019.pdf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IESE Business School. https://www.iese.edu/research/pdfs/ST-0471-E.pdf?utm_medium=website&amp;utm_source=archdaily.com.br</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openresearch.amsterdam. https://openresearch.amsterdam/image/2022/1/3/2_6_smart_cities.pdf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idw – Informationsdienst Wissenschaft. https://idw-online.de/de/attachmentdata57743.pdf</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copenhagenize.eu. https://www.copenhagenize.eu/cycling-policy-evaluation</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substack.com. https://urbancyclinginstitute.substack.com/p/the-copenhagenize-index-2025-a-deep</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copenhagenize.eu. https://www.copenhagenize.eu/s/Bicycle-Friendly-City-Benchmark-Report_Brochure.pdf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EBRD Green Cities. https://ebrdgreencities.com/policy-tool/urban-planning-with-superblocks-barcelona-spain-2/</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umich.edu. https://mcity.umich.edu/wp-content/uploads/2022/06/Mcity_Data-Governance-Frameworks-for-Smart-Cities_FINAL_June-2022.pdf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United Nations Centre for Regional Development. https://uncrd.un.org/sites/default/files/smart-city-training-material_1_smart-cities.pdf</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LiveWire Calgary. https://livewirecalgary.com/wp-content/uploads/2024/06/The-Global-Liveability-Index-Summary-Report-final.pdf</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CEB. https://coebank.org/media/documents/Thematic_Review_Barcelona_Superblock.pdf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europa.eu. https://smart-cities-marketplace.ec.europa.eu/sites/default/files/2021-04/the_making_of_a_smart_city_-_best_practices_across_europe.pdf</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UN-Habitat. https://data.unhabitat.org/pages/city-prosperity-index</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Habnet. https://habnet.unhabitat.org/sites/default/files/documents/CPI_toolkit.pdf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ESCAP. https://www.unescap.org/sites/default/files/4.City_Prosperity_Innitiative_UN-Habitat_Wshop_26-29Mar2018.pdf</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UN-Habitat. https://unhabitat.org/sites/default/files/2019/02/CPI-METADATA.2016.pdf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Spacescape. https://www.spacescape.se/wp-content/uploads/2015/05/CPI-brochure.pdf</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Vispero. https://vispero.com/resources/making-data-visualizations-accessible/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ISO - International Organization for Standardization. https://www.iso.org/obp/ui/en/#!iso:std:69050:en</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Oregon.gov. https://www.oregon.gov/oha/digital-accessibility/pages/accessible-data-visualizations-quick-guide.aspx</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ENI CBC Med. https://www.enicbcmed.eu/sites/default/files/2024-01/D3.1.3-Indicators_for_Smart%20Buildings-Cities.pdf</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unu.edu. https://i.unu.edu/media/egov.unu.edu/event/4886/Presentation-slides.pdf</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NASA. https://www.nasa.gov/reference/nasa-webby-award-winners/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tableau.com. https://help.tableau.com/current/pro/desktop/en-us/accessibility_best_practice.htm</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iotmadlab.es. https://iotmadlab.es/wp-content/uploads/2023/10/Smart-Cities-Marketplace-Smart-Solutions-Casebook.pdf</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ua.edu. https://accessibility.ua.edu/accessibilityresources/accessible-data-visualizations/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openfieldx.com. https://openfieldx.com/data-visualization-accessibility-tips-for-edtech/</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by.gov.sg. https://isomer-user-content.by.gov.sg/85/f4e1b24e-42b4-4f8d-98a4-9dbc64817ff6/dgb-public-document_30dec20.pdf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Highcharts. https://www.highcharts.com/article/10-guidelines-for-dataviz-accessibility/</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weADAPT. https://weadapt.org/wp-content/uploads/2023/05/usaid_uccar_training_manual_final.pdf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EqualWeb. https://www.equalweb.com/html5/?_id=11771&amp;did=1116&amp;title=WCAG%202%2E1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ASEAN Main Portal. https://asean.org/wp-content/uploads/2022/06/ASEAN_SmartCityPlanningGuidebook_en_WEBSITE.pdf</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un.org. https://unosd.un.org/sites/default/files/06._mr._kazushige_endo.pdf</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国土交通省. https://www.mlit.go.jp/report/press/content/001388556.pdf</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SG Digital Gateway. https://www.digitalgateway.gov.sg/our-resources/digital-government/</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https://www.rebelgroup.com/wp-content/uploads/whitepaper-PPP-smart-City-Final-1.pdf</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World Economic Forum. https://www3.weforum.org/docs/WEF_A_Primer_of_Public_Private_Collaborations_for_Smart_Cities_2023.pdf</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UN-Habitat. https://unhabitat.org/sites/default/files/2025/12/unitac_a_step_by_step_guide_for_a_people_centred_smart_city_strategy.pdf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ITU. https://www.itu.int/dms_pub/itu-t/opb/tut/T-TUT-SMARTCITY-2023-2-PDF-E.pdf</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Climate Policy Initiative. https://www.climatepolicyinitiative.org/wp-content/uploads/2023/06/Annex-2-Municipal-Green-Bonds-Blueprints.pdf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आवासन और शहरी कार्य मंत्रालय. https://mohua.gov.in/dataSmartCities/uploads/resource/resourceDoc/Resource_Doc_1723189064_Designing_a_City_Data_Policy_A_Reference_Guide.pdf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BehanceBehance. https://www.behance.net/cleverfranke?locale=zh_TW</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worldbank.github.io. https://worldbank.github.io/schema-guide/chapter03.html</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schema.org. https://schema.org/Dataset</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storybench. https://www.storybench.org/pudding-structures-stories-visual-essays/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The Pudding. https://pudding.cool/process/how-to-make-dope-shit-part-3/</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COIT | Colegio Oficial Ingenieros de Telecomunicación. https://www.coit.es/sites/default/files/imd_-smartcityindex-2024-full-report.pdf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dco.org. https://dco.org/wp-content/uploads/2024/10/Public-Private-Partnership.pdf</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climatecooperation.cn. https://climatecooperation.cn/wp-content/uploads/2024/03/FINAL_Little-book-of-city-climate-finance-_EN_clean.pdf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cities-to-be. https://citiestobe.com/city-digital-twins-future-urban-management/</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cdp.net. https://cdn.cdp.net/cdp-production/comfy/cms/files/files/000/008/083/original/Climate_Change_Adaptation_and_Resilience_Planning_Programme_Summary_V2_REV3_230523.pdf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POLIS Network. https://www.polisnetwork.eu/news/copenhagenize-index-2025-ranks-the-most-bicycle-friendly-cities-including-many-polis-members/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インベスト・インディア (Invest India). https://static.investindia.gov.in/s3fs-public/2021-07/WEF_Governing_Smart_Cities_2021.pdf</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Mapbox. https://blog.mapbox.com/how-the-pudding-team-uses-mapbox-4b5b8577001f</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DataONE. https://www.dataone.org/uploads/dataone_webinar_schema.org_improving_access_to_data_through_a_standardized_language.pdf</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GOV.UK Developer Documentation. https://docs.publishing.service.gov.uk/manual/schemas.html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Communication Arts. https://www.commarts.com/features/clever-franke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mynewsdesk.com. https://www.mynewsdesk.com/red-dot-design-award/pressreleases/decoding-the-world-clever-grad-franke-is-red-dot-agency-of-the-year-2023-3315931</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World Wide Web Consortium (W3C). https://www.w3.org/TR/WCAG21/</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redsageonline.com. https://redsageonline.com/unlocking-repeat-visits-strategies-for-destination-attraction-and-place-marketers/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Medium. https://medium.com/narrative-from-linear-media-to-interactive-media/analysis-of-a-visual-essay-from-the-pudding-5a6a232ed092</w:t>
      </w:r>
      <w:bookmarkEnd w:id="1008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2026-06-14T14:54:00Z</dcterms:created>
  <dcterms:modified xsi:type="dcterms:W3CDTF">2026-06-14T14:54:00Z</dcterms:modified>
</cp:coreProperties>
</file>

<file path=docProps/custom.xml><?xml version="1.0" encoding="utf-8"?>
<Properties xmlns="http://schemas.openxmlformats.org/officeDocument/2006/custom-properties" xmlns:vt="http://schemas.openxmlformats.org/officeDocument/2006/docPropsVTypes"/>
</file>