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3D38A">
      <w:pPr>
        <w:pStyle w:val="2"/>
        <w:bidi w:val="0"/>
      </w:pPr>
      <w:bookmarkStart w:id="0" w:name="_Toc1478697626"/>
      <w:bookmarkStart w:id="1" w:name="_Toc2095917148"/>
      <w:bookmarkStart w:id="2" w:name="_Toc843295533"/>
      <w:r>
        <w:t>疱疹溶瘤病毒治疗头颈部鳞癌的II期临床试验方案</w:t>
      </w:r>
      <w:bookmarkEnd w:id="0"/>
      <w:bookmarkEnd w:id="1"/>
      <w:bookmarkEnd w:id="2"/>
    </w:p>
    <w:p w14:paraId="4B6EC742">
      <w:pPr>
        <w:pStyle w:val="6"/>
        <w:tabs>
          <w:tab w:val="right" w:leader="dot" w:pos="8300"/>
        </w:tabs>
        <w:rPr>
          <w:rFonts w:ascii="宋体" w:hAnsi="宋体" w:eastAsia="宋体" w:cs="宋体"/>
          <w:i w:val="0"/>
          <w:spacing w:val="0"/>
          <w:sz w:val="21"/>
          <w:szCs w:val="22"/>
        </w:rPr>
      </w:pPr>
    </w:p>
    <w:p w14:paraId="5D182417">
      <w:pPr>
        <w:pStyle w:val="6"/>
        <w:tabs>
          <w:tab w:val="right" w:leader="dot" w:pos="8300"/>
        </w:tabs>
        <w:rPr>
          <w:rFonts w:ascii="宋体" w:hAnsi="宋体" w:eastAsia="宋体" w:cs="宋体"/>
          <w:i w:val="0"/>
          <w:spacing w:val="0"/>
          <w:sz w:val="21"/>
          <w:szCs w:val="22"/>
        </w:rPr>
      </w:pPr>
    </w:p>
    <w:p w14:paraId="4224B8A7">
      <w:pPr>
        <w:pStyle w:val="6"/>
        <w:tabs>
          <w:tab w:val="right" w:leader="dot" w:pos="8300"/>
        </w:tabs>
        <w:rPr>
          <w:rFonts w:ascii="宋体" w:hAnsi="宋体" w:eastAsia="宋体" w:cs="宋体"/>
          <w:i w:val="0"/>
          <w:spacing w:val="0"/>
          <w:sz w:val="21"/>
          <w:szCs w:val="22"/>
        </w:rPr>
      </w:pPr>
    </w:p>
    <w:p w14:paraId="74132143">
      <w:pPr>
        <w:pStyle w:val="6"/>
        <w:tabs>
          <w:tab w:val="right" w:leader="dot" w:pos="8300"/>
        </w:tabs>
        <w:rPr>
          <w:rFonts w:ascii="宋体" w:hAnsi="宋体" w:eastAsia="宋体" w:cs="宋体"/>
          <w:i w:val="0"/>
          <w:spacing w:val="0"/>
          <w:sz w:val="21"/>
          <w:szCs w:val="22"/>
        </w:rPr>
      </w:pPr>
    </w:p>
    <w:p w14:paraId="4E24AAAC">
      <w:pPr>
        <w:pStyle w:val="6"/>
        <w:tabs>
          <w:tab w:val="right" w:leader="dot" w:pos="8300"/>
        </w:tabs>
        <w:rPr>
          <w:rFonts w:ascii="宋体" w:hAnsi="宋体" w:eastAsia="宋体" w:cs="宋体"/>
          <w:i w:val="0"/>
          <w:spacing w:val="0"/>
          <w:sz w:val="21"/>
          <w:szCs w:val="22"/>
        </w:rPr>
      </w:pPr>
    </w:p>
    <w:p w14:paraId="07E8D157">
      <w:pPr>
        <w:pStyle w:val="6"/>
        <w:tabs>
          <w:tab w:val="right" w:leader="dot" w:pos="8300"/>
        </w:tabs>
        <w:rPr>
          <w:rFonts w:ascii="宋体" w:hAnsi="宋体" w:eastAsia="宋体" w:cs="宋体"/>
          <w:i w:val="0"/>
          <w:spacing w:val="0"/>
          <w:sz w:val="21"/>
          <w:szCs w:val="22"/>
        </w:rPr>
      </w:pPr>
    </w:p>
    <w:p w14:paraId="7E25A2B0">
      <w:pPr>
        <w:pStyle w:val="6"/>
        <w:tabs>
          <w:tab w:val="right" w:leader="dot" w:pos="8300"/>
        </w:tabs>
        <w:rPr>
          <w:rFonts w:ascii="宋体" w:hAnsi="宋体" w:eastAsia="宋体" w:cs="宋体"/>
          <w:i w:val="0"/>
          <w:spacing w:val="0"/>
          <w:sz w:val="21"/>
          <w:szCs w:val="22"/>
        </w:rPr>
      </w:pPr>
    </w:p>
    <w:p w14:paraId="28210C56">
      <w:pPr>
        <w:pStyle w:val="6"/>
        <w:tabs>
          <w:tab w:val="right" w:leader="dot" w:pos="8300"/>
        </w:tabs>
        <w:rPr>
          <w:rFonts w:ascii="宋体" w:hAnsi="宋体" w:eastAsia="宋体" w:cs="宋体"/>
          <w:i w:val="0"/>
          <w:spacing w:val="0"/>
          <w:sz w:val="21"/>
          <w:szCs w:val="22"/>
        </w:rPr>
      </w:pPr>
    </w:p>
    <w:p w14:paraId="6AEE641F">
      <w:pPr>
        <w:pStyle w:val="6"/>
        <w:tabs>
          <w:tab w:val="right" w:leader="dot" w:pos="8300"/>
        </w:tabs>
        <w:rPr>
          <w:rFonts w:ascii="宋体" w:hAnsi="宋体" w:eastAsia="宋体" w:cs="宋体"/>
          <w:i w:val="0"/>
          <w:spacing w:val="0"/>
          <w:sz w:val="21"/>
          <w:szCs w:val="22"/>
        </w:rPr>
      </w:pPr>
    </w:p>
    <w:p w14:paraId="38D1D6C0">
      <w:pPr>
        <w:pStyle w:val="6"/>
        <w:tabs>
          <w:tab w:val="right" w:leader="dot" w:pos="8300"/>
        </w:tabs>
        <w:rPr>
          <w:rFonts w:ascii="宋体" w:hAnsi="宋体" w:eastAsia="宋体" w:cs="宋体"/>
          <w:i w:val="0"/>
          <w:spacing w:val="0"/>
          <w:sz w:val="21"/>
          <w:szCs w:val="22"/>
        </w:rPr>
      </w:pPr>
    </w:p>
    <w:p w14:paraId="079CB4A6">
      <w:pPr>
        <w:pStyle w:val="6"/>
        <w:tabs>
          <w:tab w:val="right" w:leader="dot" w:pos="8300"/>
        </w:tabs>
        <w:rPr>
          <w:rFonts w:ascii="宋体" w:hAnsi="宋体" w:eastAsia="宋体" w:cs="宋体"/>
          <w:i w:val="0"/>
          <w:spacing w:val="0"/>
          <w:sz w:val="21"/>
          <w:szCs w:val="22"/>
        </w:rPr>
      </w:pPr>
    </w:p>
    <w:p w14:paraId="60EF7D3A">
      <w:pPr>
        <w:pStyle w:val="6"/>
        <w:tabs>
          <w:tab w:val="right" w:leader="dot" w:pos="8300"/>
        </w:tabs>
        <w:rPr>
          <w:rFonts w:ascii="宋体" w:hAnsi="宋体" w:eastAsia="宋体" w:cs="宋体"/>
          <w:i w:val="0"/>
          <w:spacing w:val="0"/>
          <w:sz w:val="21"/>
          <w:szCs w:val="22"/>
        </w:rPr>
      </w:pPr>
    </w:p>
    <w:p w14:paraId="6EA70760">
      <w:pPr>
        <w:pStyle w:val="6"/>
        <w:tabs>
          <w:tab w:val="right" w:leader="dot" w:pos="8300"/>
        </w:tabs>
        <w:rPr>
          <w:rFonts w:ascii="宋体" w:hAnsi="宋体" w:eastAsia="宋体" w:cs="宋体"/>
          <w:i w:val="0"/>
          <w:spacing w:val="0"/>
          <w:sz w:val="21"/>
          <w:szCs w:val="22"/>
        </w:rPr>
      </w:pPr>
    </w:p>
    <w:p w14:paraId="4A51561E">
      <w:pPr>
        <w:pStyle w:val="6"/>
        <w:tabs>
          <w:tab w:val="right" w:leader="dot" w:pos="8300"/>
        </w:tabs>
        <w:rPr>
          <w:rFonts w:ascii="宋体" w:hAnsi="宋体" w:eastAsia="宋体" w:cs="宋体"/>
          <w:i w:val="0"/>
          <w:spacing w:val="0"/>
          <w:sz w:val="21"/>
          <w:szCs w:val="22"/>
        </w:rPr>
      </w:pPr>
    </w:p>
    <w:p w14:paraId="5165E627">
      <w:pPr>
        <w:pStyle w:val="6"/>
        <w:tabs>
          <w:tab w:val="right" w:leader="dot" w:pos="8300"/>
        </w:tabs>
        <w:rPr>
          <w:rFonts w:ascii="宋体" w:hAnsi="宋体" w:eastAsia="宋体" w:cs="宋体"/>
          <w:i w:val="0"/>
          <w:spacing w:val="0"/>
          <w:sz w:val="21"/>
          <w:szCs w:val="22"/>
        </w:rPr>
      </w:pPr>
    </w:p>
    <w:p w14:paraId="553D5A28">
      <w:pPr>
        <w:pStyle w:val="6"/>
        <w:tabs>
          <w:tab w:val="right" w:leader="dot" w:pos="8300"/>
        </w:tabs>
        <w:rPr>
          <w:rFonts w:ascii="宋体" w:hAnsi="宋体" w:eastAsia="宋体" w:cs="宋体"/>
          <w:i w:val="0"/>
          <w:spacing w:val="0"/>
          <w:sz w:val="21"/>
          <w:szCs w:val="22"/>
        </w:rPr>
      </w:pPr>
    </w:p>
    <w:p w14:paraId="726B5987">
      <w:pPr>
        <w:pStyle w:val="6"/>
        <w:tabs>
          <w:tab w:val="right" w:leader="dot" w:pos="8300"/>
        </w:tabs>
        <w:rPr>
          <w:rFonts w:ascii="宋体" w:hAnsi="宋体" w:eastAsia="宋体" w:cs="宋体"/>
          <w:i w:val="0"/>
          <w:spacing w:val="0"/>
          <w:sz w:val="21"/>
          <w:szCs w:val="22"/>
        </w:rPr>
      </w:pPr>
    </w:p>
    <w:p w14:paraId="382A5AC9">
      <w:pPr>
        <w:pStyle w:val="6"/>
        <w:tabs>
          <w:tab w:val="right" w:leader="dot" w:pos="8300"/>
        </w:tabs>
        <w:rPr>
          <w:rFonts w:ascii="宋体" w:hAnsi="宋体" w:eastAsia="宋体" w:cs="宋体"/>
          <w:i w:val="0"/>
          <w:spacing w:val="0"/>
          <w:sz w:val="21"/>
          <w:szCs w:val="22"/>
        </w:rPr>
      </w:pPr>
    </w:p>
    <w:p w14:paraId="4FED40EA">
      <w:pPr>
        <w:pStyle w:val="6"/>
        <w:tabs>
          <w:tab w:val="right" w:leader="dot" w:pos="8300"/>
        </w:tabs>
        <w:rPr>
          <w:rFonts w:ascii="宋体" w:hAnsi="宋体" w:eastAsia="宋体" w:cs="宋体"/>
          <w:i w:val="0"/>
          <w:spacing w:val="0"/>
          <w:sz w:val="21"/>
          <w:szCs w:val="22"/>
        </w:rPr>
      </w:pPr>
    </w:p>
    <w:p w14:paraId="033C7764">
      <w:pPr>
        <w:pStyle w:val="6"/>
        <w:tabs>
          <w:tab w:val="right" w:leader="dot" w:pos="8300"/>
        </w:tabs>
        <w:rPr>
          <w:rFonts w:ascii="宋体" w:hAnsi="宋体" w:eastAsia="宋体" w:cs="宋体"/>
          <w:i w:val="0"/>
          <w:spacing w:val="0"/>
          <w:sz w:val="21"/>
          <w:szCs w:val="22"/>
        </w:rPr>
      </w:pPr>
    </w:p>
    <w:p w14:paraId="4EF4148F">
      <w:pPr>
        <w:pStyle w:val="6"/>
        <w:tabs>
          <w:tab w:val="right" w:leader="dot" w:pos="8300"/>
        </w:tabs>
        <w:rPr>
          <w:rFonts w:ascii="宋体" w:hAnsi="宋体" w:eastAsia="宋体" w:cs="宋体"/>
          <w:i w:val="0"/>
          <w:spacing w:val="0"/>
          <w:sz w:val="21"/>
          <w:szCs w:val="22"/>
        </w:rPr>
      </w:pPr>
    </w:p>
    <w:p w14:paraId="75710D45">
      <w:pPr>
        <w:pStyle w:val="6"/>
        <w:tabs>
          <w:tab w:val="right" w:leader="dot" w:pos="8300"/>
        </w:tabs>
        <w:rPr>
          <w:rFonts w:ascii="宋体" w:hAnsi="宋体" w:eastAsia="宋体" w:cs="宋体"/>
          <w:i w:val="0"/>
          <w:spacing w:val="0"/>
          <w:sz w:val="21"/>
          <w:szCs w:val="22"/>
        </w:rPr>
      </w:pPr>
    </w:p>
    <w:p w14:paraId="38A4DDB7">
      <w:pPr>
        <w:pStyle w:val="6"/>
        <w:tabs>
          <w:tab w:val="right" w:leader="dot" w:pos="8300"/>
        </w:tabs>
        <w:rPr>
          <w:rFonts w:ascii="宋体" w:hAnsi="宋体" w:eastAsia="宋体" w:cs="宋体"/>
          <w:i w:val="0"/>
          <w:spacing w:val="0"/>
          <w:sz w:val="21"/>
          <w:szCs w:val="22"/>
        </w:rPr>
      </w:pPr>
    </w:p>
    <w:p w14:paraId="44122FB1">
      <w:pPr>
        <w:pStyle w:val="6"/>
        <w:tabs>
          <w:tab w:val="right" w:leader="dot" w:pos="8300"/>
        </w:tabs>
        <w:rPr>
          <w:rFonts w:ascii="宋体" w:hAnsi="宋体" w:eastAsia="宋体" w:cs="宋体"/>
          <w:i w:val="0"/>
          <w:spacing w:val="0"/>
          <w:sz w:val="21"/>
          <w:szCs w:val="22"/>
        </w:rPr>
      </w:pPr>
    </w:p>
    <w:p w14:paraId="6A6BF37F">
      <w:pPr>
        <w:pStyle w:val="6"/>
        <w:tabs>
          <w:tab w:val="right" w:leader="dot" w:pos="8300"/>
        </w:tabs>
        <w:rPr>
          <w:rFonts w:ascii="宋体" w:hAnsi="宋体" w:eastAsia="宋体" w:cs="宋体"/>
          <w:i w:val="0"/>
          <w:spacing w:val="0"/>
          <w:sz w:val="21"/>
          <w:szCs w:val="22"/>
        </w:rPr>
      </w:pPr>
    </w:p>
    <w:p w14:paraId="35E82C2B">
      <w:pPr>
        <w:pStyle w:val="6"/>
        <w:tabs>
          <w:tab w:val="right" w:leader="dot" w:pos="8300"/>
        </w:tabs>
        <w:rPr>
          <w:rFonts w:ascii="宋体" w:hAnsi="宋体" w:eastAsia="宋体" w:cs="宋体"/>
          <w:i w:val="0"/>
          <w:spacing w:val="0"/>
          <w:sz w:val="21"/>
          <w:szCs w:val="22"/>
        </w:rPr>
      </w:pPr>
    </w:p>
    <w:p w14:paraId="614F9E24">
      <w:pPr>
        <w:pStyle w:val="6"/>
        <w:tabs>
          <w:tab w:val="right" w:leader="dot" w:pos="8300"/>
        </w:tabs>
        <w:rPr>
          <w:rFonts w:ascii="宋体" w:hAnsi="宋体" w:eastAsia="宋体" w:cs="宋体"/>
          <w:i w:val="0"/>
          <w:spacing w:val="0"/>
          <w:sz w:val="21"/>
          <w:szCs w:val="22"/>
        </w:rPr>
      </w:pPr>
    </w:p>
    <w:p w14:paraId="506A3044">
      <w:pPr>
        <w:pStyle w:val="6"/>
        <w:tabs>
          <w:tab w:val="right" w:leader="dot" w:pos="8300"/>
        </w:tabs>
        <w:rPr>
          <w:rFonts w:ascii="宋体" w:hAnsi="宋体" w:eastAsia="宋体" w:cs="宋体"/>
          <w:i w:val="0"/>
          <w:spacing w:val="0"/>
          <w:sz w:val="21"/>
          <w:szCs w:val="22"/>
        </w:rPr>
      </w:pPr>
    </w:p>
    <w:p w14:paraId="7EB308C8">
      <w:pPr>
        <w:pStyle w:val="6"/>
        <w:tabs>
          <w:tab w:val="right" w:leader="dot" w:pos="8300"/>
        </w:tabs>
        <w:rPr>
          <w:rFonts w:ascii="宋体" w:hAnsi="宋体" w:eastAsia="宋体" w:cs="宋体"/>
          <w:i w:val="0"/>
          <w:spacing w:val="0"/>
          <w:sz w:val="21"/>
          <w:szCs w:val="22"/>
        </w:rPr>
      </w:pPr>
    </w:p>
    <w:p w14:paraId="74C79CEB">
      <w:pPr>
        <w:pStyle w:val="6"/>
        <w:tabs>
          <w:tab w:val="right" w:leader="dot" w:pos="8300"/>
        </w:tabs>
        <w:rPr>
          <w:rFonts w:ascii="宋体" w:hAnsi="宋体" w:eastAsia="宋体" w:cs="宋体"/>
          <w:i w:val="0"/>
          <w:spacing w:val="0"/>
          <w:sz w:val="21"/>
          <w:szCs w:val="22"/>
        </w:rPr>
      </w:pPr>
    </w:p>
    <w:p w14:paraId="552ECEB5">
      <w:pPr>
        <w:pStyle w:val="6"/>
        <w:tabs>
          <w:tab w:val="right" w:leader="dot" w:pos="8300"/>
        </w:tabs>
        <w:rPr>
          <w:rFonts w:ascii="宋体" w:hAnsi="宋体" w:eastAsia="宋体" w:cs="宋体"/>
          <w:i w:val="0"/>
          <w:spacing w:val="0"/>
          <w:sz w:val="21"/>
          <w:szCs w:val="22"/>
        </w:rPr>
      </w:pPr>
    </w:p>
    <w:p w14:paraId="1C6B72EC">
      <w:pPr>
        <w:pStyle w:val="6"/>
        <w:tabs>
          <w:tab w:val="right" w:leader="dot" w:pos="8300"/>
        </w:tabs>
        <w:rPr>
          <w:rFonts w:ascii="宋体" w:hAnsi="宋体" w:eastAsia="宋体" w:cs="宋体"/>
          <w:i w:val="0"/>
          <w:spacing w:val="0"/>
          <w:sz w:val="21"/>
          <w:szCs w:val="22"/>
        </w:rPr>
      </w:pPr>
    </w:p>
    <w:p w14:paraId="625F5EC5">
      <w:pPr>
        <w:pStyle w:val="6"/>
        <w:tabs>
          <w:tab w:val="right" w:leader="dot" w:pos="8300"/>
        </w:tabs>
        <w:rPr>
          <w:rFonts w:ascii="宋体" w:hAnsi="宋体" w:eastAsia="宋体" w:cs="宋体"/>
          <w:i w:val="0"/>
          <w:spacing w:val="0"/>
          <w:sz w:val="21"/>
          <w:szCs w:val="22"/>
        </w:rPr>
      </w:pPr>
    </w:p>
    <w:p w14:paraId="441AA3EC">
      <w:pPr>
        <w:pStyle w:val="6"/>
        <w:tabs>
          <w:tab w:val="right" w:leader="dot" w:pos="8300"/>
        </w:tabs>
        <w:rPr>
          <w:rFonts w:ascii="宋体" w:hAnsi="宋体" w:eastAsia="宋体" w:cs="宋体"/>
          <w:i w:val="0"/>
          <w:spacing w:val="0"/>
          <w:sz w:val="21"/>
          <w:szCs w:val="22"/>
        </w:rPr>
      </w:pPr>
    </w:p>
    <w:p w14:paraId="1BC35580">
      <w:pPr>
        <w:pStyle w:val="6"/>
        <w:tabs>
          <w:tab w:val="right" w:leader="dot" w:pos="8300"/>
        </w:tabs>
        <w:rPr>
          <w:rFonts w:hint="default" w:ascii="宋体" w:hAnsi="宋体" w:eastAsia="宋体" w:cs="宋体"/>
          <w:i w:val="0"/>
          <w:spacing w:val="0"/>
          <w:sz w:val="21"/>
          <w:szCs w:val="22"/>
          <w:lang w:val="en-US" w:eastAsia="zh-CN"/>
        </w:rPr>
      </w:pPr>
    </w:p>
    <w:p w14:paraId="53872AAD">
      <w:pPr>
        <w:pStyle w:val="3"/>
        <w:bidi w:val="0"/>
        <w:rPr>
          <w:rFonts w:hint="default"/>
          <w:lang w:val="en-US" w:eastAsia="zh-CN"/>
        </w:rPr>
      </w:pPr>
      <w:bookmarkStart w:id="3" w:name="_Toc2023436578"/>
      <w:r>
        <w:rPr>
          <w:rFonts w:hint="eastAsia"/>
          <w:lang w:val="en-US" w:eastAsia="zh-CN"/>
        </w:rPr>
        <w:t>目录</w:t>
      </w:r>
      <w:bookmarkEnd w:id="3"/>
    </w:p>
    <w:p w14:paraId="7CBF53D9">
      <w:pPr>
        <w:pStyle w:val="6"/>
        <w:tabs>
          <w:tab w:val="right" w:leader="dot" w:pos="8300"/>
        </w:tabs>
      </w:pPr>
      <w:r>
        <w:rPr>
          <w:rFonts w:ascii="宋体" w:hAnsi="宋体" w:eastAsia="宋体" w:cs="宋体"/>
          <w:i w:val="0"/>
          <w:spacing w:val="0"/>
          <w:sz w:val="21"/>
          <w:szCs w:val="22"/>
        </w:rPr>
        <w:fldChar w:fldCharType="begin"/>
      </w:r>
      <w:r>
        <w:rPr>
          <w:rFonts w:ascii="宋体" w:hAnsi="宋体" w:eastAsia="宋体" w:cs="宋体"/>
          <w:i w:val="0"/>
          <w:spacing w:val="0"/>
          <w:sz w:val="21"/>
          <w:szCs w:val="22"/>
        </w:rPr>
        <w:instrText xml:space="preserve">TOC \o "1-5" \h \u </w:instrText>
      </w:r>
      <w:r>
        <w:rPr>
          <w:rFonts w:ascii="宋体" w:hAnsi="宋体" w:eastAsia="宋体" w:cs="宋体"/>
          <w:i w:val="0"/>
          <w:spacing w:val="0"/>
          <w:sz w:val="21"/>
          <w:szCs w:val="22"/>
        </w:rPr>
        <w:fldChar w:fldCharType="separate"/>
      </w: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_Toc843295533 </w:instrText>
      </w:r>
      <w:r>
        <w:rPr>
          <w:rFonts w:ascii="宋体" w:hAnsi="宋体" w:eastAsia="宋体" w:cs="宋体"/>
          <w:i w:val="0"/>
          <w:spacing w:val="0"/>
          <w:szCs w:val="22"/>
        </w:rPr>
        <w:fldChar w:fldCharType="separate"/>
      </w:r>
      <w:r>
        <w:t>疱疹溶瘤病毒治疗头颈部鳞癌的II期临床试验方案</w:t>
      </w:r>
      <w:r>
        <w:tab/>
      </w:r>
      <w:r>
        <w:fldChar w:fldCharType="begin"/>
      </w:r>
      <w:r>
        <w:instrText xml:space="preserve"> PAGEREF _Toc843295533 \h </w:instrText>
      </w:r>
      <w:r>
        <w:fldChar w:fldCharType="separate"/>
      </w:r>
      <w:r>
        <w:t>1</w:t>
      </w:r>
      <w:r>
        <w:fldChar w:fldCharType="end"/>
      </w:r>
      <w:r>
        <w:rPr>
          <w:rFonts w:ascii="宋体" w:hAnsi="宋体" w:eastAsia="宋体" w:cs="宋体"/>
          <w:i w:val="0"/>
          <w:spacing w:val="0"/>
          <w:szCs w:val="22"/>
        </w:rPr>
        <w:fldChar w:fldCharType="end"/>
      </w:r>
    </w:p>
    <w:p w14:paraId="30C1BE89">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_Toc2023436578 </w:instrText>
      </w:r>
      <w:r>
        <w:rPr>
          <w:rFonts w:ascii="宋体" w:hAnsi="宋体" w:eastAsia="宋体" w:cs="宋体"/>
          <w:i w:val="0"/>
          <w:spacing w:val="0"/>
          <w:szCs w:val="22"/>
        </w:rPr>
        <w:fldChar w:fldCharType="separate"/>
      </w:r>
      <w:r>
        <w:rPr>
          <w:rFonts w:hint="eastAsia"/>
          <w:lang w:val="en-US" w:eastAsia="zh-CN"/>
        </w:rPr>
        <w:t>目录</w:t>
      </w:r>
      <w:r>
        <w:tab/>
      </w:r>
      <w:r>
        <w:fldChar w:fldCharType="begin"/>
      </w:r>
      <w:r>
        <w:instrText xml:space="preserve"> PAGEREF _Toc2023436578 \h </w:instrText>
      </w:r>
      <w:r>
        <w:fldChar w:fldCharType="separate"/>
      </w:r>
      <w:r>
        <w:t>2</w:t>
      </w:r>
      <w:r>
        <w:fldChar w:fldCharType="end"/>
      </w:r>
      <w:r>
        <w:rPr>
          <w:rFonts w:ascii="宋体" w:hAnsi="宋体" w:eastAsia="宋体" w:cs="宋体"/>
          <w:i w:val="0"/>
          <w:spacing w:val="0"/>
          <w:szCs w:val="22"/>
        </w:rPr>
        <w:fldChar w:fldCharType="end"/>
      </w:r>
    </w:p>
    <w:p w14:paraId="3F1C5128">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_Toc347532554 </w:instrText>
      </w:r>
      <w:r>
        <w:rPr>
          <w:rFonts w:ascii="宋体" w:hAnsi="宋体" w:eastAsia="宋体" w:cs="宋体"/>
          <w:i w:val="0"/>
          <w:spacing w:val="0"/>
          <w:szCs w:val="22"/>
        </w:rPr>
        <w:fldChar w:fldCharType="separate"/>
      </w:r>
      <w:r>
        <w:t>标题</w:t>
      </w:r>
      <w:r>
        <w:tab/>
      </w:r>
      <w:r>
        <w:fldChar w:fldCharType="begin"/>
      </w:r>
      <w:r>
        <w:instrText xml:space="preserve"> PAGEREF _Toc347532554 \h </w:instrText>
      </w:r>
      <w:r>
        <w:fldChar w:fldCharType="separate"/>
      </w:r>
      <w:r>
        <w:t>4</w:t>
      </w:r>
      <w:r>
        <w:fldChar w:fldCharType="end"/>
      </w:r>
      <w:r>
        <w:rPr>
          <w:rFonts w:ascii="宋体" w:hAnsi="宋体" w:eastAsia="宋体" w:cs="宋体"/>
          <w:i w:val="0"/>
          <w:spacing w:val="0"/>
          <w:szCs w:val="22"/>
        </w:rPr>
        <w:fldChar w:fldCharType="end"/>
      </w:r>
    </w:p>
    <w:p w14:paraId="48C99752">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_Toc1971598885 </w:instrText>
      </w:r>
      <w:r>
        <w:rPr>
          <w:rFonts w:ascii="宋体" w:hAnsi="宋体" w:eastAsia="宋体" w:cs="宋体"/>
          <w:i w:val="0"/>
          <w:spacing w:val="0"/>
          <w:szCs w:val="22"/>
        </w:rPr>
        <w:fldChar w:fldCharType="separate"/>
      </w:r>
      <w:r>
        <w:t>摘要</w:t>
      </w:r>
      <w:r>
        <w:tab/>
      </w:r>
      <w:r>
        <w:fldChar w:fldCharType="begin"/>
      </w:r>
      <w:r>
        <w:instrText xml:space="preserve"> PAGEREF _Toc1971598885 \h </w:instrText>
      </w:r>
      <w:r>
        <w:fldChar w:fldCharType="separate"/>
      </w:r>
      <w:r>
        <w:t>4</w:t>
      </w:r>
      <w:r>
        <w:fldChar w:fldCharType="end"/>
      </w:r>
      <w:r>
        <w:rPr>
          <w:rFonts w:ascii="宋体" w:hAnsi="宋体" w:eastAsia="宋体" w:cs="宋体"/>
          <w:i w:val="0"/>
          <w:spacing w:val="0"/>
          <w:szCs w:val="22"/>
        </w:rPr>
        <w:fldChar w:fldCharType="end"/>
      </w:r>
    </w:p>
    <w:p w14:paraId="322C520B">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_Toc989786985 </w:instrText>
      </w:r>
      <w:r>
        <w:rPr>
          <w:rFonts w:ascii="宋体" w:hAnsi="宋体" w:eastAsia="宋体" w:cs="宋体"/>
          <w:i w:val="0"/>
          <w:spacing w:val="0"/>
          <w:szCs w:val="22"/>
        </w:rPr>
        <w:fldChar w:fldCharType="separate"/>
      </w:r>
      <w:r>
        <w:t>一、研究背景</w:t>
      </w:r>
      <w:r>
        <w:tab/>
      </w:r>
      <w:r>
        <w:fldChar w:fldCharType="begin"/>
      </w:r>
      <w:r>
        <w:instrText xml:space="preserve"> PAGEREF _Toc989786985 \h </w:instrText>
      </w:r>
      <w:r>
        <w:fldChar w:fldCharType="separate"/>
      </w:r>
      <w:r>
        <w:t>4</w:t>
      </w:r>
      <w:r>
        <w:fldChar w:fldCharType="end"/>
      </w:r>
      <w:r>
        <w:rPr>
          <w:rFonts w:ascii="宋体" w:hAnsi="宋体" w:eastAsia="宋体" w:cs="宋体"/>
          <w:i w:val="0"/>
          <w:spacing w:val="0"/>
          <w:szCs w:val="22"/>
        </w:rPr>
        <w:fldChar w:fldCharType="end"/>
      </w:r>
    </w:p>
    <w:p w14:paraId="2E1F461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_Toc941527233 </w:instrText>
      </w:r>
      <w:r>
        <w:rPr>
          <w:rFonts w:ascii="宋体" w:hAnsi="宋体" w:eastAsia="宋体" w:cs="宋体"/>
          <w:i w:val="0"/>
          <w:spacing w:val="0"/>
          <w:szCs w:val="22"/>
        </w:rPr>
        <w:fldChar w:fldCharType="separate"/>
      </w:r>
      <w:r>
        <w:t>1.1 疾病背景</w:t>
      </w:r>
      <w:r>
        <w:tab/>
      </w:r>
      <w:r>
        <w:fldChar w:fldCharType="begin"/>
      </w:r>
      <w:r>
        <w:instrText xml:space="preserve"> PAGEREF _Toc941527233 \h </w:instrText>
      </w:r>
      <w:r>
        <w:fldChar w:fldCharType="separate"/>
      </w:r>
      <w:r>
        <w:t>4</w:t>
      </w:r>
      <w:r>
        <w:fldChar w:fldCharType="end"/>
      </w:r>
      <w:r>
        <w:rPr>
          <w:rFonts w:ascii="宋体" w:hAnsi="宋体" w:eastAsia="宋体" w:cs="宋体"/>
          <w:i w:val="0"/>
          <w:spacing w:val="0"/>
          <w:szCs w:val="22"/>
        </w:rPr>
        <w:fldChar w:fldCharType="end"/>
      </w:r>
    </w:p>
    <w:p w14:paraId="01E4B603">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_Toc1588693935 </w:instrText>
      </w:r>
      <w:r>
        <w:rPr>
          <w:rFonts w:ascii="宋体" w:hAnsi="宋体" w:eastAsia="宋体" w:cs="宋体"/>
          <w:i w:val="0"/>
          <w:spacing w:val="0"/>
          <w:szCs w:val="22"/>
        </w:rPr>
        <w:fldChar w:fldCharType="separate"/>
      </w:r>
      <w:r>
        <w:t>1.2 试验药物背景</w:t>
      </w:r>
      <w:r>
        <w:tab/>
      </w:r>
      <w:r>
        <w:fldChar w:fldCharType="begin"/>
      </w:r>
      <w:r>
        <w:instrText xml:space="preserve"> PAGEREF _Toc1588693935 \h </w:instrText>
      </w:r>
      <w:r>
        <w:fldChar w:fldCharType="separate"/>
      </w:r>
      <w:r>
        <w:t>4</w:t>
      </w:r>
      <w:r>
        <w:fldChar w:fldCharType="end"/>
      </w:r>
      <w:r>
        <w:rPr>
          <w:rFonts w:ascii="宋体" w:hAnsi="宋体" w:eastAsia="宋体" w:cs="宋体"/>
          <w:i w:val="0"/>
          <w:spacing w:val="0"/>
          <w:szCs w:val="22"/>
        </w:rPr>
        <w:fldChar w:fldCharType="end"/>
      </w:r>
    </w:p>
    <w:p w14:paraId="02F1634C">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_Toc1514782394 </w:instrText>
      </w:r>
      <w:r>
        <w:rPr>
          <w:rFonts w:ascii="宋体" w:hAnsi="宋体" w:eastAsia="宋体" w:cs="宋体"/>
          <w:i w:val="0"/>
          <w:spacing w:val="0"/>
          <w:szCs w:val="22"/>
        </w:rPr>
        <w:fldChar w:fldCharType="separate"/>
      </w:r>
      <w:r>
        <w:t>1.3 试验依据</w:t>
      </w:r>
      <w:r>
        <w:tab/>
      </w:r>
      <w:r>
        <w:fldChar w:fldCharType="begin"/>
      </w:r>
      <w:r>
        <w:instrText xml:space="preserve"> PAGEREF _Toc1514782394 \h </w:instrText>
      </w:r>
      <w:r>
        <w:fldChar w:fldCharType="separate"/>
      </w:r>
      <w:r>
        <w:t>5</w:t>
      </w:r>
      <w:r>
        <w:fldChar w:fldCharType="end"/>
      </w:r>
      <w:r>
        <w:rPr>
          <w:rFonts w:ascii="宋体" w:hAnsi="宋体" w:eastAsia="宋体" w:cs="宋体"/>
          <w:i w:val="0"/>
          <w:spacing w:val="0"/>
          <w:szCs w:val="22"/>
        </w:rPr>
        <w:fldChar w:fldCharType="end"/>
      </w:r>
    </w:p>
    <w:p w14:paraId="3CB3248F">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_Toc529060773 </w:instrText>
      </w:r>
      <w:r>
        <w:rPr>
          <w:rFonts w:ascii="宋体" w:hAnsi="宋体" w:eastAsia="宋体" w:cs="宋体"/>
          <w:i w:val="0"/>
          <w:spacing w:val="0"/>
          <w:szCs w:val="22"/>
        </w:rPr>
        <w:fldChar w:fldCharType="separate"/>
      </w:r>
      <w:r>
        <w:t>二、研究目的</w:t>
      </w:r>
      <w:r>
        <w:tab/>
      </w:r>
      <w:r>
        <w:fldChar w:fldCharType="begin"/>
      </w:r>
      <w:r>
        <w:instrText xml:space="preserve"> PAGEREF _Toc529060773 \h </w:instrText>
      </w:r>
      <w:r>
        <w:fldChar w:fldCharType="separate"/>
      </w:r>
      <w:r>
        <w:t>5</w:t>
      </w:r>
      <w:r>
        <w:fldChar w:fldCharType="end"/>
      </w:r>
      <w:r>
        <w:rPr>
          <w:rFonts w:ascii="宋体" w:hAnsi="宋体" w:eastAsia="宋体" w:cs="宋体"/>
          <w:i w:val="0"/>
          <w:spacing w:val="0"/>
          <w:szCs w:val="22"/>
        </w:rPr>
        <w:fldChar w:fldCharType="end"/>
      </w:r>
    </w:p>
    <w:p w14:paraId="3FA0595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_Toc1342113231 </w:instrText>
      </w:r>
      <w:r>
        <w:rPr>
          <w:rFonts w:ascii="宋体" w:hAnsi="宋体" w:eastAsia="宋体" w:cs="宋体"/>
          <w:i w:val="0"/>
          <w:spacing w:val="0"/>
          <w:szCs w:val="22"/>
        </w:rPr>
        <w:fldChar w:fldCharType="separate"/>
      </w:r>
      <w:r>
        <w:t>2.1 主要目的</w:t>
      </w:r>
      <w:r>
        <w:tab/>
      </w:r>
      <w:r>
        <w:fldChar w:fldCharType="begin"/>
      </w:r>
      <w:r>
        <w:instrText xml:space="preserve"> PAGEREF _Toc1342113231 \h </w:instrText>
      </w:r>
      <w:r>
        <w:fldChar w:fldCharType="separate"/>
      </w:r>
      <w:r>
        <w:t>5</w:t>
      </w:r>
      <w:r>
        <w:fldChar w:fldCharType="end"/>
      </w:r>
      <w:r>
        <w:rPr>
          <w:rFonts w:ascii="宋体" w:hAnsi="宋体" w:eastAsia="宋体" w:cs="宋体"/>
          <w:i w:val="0"/>
          <w:spacing w:val="0"/>
          <w:szCs w:val="22"/>
        </w:rPr>
        <w:fldChar w:fldCharType="end"/>
      </w:r>
    </w:p>
    <w:p w14:paraId="0B6510A2">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_Toc1876328976 </w:instrText>
      </w:r>
      <w:r>
        <w:rPr>
          <w:rFonts w:ascii="宋体" w:hAnsi="宋体" w:eastAsia="宋体" w:cs="宋体"/>
          <w:i w:val="0"/>
          <w:spacing w:val="0"/>
          <w:szCs w:val="22"/>
        </w:rPr>
        <w:fldChar w:fldCharType="separate"/>
      </w:r>
      <w:r>
        <w:t>2.2 次要目的</w:t>
      </w:r>
      <w:r>
        <w:tab/>
      </w:r>
      <w:r>
        <w:fldChar w:fldCharType="begin"/>
      </w:r>
      <w:r>
        <w:instrText xml:space="preserve"> PAGEREF _Toc1876328976 \h </w:instrText>
      </w:r>
      <w:r>
        <w:fldChar w:fldCharType="separate"/>
      </w:r>
      <w:r>
        <w:t>6</w:t>
      </w:r>
      <w:r>
        <w:fldChar w:fldCharType="end"/>
      </w:r>
      <w:r>
        <w:rPr>
          <w:rFonts w:ascii="宋体" w:hAnsi="宋体" w:eastAsia="宋体" w:cs="宋体"/>
          <w:i w:val="0"/>
          <w:spacing w:val="0"/>
          <w:szCs w:val="22"/>
        </w:rPr>
        <w:fldChar w:fldCharType="end"/>
      </w:r>
    </w:p>
    <w:p w14:paraId="7BE9BE95">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_Toc1811227084 </w:instrText>
      </w:r>
      <w:r>
        <w:rPr>
          <w:rFonts w:ascii="宋体" w:hAnsi="宋体" w:eastAsia="宋体" w:cs="宋体"/>
          <w:i w:val="0"/>
          <w:spacing w:val="0"/>
          <w:szCs w:val="22"/>
        </w:rPr>
        <w:fldChar w:fldCharType="separate"/>
      </w:r>
      <w:r>
        <w:t>三、研究设计</w:t>
      </w:r>
      <w:r>
        <w:tab/>
      </w:r>
      <w:r>
        <w:fldChar w:fldCharType="begin"/>
      </w:r>
      <w:r>
        <w:instrText xml:space="preserve"> PAGEREF _Toc1811227084 \h </w:instrText>
      </w:r>
      <w:r>
        <w:fldChar w:fldCharType="separate"/>
      </w:r>
      <w:r>
        <w:t>6</w:t>
      </w:r>
      <w:r>
        <w:fldChar w:fldCharType="end"/>
      </w:r>
      <w:r>
        <w:rPr>
          <w:rFonts w:ascii="宋体" w:hAnsi="宋体" w:eastAsia="宋体" w:cs="宋体"/>
          <w:i w:val="0"/>
          <w:spacing w:val="0"/>
          <w:szCs w:val="22"/>
        </w:rPr>
        <w:fldChar w:fldCharType="end"/>
      </w:r>
    </w:p>
    <w:p w14:paraId="16DAD3D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_Toc712904563 </w:instrText>
      </w:r>
      <w:r>
        <w:rPr>
          <w:rFonts w:ascii="宋体" w:hAnsi="宋体" w:eastAsia="宋体" w:cs="宋体"/>
          <w:i w:val="0"/>
          <w:spacing w:val="0"/>
          <w:szCs w:val="22"/>
        </w:rPr>
        <w:fldChar w:fldCharType="separate"/>
      </w:r>
      <w:r>
        <w:t>3.1 设计类型</w:t>
      </w:r>
      <w:r>
        <w:tab/>
      </w:r>
      <w:r>
        <w:fldChar w:fldCharType="begin"/>
      </w:r>
      <w:r>
        <w:instrText xml:space="preserve"> PAGEREF _Toc712904563 \h </w:instrText>
      </w:r>
      <w:r>
        <w:fldChar w:fldCharType="separate"/>
      </w:r>
      <w:r>
        <w:t>6</w:t>
      </w:r>
      <w:r>
        <w:fldChar w:fldCharType="end"/>
      </w:r>
      <w:r>
        <w:rPr>
          <w:rFonts w:ascii="宋体" w:hAnsi="宋体" w:eastAsia="宋体" w:cs="宋体"/>
          <w:i w:val="0"/>
          <w:spacing w:val="0"/>
          <w:szCs w:val="22"/>
        </w:rPr>
        <w:fldChar w:fldCharType="end"/>
      </w:r>
    </w:p>
    <w:p w14:paraId="185ECAEC">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_Toc975723728 </w:instrText>
      </w:r>
      <w:r>
        <w:rPr>
          <w:rFonts w:ascii="宋体" w:hAnsi="宋体" w:eastAsia="宋体" w:cs="宋体"/>
          <w:i w:val="0"/>
          <w:spacing w:val="0"/>
          <w:szCs w:val="22"/>
        </w:rPr>
        <w:fldChar w:fldCharType="separate"/>
      </w:r>
      <w:r>
        <w:t>3.2 随机化与分层</w:t>
      </w:r>
      <w:r>
        <w:tab/>
      </w:r>
      <w:r>
        <w:fldChar w:fldCharType="begin"/>
      </w:r>
      <w:r>
        <w:instrText xml:space="preserve"> PAGEREF _Toc975723728 \h </w:instrText>
      </w:r>
      <w:r>
        <w:fldChar w:fldCharType="separate"/>
      </w:r>
      <w:r>
        <w:t>6</w:t>
      </w:r>
      <w:r>
        <w:fldChar w:fldCharType="end"/>
      </w:r>
      <w:r>
        <w:rPr>
          <w:rFonts w:ascii="宋体" w:hAnsi="宋体" w:eastAsia="宋体" w:cs="宋体"/>
          <w:i w:val="0"/>
          <w:spacing w:val="0"/>
          <w:szCs w:val="22"/>
        </w:rPr>
        <w:fldChar w:fldCharType="end"/>
      </w:r>
    </w:p>
    <w:p w14:paraId="10B5B528">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_Toc803568004 </w:instrText>
      </w:r>
      <w:r>
        <w:rPr>
          <w:rFonts w:ascii="宋体" w:hAnsi="宋体" w:eastAsia="宋体" w:cs="宋体"/>
          <w:i w:val="0"/>
          <w:spacing w:val="0"/>
          <w:szCs w:val="22"/>
        </w:rPr>
        <w:fldChar w:fldCharType="separate"/>
      </w:r>
      <w:r>
        <w:t>3.3 对照组设计</w:t>
      </w:r>
      <w:r>
        <w:tab/>
      </w:r>
      <w:r>
        <w:fldChar w:fldCharType="begin"/>
      </w:r>
      <w:r>
        <w:instrText xml:space="preserve"> PAGEREF _Toc803568004 \h </w:instrText>
      </w:r>
      <w:r>
        <w:fldChar w:fldCharType="separate"/>
      </w:r>
      <w:r>
        <w:t>7</w:t>
      </w:r>
      <w:r>
        <w:fldChar w:fldCharType="end"/>
      </w:r>
      <w:r>
        <w:rPr>
          <w:rFonts w:ascii="宋体" w:hAnsi="宋体" w:eastAsia="宋体" w:cs="宋体"/>
          <w:i w:val="0"/>
          <w:spacing w:val="0"/>
          <w:szCs w:val="22"/>
        </w:rPr>
        <w:fldChar w:fldCharType="end"/>
      </w:r>
    </w:p>
    <w:p w14:paraId="1FDC9460">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_Toc42787245 </w:instrText>
      </w:r>
      <w:r>
        <w:rPr>
          <w:rFonts w:ascii="宋体" w:hAnsi="宋体" w:eastAsia="宋体" w:cs="宋体"/>
          <w:i w:val="0"/>
          <w:spacing w:val="0"/>
          <w:szCs w:val="22"/>
        </w:rPr>
        <w:fldChar w:fldCharType="separate"/>
      </w:r>
      <w:r>
        <w:t>3.4 治疗周期</w:t>
      </w:r>
      <w:r>
        <w:tab/>
      </w:r>
      <w:r>
        <w:fldChar w:fldCharType="begin"/>
      </w:r>
      <w:r>
        <w:instrText xml:space="preserve"> PAGEREF _Toc42787245 \h </w:instrText>
      </w:r>
      <w:r>
        <w:fldChar w:fldCharType="separate"/>
      </w:r>
      <w:r>
        <w:t>7</w:t>
      </w:r>
      <w:r>
        <w:fldChar w:fldCharType="end"/>
      </w:r>
      <w:r>
        <w:rPr>
          <w:rFonts w:ascii="宋体" w:hAnsi="宋体" w:eastAsia="宋体" w:cs="宋体"/>
          <w:i w:val="0"/>
          <w:spacing w:val="0"/>
          <w:szCs w:val="22"/>
        </w:rPr>
        <w:fldChar w:fldCharType="end"/>
      </w:r>
    </w:p>
    <w:p w14:paraId="01104765">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_Toc1865688617 </w:instrText>
      </w:r>
      <w:r>
        <w:rPr>
          <w:rFonts w:ascii="宋体" w:hAnsi="宋体" w:eastAsia="宋体" w:cs="宋体"/>
          <w:i w:val="0"/>
          <w:spacing w:val="0"/>
          <w:szCs w:val="22"/>
        </w:rPr>
        <w:fldChar w:fldCharType="separate"/>
      </w:r>
      <w:r>
        <w:t>四、受试者选择</w:t>
      </w:r>
      <w:r>
        <w:tab/>
      </w:r>
      <w:r>
        <w:fldChar w:fldCharType="begin"/>
      </w:r>
      <w:r>
        <w:instrText xml:space="preserve"> PAGEREF _Toc1865688617 \h </w:instrText>
      </w:r>
      <w:r>
        <w:fldChar w:fldCharType="separate"/>
      </w:r>
      <w:r>
        <w:t>7</w:t>
      </w:r>
      <w:r>
        <w:fldChar w:fldCharType="end"/>
      </w:r>
      <w:r>
        <w:rPr>
          <w:rFonts w:ascii="宋体" w:hAnsi="宋体" w:eastAsia="宋体" w:cs="宋体"/>
          <w:i w:val="0"/>
          <w:spacing w:val="0"/>
          <w:szCs w:val="22"/>
        </w:rPr>
        <w:fldChar w:fldCharType="end"/>
      </w:r>
    </w:p>
    <w:p w14:paraId="55DF1AC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_Toc1219856072 </w:instrText>
      </w:r>
      <w:r>
        <w:rPr>
          <w:rFonts w:ascii="宋体" w:hAnsi="宋体" w:eastAsia="宋体" w:cs="宋体"/>
          <w:i w:val="0"/>
          <w:spacing w:val="0"/>
          <w:szCs w:val="22"/>
        </w:rPr>
        <w:fldChar w:fldCharType="separate"/>
      </w:r>
      <w:r>
        <w:t>4.1 纳入标准</w:t>
      </w:r>
      <w:r>
        <w:tab/>
      </w:r>
      <w:r>
        <w:fldChar w:fldCharType="begin"/>
      </w:r>
      <w:r>
        <w:instrText xml:space="preserve"> PAGEREF _Toc1219856072 \h </w:instrText>
      </w:r>
      <w:r>
        <w:fldChar w:fldCharType="separate"/>
      </w:r>
      <w:r>
        <w:t>7</w:t>
      </w:r>
      <w:r>
        <w:fldChar w:fldCharType="end"/>
      </w:r>
      <w:r>
        <w:rPr>
          <w:rFonts w:ascii="宋体" w:hAnsi="宋体" w:eastAsia="宋体" w:cs="宋体"/>
          <w:i w:val="0"/>
          <w:spacing w:val="0"/>
          <w:szCs w:val="22"/>
        </w:rPr>
        <w:fldChar w:fldCharType="end"/>
      </w:r>
    </w:p>
    <w:p w14:paraId="26F03C49">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_Toc94624195 </w:instrText>
      </w:r>
      <w:r>
        <w:rPr>
          <w:rFonts w:ascii="宋体" w:hAnsi="宋体" w:eastAsia="宋体" w:cs="宋体"/>
          <w:i w:val="0"/>
          <w:spacing w:val="0"/>
          <w:szCs w:val="22"/>
        </w:rPr>
        <w:fldChar w:fldCharType="separate"/>
      </w:r>
      <w:r>
        <w:t>4.2 排除标准</w:t>
      </w:r>
      <w:r>
        <w:tab/>
      </w:r>
      <w:r>
        <w:fldChar w:fldCharType="begin"/>
      </w:r>
      <w:r>
        <w:instrText xml:space="preserve"> PAGEREF _Toc94624195 \h </w:instrText>
      </w:r>
      <w:r>
        <w:fldChar w:fldCharType="separate"/>
      </w:r>
      <w:r>
        <w:t>8</w:t>
      </w:r>
      <w:r>
        <w:fldChar w:fldCharType="end"/>
      </w:r>
      <w:r>
        <w:rPr>
          <w:rFonts w:ascii="宋体" w:hAnsi="宋体" w:eastAsia="宋体" w:cs="宋体"/>
          <w:i w:val="0"/>
          <w:spacing w:val="0"/>
          <w:szCs w:val="22"/>
        </w:rPr>
        <w:fldChar w:fldCharType="end"/>
      </w:r>
    </w:p>
    <w:p w14:paraId="52B9883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_Toc1210946585 </w:instrText>
      </w:r>
      <w:r>
        <w:rPr>
          <w:rFonts w:ascii="宋体" w:hAnsi="宋体" w:eastAsia="宋体" w:cs="宋体"/>
          <w:i w:val="0"/>
          <w:spacing w:val="0"/>
          <w:szCs w:val="22"/>
        </w:rPr>
        <w:fldChar w:fldCharType="separate"/>
      </w:r>
      <w:r>
        <w:t>4.3 受试者分层</w:t>
      </w:r>
      <w:r>
        <w:tab/>
      </w:r>
      <w:r>
        <w:fldChar w:fldCharType="begin"/>
      </w:r>
      <w:r>
        <w:instrText xml:space="preserve"> PAGEREF _Toc1210946585 \h </w:instrText>
      </w:r>
      <w:r>
        <w:fldChar w:fldCharType="separate"/>
      </w:r>
      <w:r>
        <w:t>9</w:t>
      </w:r>
      <w:r>
        <w:fldChar w:fldCharType="end"/>
      </w:r>
      <w:r>
        <w:rPr>
          <w:rFonts w:ascii="宋体" w:hAnsi="宋体" w:eastAsia="宋体" w:cs="宋体"/>
          <w:i w:val="0"/>
          <w:spacing w:val="0"/>
          <w:szCs w:val="22"/>
        </w:rPr>
        <w:fldChar w:fldCharType="end"/>
      </w:r>
    </w:p>
    <w:p w14:paraId="31115743">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_Toc676731476 </w:instrText>
      </w:r>
      <w:r>
        <w:rPr>
          <w:rFonts w:ascii="宋体" w:hAnsi="宋体" w:eastAsia="宋体" w:cs="宋体"/>
          <w:i w:val="0"/>
          <w:spacing w:val="0"/>
          <w:szCs w:val="22"/>
        </w:rPr>
        <w:fldChar w:fldCharType="separate"/>
      </w:r>
      <w:r>
        <w:t>五、干预措施</w:t>
      </w:r>
      <w:r>
        <w:tab/>
      </w:r>
      <w:r>
        <w:fldChar w:fldCharType="begin"/>
      </w:r>
      <w:r>
        <w:instrText xml:space="preserve"> PAGEREF _Toc676731476 \h </w:instrText>
      </w:r>
      <w:r>
        <w:fldChar w:fldCharType="separate"/>
      </w:r>
      <w:r>
        <w:t>9</w:t>
      </w:r>
      <w:r>
        <w:fldChar w:fldCharType="end"/>
      </w:r>
      <w:r>
        <w:rPr>
          <w:rFonts w:ascii="宋体" w:hAnsi="宋体" w:eastAsia="宋体" w:cs="宋体"/>
          <w:i w:val="0"/>
          <w:spacing w:val="0"/>
          <w:szCs w:val="22"/>
        </w:rPr>
        <w:fldChar w:fldCharType="end"/>
      </w:r>
    </w:p>
    <w:p w14:paraId="0065C13D">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_Toc752522620 </w:instrText>
      </w:r>
      <w:r>
        <w:rPr>
          <w:rFonts w:ascii="宋体" w:hAnsi="宋体" w:eastAsia="宋体" w:cs="宋体"/>
          <w:i w:val="0"/>
          <w:spacing w:val="0"/>
          <w:szCs w:val="22"/>
        </w:rPr>
        <w:fldChar w:fldCharType="separate"/>
      </w:r>
      <w:r>
        <w:t>5.1 试验组方案</w:t>
      </w:r>
      <w:r>
        <w:tab/>
      </w:r>
      <w:r>
        <w:fldChar w:fldCharType="begin"/>
      </w:r>
      <w:r>
        <w:instrText xml:space="preserve"> PAGEREF _Toc752522620 \h </w:instrText>
      </w:r>
      <w:r>
        <w:fldChar w:fldCharType="separate"/>
      </w:r>
      <w:r>
        <w:t>9</w:t>
      </w:r>
      <w:r>
        <w:fldChar w:fldCharType="end"/>
      </w:r>
      <w:r>
        <w:rPr>
          <w:rFonts w:ascii="宋体" w:hAnsi="宋体" w:eastAsia="宋体" w:cs="宋体"/>
          <w:i w:val="0"/>
          <w:spacing w:val="0"/>
          <w:szCs w:val="22"/>
        </w:rPr>
        <w:fldChar w:fldCharType="end"/>
      </w:r>
    </w:p>
    <w:p w14:paraId="4017F1E0">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_Toc1116477157 </w:instrText>
      </w:r>
      <w:r>
        <w:rPr>
          <w:rFonts w:ascii="宋体" w:hAnsi="宋体" w:eastAsia="宋体" w:cs="宋体"/>
          <w:i w:val="0"/>
          <w:spacing w:val="0"/>
          <w:szCs w:val="22"/>
        </w:rPr>
        <w:fldChar w:fldCharType="separate"/>
      </w:r>
      <w:r>
        <w:t>5.2 对照组方案</w:t>
      </w:r>
      <w:r>
        <w:tab/>
      </w:r>
      <w:r>
        <w:fldChar w:fldCharType="begin"/>
      </w:r>
      <w:r>
        <w:instrText xml:space="preserve"> PAGEREF _Toc1116477157 \h </w:instrText>
      </w:r>
      <w:r>
        <w:fldChar w:fldCharType="separate"/>
      </w:r>
      <w:r>
        <w:t>10</w:t>
      </w:r>
      <w:r>
        <w:fldChar w:fldCharType="end"/>
      </w:r>
      <w:r>
        <w:rPr>
          <w:rFonts w:ascii="宋体" w:hAnsi="宋体" w:eastAsia="宋体" w:cs="宋体"/>
          <w:i w:val="0"/>
          <w:spacing w:val="0"/>
          <w:szCs w:val="22"/>
        </w:rPr>
        <w:fldChar w:fldCharType="end"/>
      </w:r>
    </w:p>
    <w:p w14:paraId="49B98861">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_Toc2066953860 </w:instrText>
      </w:r>
      <w:r>
        <w:rPr>
          <w:rFonts w:ascii="宋体" w:hAnsi="宋体" w:eastAsia="宋体" w:cs="宋体"/>
          <w:i w:val="0"/>
          <w:spacing w:val="0"/>
          <w:szCs w:val="22"/>
        </w:rPr>
        <w:fldChar w:fldCharType="separate"/>
      </w:r>
      <w:r>
        <w:t>5.3 研究流程图</w:t>
      </w:r>
      <w:r>
        <w:tab/>
      </w:r>
      <w:r>
        <w:fldChar w:fldCharType="begin"/>
      </w:r>
      <w:r>
        <w:instrText xml:space="preserve"> PAGEREF _Toc2066953860 \h </w:instrText>
      </w:r>
      <w:r>
        <w:fldChar w:fldCharType="separate"/>
      </w:r>
      <w:r>
        <w:t>10</w:t>
      </w:r>
      <w:r>
        <w:fldChar w:fldCharType="end"/>
      </w:r>
      <w:r>
        <w:rPr>
          <w:rFonts w:ascii="宋体" w:hAnsi="宋体" w:eastAsia="宋体" w:cs="宋体"/>
          <w:i w:val="0"/>
          <w:spacing w:val="0"/>
          <w:szCs w:val="22"/>
        </w:rPr>
        <w:fldChar w:fldCharType="end"/>
      </w:r>
    </w:p>
    <w:p w14:paraId="72EAF2BD">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_Toc1598051148 </w:instrText>
      </w:r>
      <w:r>
        <w:rPr>
          <w:rFonts w:ascii="宋体" w:hAnsi="宋体" w:eastAsia="宋体" w:cs="宋体"/>
          <w:i w:val="0"/>
          <w:spacing w:val="0"/>
          <w:szCs w:val="22"/>
        </w:rPr>
        <w:fldChar w:fldCharType="separate"/>
      </w:r>
      <w:r>
        <w:t>六、研究终点</w:t>
      </w:r>
      <w:r>
        <w:tab/>
      </w:r>
      <w:r>
        <w:fldChar w:fldCharType="begin"/>
      </w:r>
      <w:r>
        <w:instrText xml:space="preserve"> PAGEREF _Toc1598051148 \h </w:instrText>
      </w:r>
      <w:r>
        <w:fldChar w:fldCharType="separate"/>
      </w:r>
      <w:r>
        <w:t>10</w:t>
      </w:r>
      <w:r>
        <w:fldChar w:fldCharType="end"/>
      </w:r>
      <w:r>
        <w:rPr>
          <w:rFonts w:ascii="宋体" w:hAnsi="宋体" w:eastAsia="宋体" w:cs="宋体"/>
          <w:i w:val="0"/>
          <w:spacing w:val="0"/>
          <w:szCs w:val="22"/>
        </w:rPr>
        <w:fldChar w:fldCharType="end"/>
      </w:r>
    </w:p>
    <w:p w14:paraId="32BA398E">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_Toc2015155054 </w:instrText>
      </w:r>
      <w:r>
        <w:rPr>
          <w:rFonts w:ascii="宋体" w:hAnsi="宋体" w:eastAsia="宋体" w:cs="宋体"/>
          <w:i w:val="0"/>
          <w:spacing w:val="0"/>
          <w:szCs w:val="22"/>
        </w:rPr>
        <w:fldChar w:fldCharType="separate"/>
      </w:r>
      <w:r>
        <w:t>6.1 主要终点</w:t>
      </w:r>
      <w:r>
        <w:tab/>
      </w:r>
      <w:r>
        <w:fldChar w:fldCharType="begin"/>
      </w:r>
      <w:r>
        <w:instrText xml:space="preserve"> PAGEREF _Toc2015155054 \h </w:instrText>
      </w:r>
      <w:r>
        <w:fldChar w:fldCharType="separate"/>
      </w:r>
      <w:r>
        <w:t>10</w:t>
      </w:r>
      <w:r>
        <w:fldChar w:fldCharType="end"/>
      </w:r>
      <w:r>
        <w:rPr>
          <w:rFonts w:ascii="宋体" w:hAnsi="宋体" w:eastAsia="宋体" w:cs="宋体"/>
          <w:i w:val="0"/>
          <w:spacing w:val="0"/>
          <w:szCs w:val="22"/>
        </w:rPr>
        <w:fldChar w:fldCharType="end"/>
      </w:r>
    </w:p>
    <w:p w14:paraId="6F8C48AB">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_Toc746395741 </w:instrText>
      </w:r>
      <w:r>
        <w:rPr>
          <w:rFonts w:ascii="宋体" w:hAnsi="宋体" w:eastAsia="宋体" w:cs="宋体"/>
          <w:i w:val="0"/>
          <w:spacing w:val="0"/>
          <w:szCs w:val="22"/>
        </w:rPr>
        <w:fldChar w:fldCharType="separate"/>
      </w:r>
      <w:r>
        <w:t>6.2 次要终点</w:t>
      </w:r>
      <w:r>
        <w:tab/>
      </w:r>
      <w:r>
        <w:fldChar w:fldCharType="begin"/>
      </w:r>
      <w:r>
        <w:instrText xml:space="preserve"> PAGEREF _Toc746395741 \h </w:instrText>
      </w:r>
      <w:r>
        <w:fldChar w:fldCharType="separate"/>
      </w:r>
      <w:r>
        <w:t>11</w:t>
      </w:r>
      <w:r>
        <w:fldChar w:fldCharType="end"/>
      </w:r>
      <w:r>
        <w:rPr>
          <w:rFonts w:ascii="宋体" w:hAnsi="宋体" w:eastAsia="宋体" w:cs="宋体"/>
          <w:i w:val="0"/>
          <w:spacing w:val="0"/>
          <w:szCs w:val="22"/>
        </w:rPr>
        <w:fldChar w:fldCharType="end"/>
      </w:r>
    </w:p>
    <w:p w14:paraId="41EF09AF">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_Toc1221236860 </w:instrText>
      </w:r>
      <w:r>
        <w:rPr>
          <w:rFonts w:ascii="宋体" w:hAnsi="宋体" w:eastAsia="宋体" w:cs="宋体"/>
          <w:i w:val="0"/>
          <w:spacing w:val="0"/>
          <w:szCs w:val="22"/>
        </w:rPr>
        <w:fldChar w:fldCharType="separate"/>
      </w:r>
      <w:r>
        <w:t>七、样本量计算</w:t>
      </w:r>
      <w:r>
        <w:tab/>
      </w:r>
      <w:r>
        <w:fldChar w:fldCharType="begin"/>
      </w:r>
      <w:r>
        <w:instrText xml:space="preserve"> PAGEREF _Toc1221236860 \h </w:instrText>
      </w:r>
      <w:r>
        <w:fldChar w:fldCharType="separate"/>
      </w:r>
      <w:r>
        <w:t>11</w:t>
      </w:r>
      <w:r>
        <w:fldChar w:fldCharType="end"/>
      </w:r>
      <w:r>
        <w:rPr>
          <w:rFonts w:ascii="宋体" w:hAnsi="宋体" w:eastAsia="宋体" w:cs="宋体"/>
          <w:i w:val="0"/>
          <w:spacing w:val="0"/>
          <w:szCs w:val="22"/>
        </w:rPr>
        <w:fldChar w:fldCharType="end"/>
      </w:r>
    </w:p>
    <w:p w14:paraId="1ADF8F4B">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_Toc1826691641 </w:instrText>
      </w:r>
      <w:r>
        <w:rPr>
          <w:rFonts w:ascii="宋体" w:hAnsi="宋体" w:eastAsia="宋体" w:cs="宋体"/>
          <w:i w:val="0"/>
          <w:spacing w:val="0"/>
          <w:szCs w:val="22"/>
        </w:rPr>
        <w:fldChar w:fldCharType="separate"/>
      </w:r>
      <w:r>
        <w:t>八、数据收集与管理</w:t>
      </w:r>
      <w:r>
        <w:tab/>
      </w:r>
      <w:r>
        <w:fldChar w:fldCharType="begin"/>
      </w:r>
      <w:r>
        <w:instrText xml:space="preserve"> PAGEREF _Toc1826691641 \h </w:instrText>
      </w:r>
      <w:r>
        <w:fldChar w:fldCharType="separate"/>
      </w:r>
      <w:r>
        <w:t>11</w:t>
      </w:r>
      <w:r>
        <w:fldChar w:fldCharType="end"/>
      </w:r>
      <w:r>
        <w:rPr>
          <w:rFonts w:ascii="宋体" w:hAnsi="宋体" w:eastAsia="宋体" w:cs="宋体"/>
          <w:i w:val="0"/>
          <w:spacing w:val="0"/>
          <w:szCs w:val="22"/>
        </w:rPr>
        <w:fldChar w:fldCharType="end"/>
      </w:r>
    </w:p>
    <w:p w14:paraId="340065C4">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_Toc780192775 </w:instrText>
      </w:r>
      <w:r>
        <w:rPr>
          <w:rFonts w:ascii="宋体" w:hAnsi="宋体" w:eastAsia="宋体" w:cs="宋体"/>
          <w:i w:val="0"/>
          <w:spacing w:val="0"/>
          <w:szCs w:val="22"/>
        </w:rPr>
        <w:fldChar w:fldCharType="separate"/>
      </w:r>
      <w:r>
        <w:t>8.1 数据收集流程</w:t>
      </w:r>
      <w:r>
        <w:tab/>
      </w:r>
      <w:r>
        <w:fldChar w:fldCharType="begin"/>
      </w:r>
      <w:r>
        <w:instrText xml:space="preserve"> PAGEREF _Toc780192775 \h </w:instrText>
      </w:r>
      <w:r>
        <w:fldChar w:fldCharType="separate"/>
      </w:r>
      <w:r>
        <w:t>11</w:t>
      </w:r>
      <w:r>
        <w:fldChar w:fldCharType="end"/>
      </w:r>
      <w:r>
        <w:rPr>
          <w:rFonts w:ascii="宋体" w:hAnsi="宋体" w:eastAsia="宋体" w:cs="宋体"/>
          <w:i w:val="0"/>
          <w:spacing w:val="0"/>
          <w:szCs w:val="22"/>
        </w:rPr>
        <w:fldChar w:fldCharType="end"/>
      </w:r>
    </w:p>
    <w:p w14:paraId="5957A0D2">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_Toc164820843 </w:instrText>
      </w:r>
      <w:r>
        <w:rPr>
          <w:rFonts w:ascii="宋体" w:hAnsi="宋体" w:eastAsia="宋体" w:cs="宋体"/>
          <w:i w:val="0"/>
          <w:spacing w:val="0"/>
          <w:szCs w:val="22"/>
        </w:rPr>
        <w:fldChar w:fldCharType="separate"/>
      </w:r>
      <w:r>
        <w:t>8.2 数据管理</w:t>
      </w:r>
      <w:r>
        <w:tab/>
      </w:r>
      <w:r>
        <w:fldChar w:fldCharType="begin"/>
      </w:r>
      <w:r>
        <w:instrText xml:space="preserve"> PAGEREF _Toc164820843 \h </w:instrText>
      </w:r>
      <w:r>
        <w:fldChar w:fldCharType="separate"/>
      </w:r>
      <w:r>
        <w:t>12</w:t>
      </w:r>
      <w:r>
        <w:fldChar w:fldCharType="end"/>
      </w:r>
      <w:r>
        <w:rPr>
          <w:rFonts w:ascii="宋体" w:hAnsi="宋体" w:eastAsia="宋体" w:cs="宋体"/>
          <w:i w:val="0"/>
          <w:spacing w:val="0"/>
          <w:szCs w:val="22"/>
        </w:rPr>
        <w:fldChar w:fldCharType="end"/>
      </w:r>
    </w:p>
    <w:p w14:paraId="43597B39">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_Toc2037487318 </w:instrText>
      </w:r>
      <w:r>
        <w:rPr>
          <w:rFonts w:ascii="宋体" w:hAnsi="宋体" w:eastAsia="宋体" w:cs="宋体"/>
          <w:i w:val="0"/>
          <w:spacing w:val="0"/>
          <w:szCs w:val="22"/>
        </w:rPr>
        <w:fldChar w:fldCharType="separate"/>
      </w:r>
      <w:r>
        <w:t>九、统计分析计划</w:t>
      </w:r>
      <w:r>
        <w:tab/>
      </w:r>
      <w:r>
        <w:fldChar w:fldCharType="begin"/>
      </w:r>
      <w:r>
        <w:instrText xml:space="preserve"> PAGEREF _Toc2037487318 \h </w:instrText>
      </w:r>
      <w:r>
        <w:fldChar w:fldCharType="separate"/>
      </w:r>
      <w:r>
        <w:t>13</w:t>
      </w:r>
      <w:r>
        <w:fldChar w:fldCharType="end"/>
      </w:r>
      <w:r>
        <w:rPr>
          <w:rFonts w:ascii="宋体" w:hAnsi="宋体" w:eastAsia="宋体" w:cs="宋体"/>
          <w:i w:val="0"/>
          <w:spacing w:val="0"/>
          <w:szCs w:val="22"/>
        </w:rPr>
        <w:fldChar w:fldCharType="end"/>
      </w:r>
    </w:p>
    <w:p w14:paraId="2C3A8B9A">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_Toc275118564 </w:instrText>
      </w:r>
      <w:r>
        <w:rPr>
          <w:rFonts w:ascii="宋体" w:hAnsi="宋体" w:eastAsia="宋体" w:cs="宋体"/>
          <w:i w:val="0"/>
          <w:spacing w:val="0"/>
          <w:szCs w:val="22"/>
        </w:rPr>
        <w:fldChar w:fldCharType="separate"/>
      </w:r>
      <w:r>
        <w:t>9.1 主要分析集</w:t>
      </w:r>
      <w:r>
        <w:tab/>
      </w:r>
      <w:r>
        <w:fldChar w:fldCharType="begin"/>
      </w:r>
      <w:r>
        <w:instrText xml:space="preserve"> PAGEREF _Toc275118564 \h </w:instrText>
      </w:r>
      <w:r>
        <w:fldChar w:fldCharType="separate"/>
      </w:r>
      <w:r>
        <w:t>13</w:t>
      </w:r>
      <w:r>
        <w:fldChar w:fldCharType="end"/>
      </w:r>
      <w:r>
        <w:rPr>
          <w:rFonts w:ascii="宋体" w:hAnsi="宋体" w:eastAsia="宋体" w:cs="宋体"/>
          <w:i w:val="0"/>
          <w:spacing w:val="0"/>
          <w:szCs w:val="22"/>
        </w:rPr>
        <w:fldChar w:fldCharType="end"/>
      </w:r>
    </w:p>
    <w:p w14:paraId="307C73C6">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_Toc385413157 </w:instrText>
      </w:r>
      <w:r>
        <w:rPr>
          <w:rFonts w:ascii="宋体" w:hAnsi="宋体" w:eastAsia="宋体" w:cs="宋体"/>
          <w:i w:val="0"/>
          <w:spacing w:val="0"/>
          <w:szCs w:val="22"/>
        </w:rPr>
        <w:fldChar w:fldCharType="separate"/>
      </w:r>
      <w:r>
        <w:t>9.2 主要终点分析</w:t>
      </w:r>
      <w:r>
        <w:tab/>
      </w:r>
      <w:r>
        <w:fldChar w:fldCharType="begin"/>
      </w:r>
      <w:r>
        <w:instrText xml:space="preserve"> PAGEREF _Toc385413157 \h </w:instrText>
      </w:r>
      <w:r>
        <w:fldChar w:fldCharType="separate"/>
      </w:r>
      <w:r>
        <w:t>13</w:t>
      </w:r>
      <w:r>
        <w:fldChar w:fldCharType="end"/>
      </w:r>
      <w:r>
        <w:rPr>
          <w:rFonts w:ascii="宋体" w:hAnsi="宋体" w:eastAsia="宋体" w:cs="宋体"/>
          <w:i w:val="0"/>
          <w:spacing w:val="0"/>
          <w:szCs w:val="22"/>
        </w:rPr>
        <w:fldChar w:fldCharType="end"/>
      </w:r>
    </w:p>
    <w:p w14:paraId="0FB46DB7">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_Toc828250347 </w:instrText>
      </w:r>
      <w:r>
        <w:rPr>
          <w:rFonts w:ascii="宋体" w:hAnsi="宋体" w:eastAsia="宋体" w:cs="宋体"/>
          <w:i w:val="0"/>
          <w:spacing w:val="0"/>
          <w:szCs w:val="22"/>
        </w:rPr>
        <w:fldChar w:fldCharType="separate"/>
      </w:r>
      <w:r>
        <w:t>9.3 次要终点分析</w:t>
      </w:r>
      <w:r>
        <w:tab/>
      </w:r>
      <w:r>
        <w:fldChar w:fldCharType="begin"/>
      </w:r>
      <w:r>
        <w:instrText xml:space="preserve"> PAGEREF _Toc828250347 \h </w:instrText>
      </w:r>
      <w:r>
        <w:fldChar w:fldCharType="separate"/>
      </w:r>
      <w:r>
        <w:t>13</w:t>
      </w:r>
      <w:r>
        <w:fldChar w:fldCharType="end"/>
      </w:r>
      <w:r>
        <w:rPr>
          <w:rFonts w:ascii="宋体" w:hAnsi="宋体" w:eastAsia="宋体" w:cs="宋体"/>
          <w:i w:val="0"/>
          <w:spacing w:val="0"/>
          <w:szCs w:val="22"/>
        </w:rPr>
        <w:fldChar w:fldCharType="end"/>
      </w:r>
    </w:p>
    <w:p w14:paraId="46E5F64A">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_Toc414582175 </w:instrText>
      </w:r>
      <w:r>
        <w:rPr>
          <w:rFonts w:ascii="宋体" w:hAnsi="宋体" w:eastAsia="宋体" w:cs="宋体"/>
          <w:i w:val="0"/>
          <w:spacing w:val="0"/>
          <w:szCs w:val="22"/>
        </w:rPr>
        <w:fldChar w:fldCharType="separate"/>
      </w:r>
      <w:r>
        <w:t>9.4 统计软件</w:t>
      </w:r>
      <w:r>
        <w:tab/>
      </w:r>
      <w:r>
        <w:fldChar w:fldCharType="begin"/>
      </w:r>
      <w:r>
        <w:instrText xml:space="preserve"> PAGEREF _Toc414582175 \h </w:instrText>
      </w:r>
      <w:r>
        <w:fldChar w:fldCharType="separate"/>
      </w:r>
      <w:r>
        <w:t>14</w:t>
      </w:r>
      <w:r>
        <w:fldChar w:fldCharType="end"/>
      </w:r>
      <w:r>
        <w:rPr>
          <w:rFonts w:ascii="宋体" w:hAnsi="宋体" w:eastAsia="宋体" w:cs="宋体"/>
          <w:i w:val="0"/>
          <w:spacing w:val="0"/>
          <w:szCs w:val="22"/>
        </w:rPr>
        <w:fldChar w:fldCharType="end"/>
      </w:r>
    </w:p>
    <w:p w14:paraId="24043A18">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_Toc1445664357 </w:instrText>
      </w:r>
      <w:r>
        <w:rPr>
          <w:rFonts w:ascii="宋体" w:hAnsi="宋体" w:eastAsia="宋体" w:cs="宋体"/>
          <w:i w:val="0"/>
          <w:spacing w:val="0"/>
          <w:szCs w:val="22"/>
        </w:rPr>
        <w:fldChar w:fldCharType="separate"/>
      </w:r>
      <w:r>
        <w:t>十、安全性监测机制</w:t>
      </w:r>
      <w:r>
        <w:tab/>
      </w:r>
      <w:r>
        <w:fldChar w:fldCharType="begin"/>
      </w:r>
      <w:r>
        <w:instrText xml:space="preserve"> PAGEREF _Toc1445664357 \h </w:instrText>
      </w:r>
      <w:r>
        <w:fldChar w:fldCharType="separate"/>
      </w:r>
      <w:r>
        <w:t>14</w:t>
      </w:r>
      <w:r>
        <w:fldChar w:fldCharType="end"/>
      </w:r>
      <w:r>
        <w:rPr>
          <w:rFonts w:ascii="宋体" w:hAnsi="宋体" w:eastAsia="宋体" w:cs="宋体"/>
          <w:i w:val="0"/>
          <w:spacing w:val="0"/>
          <w:szCs w:val="22"/>
        </w:rPr>
        <w:fldChar w:fldCharType="end"/>
      </w:r>
    </w:p>
    <w:p w14:paraId="3511E6B9">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_Toc650865941 </w:instrText>
      </w:r>
      <w:r>
        <w:rPr>
          <w:rFonts w:ascii="宋体" w:hAnsi="宋体" w:eastAsia="宋体" w:cs="宋体"/>
          <w:i w:val="0"/>
          <w:spacing w:val="0"/>
          <w:szCs w:val="22"/>
        </w:rPr>
        <w:fldChar w:fldCharType="separate"/>
      </w:r>
      <w:r>
        <w:t>10.1 安全性监测计划</w:t>
      </w:r>
      <w:r>
        <w:tab/>
      </w:r>
      <w:r>
        <w:fldChar w:fldCharType="begin"/>
      </w:r>
      <w:r>
        <w:instrText xml:space="preserve"> PAGEREF _Toc650865941 \h </w:instrText>
      </w:r>
      <w:r>
        <w:fldChar w:fldCharType="separate"/>
      </w:r>
      <w:r>
        <w:t>14</w:t>
      </w:r>
      <w:r>
        <w:fldChar w:fldCharType="end"/>
      </w:r>
      <w:r>
        <w:rPr>
          <w:rFonts w:ascii="宋体" w:hAnsi="宋体" w:eastAsia="宋体" w:cs="宋体"/>
          <w:i w:val="0"/>
          <w:spacing w:val="0"/>
          <w:szCs w:val="22"/>
        </w:rPr>
        <w:fldChar w:fldCharType="end"/>
      </w:r>
    </w:p>
    <w:p w14:paraId="57271690">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_Toc1969656216 </w:instrText>
      </w:r>
      <w:r>
        <w:rPr>
          <w:rFonts w:ascii="宋体" w:hAnsi="宋体" w:eastAsia="宋体" w:cs="宋体"/>
          <w:i w:val="0"/>
          <w:spacing w:val="0"/>
          <w:szCs w:val="22"/>
        </w:rPr>
        <w:fldChar w:fldCharType="separate"/>
      </w:r>
      <w:r>
        <w:t>10.2 独立数据监查委员会（IDMC）</w:t>
      </w:r>
      <w:r>
        <w:tab/>
      </w:r>
      <w:r>
        <w:fldChar w:fldCharType="begin"/>
      </w:r>
      <w:r>
        <w:instrText xml:space="preserve"> PAGEREF _Toc1969656216 \h </w:instrText>
      </w:r>
      <w:r>
        <w:fldChar w:fldCharType="separate"/>
      </w:r>
      <w:r>
        <w:t>14</w:t>
      </w:r>
      <w:r>
        <w:fldChar w:fldCharType="end"/>
      </w:r>
      <w:r>
        <w:rPr>
          <w:rFonts w:ascii="宋体" w:hAnsi="宋体" w:eastAsia="宋体" w:cs="宋体"/>
          <w:i w:val="0"/>
          <w:spacing w:val="0"/>
          <w:szCs w:val="22"/>
        </w:rPr>
        <w:fldChar w:fldCharType="end"/>
      </w:r>
    </w:p>
    <w:p w14:paraId="3348C3B4">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_Toc551603807 </w:instrText>
      </w:r>
      <w:r>
        <w:rPr>
          <w:rFonts w:ascii="宋体" w:hAnsi="宋体" w:eastAsia="宋体" w:cs="宋体"/>
          <w:i w:val="0"/>
          <w:spacing w:val="0"/>
          <w:szCs w:val="22"/>
        </w:rPr>
        <w:fldChar w:fldCharType="separate"/>
      </w:r>
      <w:r>
        <w:t>十一、研究团队职责分工</w:t>
      </w:r>
      <w:r>
        <w:tab/>
      </w:r>
      <w:r>
        <w:fldChar w:fldCharType="begin"/>
      </w:r>
      <w:r>
        <w:instrText xml:space="preserve"> PAGEREF _Toc551603807 \h </w:instrText>
      </w:r>
      <w:r>
        <w:fldChar w:fldCharType="separate"/>
      </w:r>
      <w:r>
        <w:t>15</w:t>
      </w:r>
      <w:r>
        <w:fldChar w:fldCharType="end"/>
      </w:r>
      <w:r>
        <w:rPr>
          <w:rFonts w:ascii="宋体" w:hAnsi="宋体" w:eastAsia="宋体" w:cs="宋体"/>
          <w:i w:val="0"/>
          <w:spacing w:val="0"/>
          <w:szCs w:val="22"/>
        </w:rPr>
        <w:fldChar w:fldCharType="end"/>
      </w:r>
    </w:p>
    <w:p w14:paraId="0B4D22D3">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_Toc118280150 </w:instrText>
      </w:r>
      <w:r>
        <w:rPr>
          <w:rFonts w:ascii="宋体" w:hAnsi="宋体" w:eastAsia="宋体" w:cs="宋体"/>
          <w:i w:val="0"/>
          <w:spacing w:val="0"/>
          <w:szCs w:val="22"/>
        </w:rPr>
        <w:fldChar w:fldCharType="separate"/>
      </w:r>
      <w:r>
        <w:t>11.1 主要研究者（PI）</w:t>
      </w:r>
      <w:r>
        <w:tab/>
      </w:r>
      <w:r>
        <w:fldChar w:fldCharType="begin"/>
      </w:r>
      <w:r>
        <w:instrText xml:space="preserve"> PAGEREF _Toc118280150 \h </w:instrText>
      </w:r>
      <w:r>
        <w:fldChar w:fldCharType="separate"/>
      </w:r>
      <w:r>
        <w:t>15</w:t>
      </w:r>
      <w:r>
        <w:fldChar w:fldCharType="end"/>
      </w:r>
      <w:r>
        <w:rPr>
          <w:rFonts w:ascii="宋体" w:hAnsi="宋体" w:eastAsia="宋体" w:cs="宋体"/>
          <w:i w:val="0"/>
          <w:spacing w:val="0"/>
          <w:szCs w:val="22"/>
        </w:rPr>
        <w:fldChar w:fldCharType="end"/>
      </w:r>
    </w:p>
    <w:p w14:paraId="0FD27958">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_Toc1512107575 </w:instrText>
      </w:r>
      <w:r>
        <w:rPr>
          <w:rFonts w:ascii="宋体" w:hAnsi="宋体" w:eastAsia="宋体" w:cs="宋体"/>
          <w:i w:val="0"/>
          <w:spacing w:val="0"/>
          <w:szCs w:val="22"/>
        </w:rPr>
        <w:fldChar w:fldCharType="separate"/>
      </w:r>
      <w:r>
        <w:t>11.2 临床研究协调员（CRC）</w:t>
      </w:r>
      <w:r>
        <w:tab/>
      </w:r>
      <w:r>
        <w:fldChar w:fldCharType="begin"/>
      </w:r>
      <w:r>
        <w:instrText xml:space="preserve"> PAGEREF _Toc1512107575 \h </w:instrText>
      </w:r>
      <w:r>
        <w:fldChar w:fldCharType="separate"/>
      </w:r>
      <w:r>
        <w:t>15</w:t>
      </w:r>
      <w:r>
        <w:fldChar w:fldCharType="end"/>
      </w:r>
      <w:r>
        <w:rPr>
          <w:rFonts w:ascii="宋体" w:hAnsi="宋体" w:eastAsia="宋体" w:cs="宋体"/>
          <w:i w:val="0"/>
          <w:spacing w:val="0"/>
          <w:szCs w:val="22"/>
        </w:rPr>
        <w:fldChar w:fldCharType="end"/>
      </w:r>
    </w:p>
    <w:p w14:paraId="093820EB">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_Toc670534427 </w:instrText>
      </w:r>
      <w:r>
        <w:rPr>
          <w:rFonts w:ascii="宋体" w:hAnsi="宋体" w:eastAsia="宋体" w:cs="宋体"/>
          <w:i w:val="0"/>
          <w:spacing w:val="0"/>
          <w:szCs w:val="22"/>
        </w:rPr>
        <w:fldChar w:fldCharType="separate"/>
      </w:r>
      <w:r>
        <w:t>11.3 临床监查员（CRA）</w:t>
      </w:r>
      <w:r>
        <w:tab/>
      </w:r>
      <w:r>
        <w:fldChar w:fldCharType="begin"/>
      </w:r>
      <w:r>
        <w:instrText xml:space="preserve"> PAGEREF _Toc670534427 \h </w:instrText>
      </w:r>
      <w:r>
        <w:fldChar w:fldCharType="separate"/>
      </w:r>
      <w:r>
        <w:t>15</w:t>
      </w:r>
      <w:r>
        <w:fldChar w:fldCharType="end"/>
      </w:r>
      <w:r>
        <w:rPr>
          <w:rFonts w:ascii="宋体" w:hAnsi="宋体" w:eastAsia="宋体" w:cs="宋体"/>
          <w:i w:val="0"/>
          <w:spacing w:val="0"/>
          <w:szCs w:val="22"/>
        </w:rPr>
        <w:fldChar w:fldCharType="end"/>
      </w:r>
    </w:p>
    <w:p w14:paraId="7B0AB744">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_Toc1825418780 </w:instrText>
      </w:r>
      <w:r>
        <w:rPr>
          <w:rFonts w:ascii="宋体" w:hAnsi="宋体" w:eastAsia="宋体" w:cs="宋体"/>
          <w:i w:val="0"/>
          <w:spacing w:val="0"/>
          <w:szCs w:val="22"/>
        </w:rPr>
        <w:fldChar w:fldCharType="separate"/>
      </w:r>
      <w:r>
        <w:t>11.4 统计师</w:t>
      </w:r>
      <w:r>
        <w:tab/>
      </w:r>
      <w:r>
        <w:fldChar w:fldCharType="begin"/>
      </w:r>
      <w:r>
        <w:instrText xml:space="preserve"> PAGEREF _Toc1825418780 \h </w:instrText>
      </w:r>
      <w:r>
        <w:fldChar w:fldCharType="separate"/>
      </w:r>
      <w:r>
        <w:t>16</w:t>
      </w:r>
      <w:r>
        <w:fldChar w:fldCharType="end"/>
      </w:r>
      <w:r>
        <w:rPr>
          <w:rFonts w:ascii="宋体" w:hAnsi="宋体" w:eastAsia="宋体" w:cs="宋体"/>
          <w:i w:val="0"/>
          <w:spacing w:val="0"/>
          <w:szCs w:val="22"/>
        </w:rPr>
        <w:fldChar w:fldCharType="end"/>
      </w:r>
    </w:p>
    <w:p w14:paraId="05CC70BA">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_Toc862054418 </w:instrText>
      </w:r>
      <w:r>
        <w:rPr>
          <w:rFonts w:ascii="宋体" w:hAnsi="宋体" w:eastAsia="宋体" w:cs="宋体"/>
          <w:i w:val="0"/>
          <w:spacing w:val="0"/>
          <w:szCs w:val="22"/>
        </w:rPr>
        <w:fldChar w:fldCharType="separate"/>
      </w:r>
      <w:r>
        <w:t>11.5 生物样本管理员</w:t>
      </w:r>
      <w:r>
        <w:tab/>
      </w:r>
      <w:r>
        <w:fldChar w:fldCharType="begin"/>
      </w:r>
      <w:r>
        <w:instrText xml:space="preserve"> PAGEREF _Toc862054418 \h </w:instrText>
      </w:r>
      <w:r>
        <w:fldChar w:fldCharType="separate"/>
      </w:r>
      <w:r>
        <w:t>16</w:t>
      </w:r>
      <w:r>
        <w:fldChar w:fldCharType="end"/>
      </w:r>
      <w:r>
        <w:rPr>
          <w:rFonts w:ascii="宋体" w:hAnsi="宋体" w:eastAsia="宋体" w:cs="宋体"/>
          <w:i w:val="0"/>
          <w:spacing w:val="0"/>
          <w:szCs w:val="22"/>
        </w:rPr>
        <w:fldChar w:fldCharType="end"/>
      </w:r>
    </w:p>
    <w:p w14:paraId="3FB2211D">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_Toc1623920664 </w:instrText>
      </w:r>
      <w:r>
        <w:rPr>
          <w:rFonts w:ascii="宋体" w:hAnsi="宋体" w:eastAsia="宋体" w:cs="宋体"/>
          <w:i w:val="0"/>
          <w:spacing w:val="0"/>
          <w:szCs w:val="22"/>
        </w:rPr>
        <w:fldChar w:fldCharType="separate"/>
      </w:r>
      <w:r>
        <w:t>十二、知情同意流程</w:t>
      </w:r>
      <w:r>
        <w:tab/>
      </w:r>
      <w:r>
        <w:fldChar w:fldCharType="begin"/>
      </w:r>
      <w:r>
        <w:instrText xml:space="preserve"> PAGEREF _Toc1623920664 \h </w:instrText>
      </w:r>
      <w:r>
        <w:fldChar w:fldCharType="separate"/>
      </w:r>
      <w:r>
        <w:t>16</w:t>
      </w:r>
      <w:r>
        <w:fldChar w:fldCharType="end"/>
      </w:r>
      <w:r>
        <w:rPr>
          <w:rFonts w:ascii="宋体" w:hAnsi="宋体" w:eastAsia="宋体" w:cs="宋体"/>
          <w:i w:val="0"/>
          <w:spacing w:val="0"/>
          <w:szCs w:val="22"/>
        </w:rPr>
        <w:fldChar w:fldCharType="end"/>
      </w:r>
    </w:p>
    <w:p w14:paraId="0C48E6BC">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_Toc864930125 </w:instrText>
      </w:r>
      <w:r>
        <w:rPr>
          <w:rFonts w:ascii="宋体" w:hAnsi="宋体" w:eastAsia="宋体" w:cs="宋体"/>
          <w:i w:val="0"/>
          <w:spacing w:val="0"/>
          <w:szCs w:val="22"/>
        </w:rPr>
        <w:fldChar w:fldCharType="separate"/>
      </w:r>
      <w:r>
        <w:t>12.1 知情同意书内容</w:t>
      </w:r>
      <w:r>
        <w:tab/>
      </w:r>
      <w:r>
        <w:fldChar w:fldCharType="begin"/>
      </w:r>
      <w:r>
        <w:instrText xml:space="preserve"> PAGEREF _Toc864930125 \h </w:instrText>
      </w:r>
      <w:r>
        <w:fldChar w:fldCharType="separate"/>
      </w:r>
      <w:r>
        <w:t>16</w:t>
      </w:r>
      <w:r>
        <w:fldChar w:fldCharType="end"/>
      </w:r>
      <w:r>
        <w:rPr>
          <w:rFonts w:ascii="宋体" w:hAnsi="宋体" w:eastAsia="宋体" w:cs="宋体"/>
          <w:i w:val="0"/>
          <w:spacing w:val="0"/>
          <w:szCs w:val="22"/>
        </w:rPr>
        <w:fldChar w:fldCharType="end"/>
      </w:r>
    </w:p>
    <w:p w14:paraId="0B107990">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_Toc563804332 </w:instrText>
      </w:r>
      <w:r>
        <w:rPr>
          <w:rFonts w:ascii="宋体" w:hAnsi="宋体" w:eastAsia="宋体" w:cs="宋体"/>
          <w:i w:val="0"/>
          <w:spacing w:val="0"/>
          <w:szCs w:val="22"/>
        </w:rPr>
        <w:fldChar w:fldCharType="separate"/>
      </w:r>
      <w:r>
        <w:t>12.2 知情同意流程</w:t>
      </w:r>
      <w:r>
        <w:tab/>
      </w:r>
      <w:r>
        <w:fldChar w:fldCharType="begin"/>
      </w:r>
      <w:r>
        <w:instrText xml:space="preserve"> PAGEREF _Toc563804332 \h </w:instrText>
      </w:r>
      <w:r>
        <w:fldChar w:fldCharType="separate"/>
      </w:r>
      <w:r>
        <w:t>17</w:t>
      </w:r>
      <w:r>
        <w:fldChar w:fldCharType="end"/>
      </w:r>
      <w:r>
        <w:rPr>
          <w:rFonts w:ascii="宋体" w:hAnsi="宋体" w:eastAsia="宋体" w:cs="宋体"/>
          <w:i w:val="0"/>
          <w:spacing w:val="0"/>
          <w:szCs w:val="22"/>
        </w:rPr>
        <w:fldChar w:fldCharType="end"/>
      </w:r>
    </w:p>
    <w:p w14:paraId="705DFEFC">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_Toc1161557360 </w:instrText>
      </w:r>
      <w:r>
        <w:rPr>
          <w:rFonts w:ascii="宋体" w:hAnsi="宋体" w:eastAsia="宋体" w:cs="宋体"/>
          <w:i w:val="0"/>
          <w:spacing w:val="0"/>
          <w:szCs w:val="22"/>
        </w:rPr>
        <w:fldChar w:fldCharType="separate"/>
      </w:r>
      <w:r>
        <w:t>十三、伦理审批要求</w:t>
      </w:r>
      <w:r>
        <w:tab/>
      </w:r>
      <w:r>
        <w:fldChar w:fldCharType="begin"/>
      </w:r>
      <w:r>
        <w:instrText xml:space="preserve"> PAGEREF _Toc1161557360 \h </w:instrText>
      </w:r>
      <w:r>
        <w:fldChar w:fldCharType="separate"/>
      </w:r>
      <w:r>
        <w:t>17</w:t>
      </w:r>
      <w:r>
        <w:fldChar w:fldCharType="end"/>
      </w:r>
      <w:r>
        <w:rPr>
          <w:rFonts w:ascii="宋体" w:hAnsi="宋体" w:eastAsia="宋体" w:cs="宋体"/>
          <w:i w:val="0"/>
          <w:spacing w:val="0"/>
          <w:szCs w:val="22"/>
        </w:rPr>
        <w:fldChar w:fldCharType="end"/>
      </w:r>
    </w:p>
    <w:p w14:paraId="01759FB7">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_Toc1668198290 </w:instrText>
      </w:r>
      <w:r>
        <w:rPr>
          <w:rFonts w:ascii="宋体" w:hAnsi="宋体" w:eastAsia="宋体" w:cs="宋体"/>
          <w:i w:val="0"/>
          <w:spacing w:val="0"/>
          <w:szCs w:val="22"/>
        </w:rPr>
        <w:fldChar w:fldCharType="separate"/>
      </w:r>
      <w:r>
        <w:t>13.1 伦理审批文件清单</w:t>
      </w:r>
      <w:r>
        <w:tab/>
      </w:r>
      <w:r>
        <w:fldChar w:fldCharType="begin"/>
      </w:r>
      <w:r>
        <w:instrText xml:space="preserve"> PAGEREF _Toc1668198290 \h </w:instrText>
      </w:r>
      <w:r>
        <w:fldChar w:fldCharType="separate"/>
      </w:r>
      <w:r>
        <w:t>17</w:t>
      </w:r>
      <w:r>
        <w:fldChar w:fldCharType="end"/>
      </w:r>
      <w:r>
        <w:rPr>
          <w:rFonts w:ascii="宋体" w:hAnsi="宋体" w:eastAsia="宋体" w:cs="宋体"/>
          <w:i w:val="0"/>
          <w:spacing w:val="0"/>
          <w:szCs w:val="22"/>
        </w:rPr>
        <w:fldChar w:fldCharType="end"/>
      </w:r>
    </w:p>
    <w:p w14:paraId="4517668E">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_Toc2009648445 </w:instrText>
      </w:r>
      <w:r>
        <w:rPr>
          <w:rFonts w:ascii="宋体" w:hAnsi="宋体" w:eastAsia="宋体" w:cs="宋体"/>
          <w:i w:val="0"/>
          <w:spacing w:val="0"/>
          <w:szCs w:val="22"/>
        </w:rPr>
        <w:fldChar w:fldCharType="separate"/>
      </w:r>
      <w:r>
        <w:t>13.2 多中心伦理审查</w:t>
      </w:r>
      <w:r>
        <w:tab/>
      </w:r>
      <w:r>
        <w:fldChar w:fldCharType="begin"/>
      </w:r>
      <w:r>
        <w:instrText xml:space="preserve"> PAGEREF _Toc2009648445 \h </w:instrText>
      </w:r>
      <w:r>
        <w:fldChar w:fldCharType="separate"/>
      </w:r>
      <w:r>
        <w:t>18</w:t>
      </w:r>
      <w:r>
        <w:fldChar w:fldCharType="end"/>
      </w:r>
      <w:r>
        <w:rPr>
          <w:rFonts w:ascii="宋体" w:hAnsi="宋体" w:eastAsia="宋体" w:cs="宋体"/>
          <w:i w:val="0"/>
          <w:spacing w:val="0"/>
          <w:szCs w:val="22"/>
        </w:rPr>
        <w:fldChar w:fldCharType="end"/>
      </w:r>
    </w:p>
    <w:p w14:paraId="22E1CF2C">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_Toc538615099 </w:instrText>
      </w:r>
      <w:r>
        <w:rPr>
          <w:rFonts w:ascii="宋体" w:hAnsi="宋体" w:eastAsia="宋体" w:cs="宋体"/>
          <w:i w:val="0"/>
          <w:spacing w:val="0"/>
          <w:szCs w:val="22"/>
        </w:rPr>
        <w:fldChar w:fldCharType="separate"/>
      </w:r>
      <w:r>
        <w:t>十四、试验时间表</w:t>
      </w:r>
      <w:r>
        <w:tab/>
      </w:r>
      <w:r>
        <w:fldChar w:fldCharType="begin"/>
      </w:r>
      <w:r>
        <w:instrText xml:space="preserve"> PAGEREF _Toc538615099 \h </w:instrText>
      </w:r>
      <w:r>
        <w:fldChar w:fldCharType="separate"/>
      </w:r>
      <w:r>
        <w:t>18</w:t>
      </w:r>
      <w:r>
        <w:fldChar w:fldCharType="end"/>
      </w:r>
      <w:r>
        <w:rPr>
          <w:rFonts w:ascii="宋体" w:hAnsi="宋体" w:eastAsia="宋体" w:cs="宋体"/>
          <w:i w:val="0"/>
          <w:spacing w:val="0"/>
          <w:szCs w:val="22"/>
        </w:rPr>
        <w:fldChar w:fldCharType="end"/>
      </w:r>
    </w:p>
    <w:p w14:paraId="4B438FAF">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_Toc860396788 </w:instrText>
      </w:r>
      <w:r>
        <w:rPr>
          <w:rFonts w:ascii="宋体" w:hAnsi="宋体" w:eastAsia="宋体" w:cs="宋体"/>
          <w:i w:val="0"/>
          <w:spacing w:val="0"/>
          <w:szCs w:val="22"/>
        </w:rPr>
        <w:fldChar w:fldCharType="separate"/>
      </w:r>
      <w:r>
        <w:t>十五、研究质量控制</w:t>
      </w:r>
      <w:r>
        <w:tab/>
      </w:r>
      <w:r>
        <w:fldChar w:fldCharType="begin"/>
      </w:r>
      <w:r>
        <w:instrText xml:space="preserve"> PAGEREF _Toc860396788 \h </w:instrText>
      </w:r>
      <w:r>
        <w:fldChar w:fldCharType="separate"/>
      </w:r>
      <w:r>
        <w:t>19</w:t>
      </w:r>
      <w:r>
        <w:fldChar w:fldCharType="end"/>
      </w:r>
      <w:r>
        <w:rPr>
          <w:rFonts w:ascii="宋体" w:hAnsi="宋体" w:eastAsia="宋体" w:cs="宋体"/>
          <w:i w:val="0"/>
          <w:spacing w:val="0"/>
          <w:szCs w:val="22"/>
        </w:rPr>
        <w:fldChar w:fldCharType="end"/>
      </w:r>
    </w:p>
    <w:p w14:paraId="673F8B56">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_Toc1681420665 </w:instrText>
      </w:r>
      <w:r>
        <w:rPr>
          <w:rFonts w:ascii="宋体" w:hAnsi="宋体" w:eastAsia="宋体" w:cs="宋体"/>
          <w:i w:val="0"/>
          <w:spacing w:val="0"/>
          <w:szCs w:val="22"/>
        </w:rPr>
        <w:fldChar w:fldCharType="separate"/>
      </w:r>
      <w:r>
        <w:t>15.1 研究中心选择</w:t>
      </w:r>
      <w:r>
        <w:tab/>
      </w:r>
      <w:r>
        <w:fldChar w:fldCharType="begin"/>
      </w:r>
      <w:r>
        <w:instrText xml:space="preserve"> PAGEREF _Toc1681420665 \h </w:instrText>
      </w:r>
      <w:r>
        <w:fldChar w:fldCharType="separate"/>
      </w:r>
      <w:r>
        <w:t>19</w:t>
      </w:r>
      <w:r>
        <w:fldChar w:fldCharType="end"/>
      </w:r>
      <w:r>
        <w:rPr>
          <w:rFonts w:ascii="宋体" w:hAnsi="宋体" w:eastAsia="宋体" w:cs="宋体"/>
          <w:i w:val="0"/>
          <w:spacing w:val="0"/>
          <w:szCs w:val="22"/>
        </w:rPr>
        <w:fldChar w:fldCharType="end"/>
      </w:r>
    </w:p>
    <w:p w14:paraId="27D2F55A">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_Toc899805782 </w:instrText>
      </w:r>
      <w:r>
        <w:rPr>
          <w:rFonts w:ascii="宋体" w:hAnsi="宋体" w:eastAsia="宋体" w:cs="宋体"/>
          <w:i w:val="0"/>
          <w:spacing w:val="0"/>
          <w:szCs w:val="22"/>
        </w:rPr>
        <w:fldChar w:fldCharType="separate"/>
      </w:r>
      <w:r>
        <w:t>15.2 研究人员培训</w:t>
      </w:r>
      <w:r>
        <w:tab/>
      </w:r>
      <w:r>
        <w:fldChar w:fldCharType="begin"/>
      </w:r>
      <w:r>
        <w:instrText xml:space="preserve"> PAGEREF _Toc899805782 \h </w:instrText>
      </w:r>
      <w:r>
        <w:fldChar w:fldCharType="separate"/>
      </w:r>
      <w:r>
        <w:t>19</w:t>
      </w:r>
      <w:r>
        <w:fldChar w:fldCharType="end"/>
      </w:r>
      <w:r>
        <w:rPr>
          <w:rFonts w:ascii="宋体" w:hAnsi="宋体" w:eastAsia="宋体" w:cs="宋体"/>
          <w:i w:val="0"/>
          <w:spacing w:val="0"/>
          <w:szCs w:val="22"/>
        </w:rPr>
        <w:fldChar w:fldCharType="end"/>
      </w:r>
    </w:p>
    <w:p w14:paraId="628FDCC9">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_Toc455935900 </w:instrText>
      </w:r>
      <w:r>
        <w:rPr>
          <w:rFonts w:ascii="宋体" w:hAnsi="宋体" w:eastAsia="宋体" w:cs="宋体"/>
          <w:i w:val="0"/>
          <w:spacing w:val="0"/>
          <w:szCs w:val="22"/>
        </w:rPr>
        <w:fldChar w:fldCharType="separate"/>
      </w:r>
      <w:r>
        <w:t>15.3 数据质量控制</w:t>
      </w:r>
      <w:r>
        <w:tab/>
      </w:r>
      <w:r>
        <w:fldChar w:fldCharType="begin"/>
      </w:r>
      <w:r>
        <w:instrText xml:space="preserve"> PAGEREF _Toc455935900 \h </w:instrText>
      </w:r>
      <w:r>
        <w:fldChar w:fldCharType="separate"/>
      </w:r>
      <w:r>
        <w:t>19</w:t>
      </w:r>
      <w:r>
        <w:fldChar w:fldCharType="end"/>
      </w:r>
      <w:r>
        <w:rPr>
          <w:rFonts w:ascii="宋体" w:hAnsi="宋体" w:eastAsia="宋体" w:cs="宋体"/>
          <w:i w:val="0"/>
          <w:spacing w:val="0"/>
          <w:szCs w:val="22"/>
        </w:rPr>
        <w:fldChar w:fldCharType="end"/>
      </w:r>
    </w:p>
    <w:p w14:paraId="77E4CAB0">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_Toc693018804 </w:instrText>
      </w:r>
      <w:r>
        <w:rPr>
          <w:rFonts w:ascii="宋体" w:hAnsi="宋体" w:eastAsia="宋体" w:cs="宋体"/>
          <w:i w:val="0"/>
          <w:spacing w:val="0"/>
          <w:szCs w:val="22"/>
        </w:rPr>
        <w:fldChar w:fldCharType="separate"/>
      </w:r>
      <w:r>
        <w:t>十六、试验药物管理</w:t>
      </w:r>
      <w:r>
        <w:tab/>
      </w:r>
      <w:r>
        <w:fldChar w:fldCharType="begin"/>
      </w:r>
      <w:r>
        <w:instrText xml:space="preserve"> PAGEREF _Toc693018804 \h </w:instrText>
      </w:r>
      <w:r>
        <w:fldChar w:fldCharType="separate"/>
      </w:r>
      <w:r>
        <w:t>20</w:t>
      </w:r>
      <w:r>
        <w:fldChar w:fldCharType="end"/>
      </w:r>
      <w:r>
        <w:rPr>
          <w:rFonts w:ascii="宋体" w:hAnsi="宋体" w:eastAsia="宋体" w:cs="宋体"/>
          <w:i w:val="0"/>
          <w:spacing w:val="0"/>
          <w:szCs w:val="22"/>
        </w:rPr>
        <w:fldChar w:fldCharType="end"/>
      </w:r>
    </w:p>
    <w:p w14:paraId="51A3C60A">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_Toc1763221147 </w:instrText>
      </w:r>
      <w:r>
        <w:rPr>
          <w:rFonts w:ascii="宋体" w:hAnsi="宋体" w:eastAsia="宋体" w:cs="宋体"/>
          <w:i w:val="0"/>
          <w:spacing w:val="0"/>
          <w:szCs w:val="22"/>
        </w:rPr>
        <w:fldChar w:fldCharType="separate"/>
      </w:r>
      <w:r>
        <w:t>16.1 药物储存和分发</w:t>
      </w:r>
      <w:r>
        <w:tab/>
      </w:r>
      <w:r>
        <w:fldChar w:fldCharType="begin"/>
      </w:r>
      <w:r>
        <w:instrText xml:space="preserve"> PAGEREF _Toc1763221147 \h </w:instrText>
      </w:r>
      <w:r>
        <w:fldChar w:fldCharType="separate"/>
      </w:r>
      <w:r>
        <w:t>20</w:t>
      </w:r>
      <w:r>
        <w:fldChar w:fldCharType="end"/>
      </w:r>
      <w:r>
        <w:rPr>
          <w:rFonts w:ascii="宋体" w:hAnsi="宋体" w:eastAsia="宋体" w:cs="宋体"/>
          <w:i w:val="0"/>
          <w:spacing w:val="0"/>
          <w:szCs w:val="22"/>
        </w:rPr>
        <w:fldChar w:fldCharType="end"/>
      </w:r>
    </w:p>
    <w:p w14:paraId="01E8D802">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_Toc1330972676 </w:instrText>
      </w:r>
      <w:r>
        <w:rPr>
          <w:rFonts w:ascii="宋体" w:hAnsi="宋体" w:eastAsia="宋体" w:cs="宋体"/>
          <w:i w:val="0"/>
          <w:spacing w:val="0"/>
          <w:szCs w:val="22"/>
        </w:rPr>
        <w:fldChar w:fldCharType="separate"/>
      </w:r>
      <w:r>
        <w:t>16.2 给药记录</w:t>
      </w:r>
      <w:r>
        <w:tab/>
      </w:r>
      <w:r>
        <w:fldChar w:fldCharType="begin"/>
      </w:r>
      <w:r>
        <w:instrText xml:space="preserve"> PAGEREF _Toc1330972676 \h </w:instrText>
      </w:r>
      <w:r>
        <w:fldChar w:fldCharType="separate"/>
      </w:r>
      <w:r>
        <w:t>20</w:t>
      </w:r>
      <w:r>
        <w:fldChar w:fldCharType="end"/>
      </w:r>
      <w:r>
        <w:rPr>
          <w:rFonts w:ascii="宋体" w:hAnsi="宋体" w:eastAsia="宋体" w:cs="宋体"/>
          <w:i w:val="0"/>
          <w:spacing w:val="0"/>
          <w:szCs w:val="22"/>
        </w:rPr>
        <w:fldChar w:fldCharType="end"/>
      </w:r>
    </w:p>
    <w:p w14:paraId="276C1A6B">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_Toc1468098380 </w:instrText>
      </w:r>
      <w:r>
        <w:rPr>
          <w:rFonts w:ascii="宋体" w:hAnsi="宋体" w:eastAsia="宋体" w:cs="宋体"/>
          <w:i w:val="0"/>
          <w:spacing w:val="0"/>
          <w:szCs w:val="22"/>
        </w:rPr>
        <w:fldChar w:fldCharType="separate"/>
      </w:r>
      <w:r>
        <w:t>十七、试验结果报告</w:t>
      </w:r>
      <w:r>
        <w:tab/>
      </w:r>
      <w:r>
        <w:fldChar w:fldCharType="begin"/>
      </w:r>
      <w:r>
        <w:instrText xml:space="preserve"> PAGEREF _Toc1468098380 \h </w:instrText>
      </w:r>
      <w:r>
        <w:fldChar w:fldCharType="separate"/>
      </w:r>
      <w:r>
        <w:t>20</w:t>
      </w:r>
      <w:r>
        <w:fldChar w:fldCharType="end"/>
      </w:r>
      <w:r>
        <w:rPr>
          <w:rFonts w:ascii="宋体" w:hAnsi="宋体" w:eastAsia="宋体" w:cs="宋体"/>
          <w:i w:val="0"/>
          <w:spacing w:val="0"/>
          <w:szCs w:val="22"/>
        </w:rPr>
        <w:fldChar w:fldCharType="end"/>
      </w:r>
    </w:p>
    <w:p w14:paraId="624F109D">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_Toc1889852277 </w:instrText>
      </w:r>
      <w:r>
        <w:rPr>
          <w:rFonts w:ascii="宋体" w:hAnsi="宋体" w:eastAsia="宋体" w:cs="宋体"/>
          <w:i w:val="0"/>
          <w:spacing w:val="0"/>
          <w:szCs w:val="22"/>
        </w:rPr>
        <w:fldChar w:fldCharType="separate"/>
      </w:r>
      <w:r>
        <w:t>17.1 研究报告</w:t>
      </w:r>
      <w:r>
        <w:tab/>
      </w:r>
      <w:r>
        <w:fldChar w:fldCharType="begin"/>
      </w:r>
      <w:r>
        <w:instrText xml:space="preserve"> PAGEREF _Toc1889852277 \h </w:instrText>
      </w:r>
      <w:r>
        <w:fldChar w:fldCharType="separate"/>
      </w:r>
      <w:r>
        <w:t>20</w:t>
      </w:r>
      <w:r>
        <w:fldChar w:fldCharType="end"/>
      </w:r>
      <w:r>
        <w:rPr>
          <w:rFonts w:ascii="宋体" w:hAnsi="宋体" w:eastAsia="宋体" w:cs="宋体"/>
          <w:i w:val="0"/>
          <w:spacing w:val="0"/>
          <w:szCs w:val="22"/>
        </w:rPr>
        <w:fldChar w:fldCharType="end"/>
      </w:r>
    </w:p>
    <w:p w14:paraId="31008F38">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_Toc1464080409 </w:instrText>
      </w:r>
      <w:r>
        <w:rPr>
          <w:rFonts w:ascii="宋体" w:hAnsi="宋体" w:eastAsia="宋体" w:cs="宋体"/>
          <w:i w:val="0"/>
          <w:spacing w:val="0"/>
          <w:szCs w:val="22"/>
        </w:rPr>
        <w:fldChar w:fldCharType="separate"/>
      </w:r>
      <w:r>
        <w:t>17.2 结果公布</w:t>
      </w:r>
      <w:r>
        <w:tab/>
      </w:r>
      <w:r>
        <w:fldChar w:fldCharType="begin"/>
      </w:r>
      <w:r>
        <w:instrText xml:space="preserve"> PAGEREF _Toc1464080409 \h </w:instrText>
      </w:r>
      <w:r>
        <w:fldChar w:fldCharType="separate"/>
      </w:r>
      <w:r>
        <w:t>21</w:t>
      </w:r>
      <w:r>
        <w:fldChar w:fldCharType="end"/>
      </w:r>
      <w:r>
        <w:rPr>
          <w:rFonts w:ascii="宋体" w:hAnsi="宋体" w:eastAsia="宋体" w:cs="宋体"/>
          <w:i w:val="0"/>
          <w:spacing w:val="0"/>
          <w:szCs w:val="22"/>
        </w:rPr>
        <w:fldChar w:fldCharType="end"/>
      </w:r>
    </w:p>
    <w:p w14:paraId="4504D2B5">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_Toc931806737 </w:instrText>
      </w:r>
      <w:r>
        <w:rPr>
          <w:rFonts w:ascii="宋体" w:hAnsi="宋体" w:eastAsia="宋体" w:cs="宋体"/>
          <w:i w:val="0"/>
          <w:spacing w:val="0"/>
          <w:szCs w:val="22"/>
        </w:rPr>
        <w:fldChar w:fldCharType="separate"/>
      </w:r>
      <w:r>
        <w:t>十八、试验组织结构</w:t>
      </w:r>
      <w:r>
        <w:tab/>
      </w:r>
      <w:r>
        <w:fldChar w:fldCharType="begin"/>
      </w:r>
      <w:r>
        <w:instrText xml:space="preserve"> PAGEREF _Toc931806737 \h </w:instrText>
      </w:r>
      <w:r>
        <w:fldChar w:fldCharType="separate"/>
      </w:r>
      <w:r>
        <w:t>21</w:t>
      </w:r>
      <w:r>
        <w:fldChar w:fldCharType="end"/>
      </w:r>
      <w:r>
        <w:rPr>
          <w:rFonts w:ascii="宋体" w:hAnsi="宋体" w:eastAsia="宋体" w:cs="宋体"/>
          <w:i w:val="0"/>
          <w:spacing w:val="0"/>
          <w:szCs w:val="22"/>
        </w:rPr>
        <w:fldChar w:fldCharType="end"/>
      </w:r>
    </w:p>
    <w:p w14:paraId="4D2A323C">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_Toc1425074835 </w:instrText>
      </w:r>
      <w:r>
        <w:rPr>
          <w:rFonts w:ascii="宋体" w:hAnsi="宋体" w:eastAsia="宋体" w:cs="宋体"/>
          <w:i w:val="0"/>
          <w:spacing w:val="0"/>
          <w:szCs w:val="22"/>
        </w:rPr>
        <w:fldChar w:fldCharType="separate"/>
      </w:r>
      <w:r>
        <w:t>18.1 研究组织</w:t>
      </w:r>
      <w:r>
        <w:tab/>
      </w:r>
      <w:r>
        <w:fldChar w:fldCharType="begin"/>
      </w:r>
      <w:r>
        <w:instrText xml:space="preserve"> PAGEREF _Toc1425074835 \h </w:instrText>
      </w:r>
      <w:r>
        <w:fldChar w:fldCharType="separate"/>
      </w:r>
      <w:r>
        <w:t>21</w:t>
      </w:r>
      <w:r>
        <w:fldChar w:fldCharType="end"/>
      </w:r>
      <w:r>
        <w:rPr>
          <w:rFonts w:ascii="宋体" w:hAnsi="宋体" w:eastAsia="宋体" w:cs="宋体"/>
          <w:i w:val="0"/>
          <w:spacing w:val="0"/>
          <w:szCs w:val="22"/>
        </w:rPr>
        <w:fldChar w:fldCharType="end"/>
      </w:r>
    </w:p>
    <w:p w14:paraId="411E5827">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_Toc347636854 </w:instrText>
      </w:r>
      <w:r>
        <w:rPr>
          <w:rFonts w:ascii="宋体" w:hAnsi="宋体" w:eastAsia="宋体" w:cs="宋体"/>
          <w:i w:val="0"/>
          <w:spacing w:val="0"/>
          <w:szCs w:val="22"/>
        </w:rPr>
        <w:fldChar w:fldCharType="separate"/>
      </w:r>
      <w:r>
        <w:t>18.2 试验协调</w:t>
      </w:r>
      <w:r>
        <w:tab/>
      </w:r>
      <w:r>
        <w:fldChar w:fldCharType="begin"/>
      </w:r>
      <w:r>
        <w:instrText xml:space="preserve"> PAGEREF _Toc347636854 \h </w:instrText>
      </w:r>
      <w:r>
        <w:fldChar w:fldCharType="separate"/>
      </w:r>
      <w:r>
        <w:t>21</w:t>
      </w:r>
      <w:r>
        <w:fldChar w:fldCharType="end"/>
      </w:r>
      <w:r>
        <w:rPr>
          <w:rFonts w:ascii="宋体" w:hAnsi="宋体" w:eastAsia="宋体" w:cs="宋体"/>
          <w:i w:val="0"/>
          <w:spacing w:val="0"/>
          <w:szCs w:val="22"/>
        </w:rPr>
        <w:fldChar w:fldCharType="end"/>
      </w:r>
    </w:p>
    <w:p w14:paraId="04CFB29C">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_Toc1577085338 </w:instrText>
      </w:r>
      <w:r>
        <w:rPr>
          <w:rFonts w:ascii="宋体" w:hAnsi="宋体" w:eastAsia="宋体" w:cs="宋体"/>
          <w:i w:val="0"/>
          <w:spacing w:val="0"/>
          <w:szCs w:val="22"/>
        </w:rPr>
        <w:fldChar w:fldCharType="separate"/>
      </w:r>
      <w:r>
        <w:t>十九、试验经费和资源</w:t>
      </w:r>
      <w:r>
        <w:tab/>
      </w:r>
      <w:r>
        <w:fldChar w:fldCharType="begin"/>
      </w:r>
      <w:r>
        <w:instrText xml:space="preserve"> PAGEREF _Toc1577085338 \h </w:instrText>
      </w:r>
      <w:r>
        <w:fldChar w:fldCharType="separate"/>
      </w:r>
      <w:r>
        <w:t>22</w:t>
      </w:r>
      <w:r>
        <w:fldChar w:fldCharType="end"/>
      </w:r>
      <w:r>
        <w:rPr>
          <w:rFonts w:ascii="宋体" w:hAnsi="宋体" w:eastAsia="宋体" w:cs="宋体"/>
          <w:i w:val="0"/>
          <w:spacing w:val="0"/>
          <w:szCs w:val="22"/>
        </w:rPr>
        <w:fldChar w:fldCharType="end"/>
      </w:r>
    </w:p>
    <w:p w14:paraId="7799ED87">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_Toc1830104492 </w:instrText>
      </w:r>
      <w:r>
        <w:rPr>
          <w:rFonts w:ascii="宋体" w:hAnsi="宋体" w:eastAsia="宋体" w:cs="宋体"/>
          <w:i w:val="0"/>
          <w:spacing w:val="0"/>
          <w:szCs w:val="22"/>
        </w:rPr>
        <w:fldChar w:fldCharType="separate"/>
      </w:r>
      <w:r>
        <w:t>19.1 试验经费</w:t>
      </w:r>
      <w:r>
        <w:tab/>
      </w:r>
      <w:r>
        <w:fldChar w:fldCharType="begin"/>
      </w:r>
      <w:r>
        <w:instrText xml:space="preserve"> PAGEREF _Toc1830104492 \h </w:instrText>
      </w:r>
      <w:r>
        <w:fldChar w:fldCharType="separate"/>
      </w:r>
      <w:r>
        <w:t>22</w:t>
      </w:r>
      <w:r>
        <w:fldChar w:fldCharType="end"/>
      </w:r>
      <w:r>
        <w:rPr>
          <w:rFonts w:ascii="宋体" w:hAnsi="宋体" w:eastAsia="宋体" w:cs="宋体"/>
          <w:i w:val="0"/>
          <w:spacing w:val="0"/>
          <w:szCs w:val="22"/>
        </w:rPr>
        <w:fldChar w:fldCharType="end"/>
      </w:r>
    </w:p>
    <w:p w14:paraId="0C4E2950">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_Toc157921063 </w:instrText>
      </w:r>
      <w:r>
        <w:rPr>
          <w:rFonts w:ascii="宋体" w:hAnsi="宋体" w:eastAsia="宋体" w:cs="宋体"/>
          <w:i w:val="0"/>
          <w:spacing w:val="0"/>
          <w:szCs w:val="22"/>
        </w:rPr>
        <w:fldChar w:fldCharType="separate"/>
      </w:r>
      <w:r>
        <w:t>19.2 试验资源</w:t>
      </w:r>
      <w:r>
        <w:tab/>
      </w:r>
      <w:r>
        <w:fldChar w:fldCharType="begin"/>
      </w:r>
      <w:r>
        <w:instrText xml:space="preserve"> PAGEREF _Toc157921063 \h </w:instrText>
      </w:r>
      <w:r>
        <w:fldChar w:fldCharType="separate"/>
      </w:r>
      <w:r>
        <w:t>22</w:t>
      </w:r>
      <w:r>
        <w:fldChar w:fldCharType="end"/>
      </w:r>
      <w:r>
        <w:rPr>
          <w:rFonts w:ascii="宋体" w:hAnsi="宋体" w:eastAsia="宋体" w:cs="宋体"/>
          <w:i w:val="0"/>
          <w:spacing w:val="0"/>
          <w:szCs w:val="22"/>
        </w:rPr>
        <w:fldChar w:fldCharType="end"/>
      </w:r>
    </w:p>
    <w:p w14:paraId="102305F8">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_Toc2037001796 </w:instrText>
      </w:r>
      <w:r>
        <w:rPr>
          <w:rFonts w:ascii="宋体" w:hAnsi="宋体" w:eastAsia="宋体" w:cs="宋体"/>
          <w:i w:val="0"/>
          <w:spacing w:val="0"/>
          <w:szCs w:val="22"/>
        </w:rPr>
        <w:fldChar w:fldCharType="separate"/>
      </w:r>
      <w:r>
        <w:t>二十、试验风险与应对措施</w:t>
      </w:r>
      <w:r>
        <w:tab/>
      </w:r>
      <w:r>
        <w:fldChar w:fldCharType="begin"/>
      </w:r>
      <w:r>
        <w:instrText xml:space="preserve"> PAGEREF _Toc2037001796 \h </w:instrText>
      </w:r>
      <w:r>
        <w:fldChar w:fldCharType="separate"/>
      </w:r>
      <w:r>
        <w:t>22</w:t>
      </w:r>
      <w:r>
        <w:fldChar w:fldCharType="end"/>
      </w:r>
      <w:r>
        <w:rPr>
          <w:rFonts w:ascii="宋体" w:hAnsi="宋体" w:eastAsia="宋体" w:cs="宋体"/>
          <w:i w:val="0"/>
          <w:spacing w:val="0"/>
          <w:szCs w:val="22"/>
        </w:rPr>
        <w:fldChar w:fldCharType="end"/>
      </w:r>
    </w:p>
    <w:p w14:paraId="6431E586">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_Toc704884898 </w:instrText>
      </w:r>
      <w:r>
        <w:rPr>
          <w:rFonts w:ascii="宋体" w:hAnsi="宋体" w:eastAsia="宋体" w:cs="宋体"/>
          <w:i w:val="0"/>
          <w:spacing w:val="0"/>
          <w:szCs w:val="22"/>
        </w:rPr>
        <w:fldChar w:fldCharType="separate"/>
      </w:r>
      <w:r>
        <w:t>20.1 潜在风险</w:t>
      </w:r>
      <w:r>
        <w:tab/>
      </w:r>
      <w:r>
        <w:fldChar w:fldCharType="begin"/>
      </w:r>
      <w:r>
        <w:instrText xml:space="preserve"> PAGEREF _Toc704884898 \h </w:instrText>
      </w:r>
      <w:r>
        <w:fldChar w:fldCharType="separate"/>
      </w:r>
      <w:r>
        <w:t>22</w:t>
      </w:r>
      <w:r>
        <w:fldChar w:fldCharType="end"/>
      </w:r>
      <w:r>
        <w:rPr>
          <w:rFonts w:ascii="宋体" w:hAnsi="宋体" w:eastAsia="宋体" w:cs="宋体"/>
          <w:i w:val="0"/>
          <w:spacing w:val="0"/>
          <w:szCs w:val="22"/>
        </w:rPr>
        <w:fldChar w:fldCharType="end"/>
      </w:r>
    </w:p>
    <w:p w14:paraId="6401DF3E">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_Toc1480683834 </w:instrText>
      </w:r>
      <w:r>
        <w:rPr>
          <w:rFonts w:ascii="宋体" w:hAnsi="宋体" w:eastAsia="宋体" w:cs="宋体"/>
          <w:i w:val="0"/>
          <w:spacing w:val="0"/>
          <w:szCs w:val="22"/>
        </w:rPr>
        <w:fldChar w:fldCharType="separate"/>
      </w:r>
      <w:r>
        <w:t>20.2 风险最小化措施</w:t>
      </w:r>
      <w:r>
        <w:tab/>
      </w:r>
      <w:r>
        <w:fldChar w:fldCharType="begin"/>
      </w:r>
      <w:r>
        <w:instrText xml:space="preserve"> PAGEREF _Toc1480683834 \h </w:instrText>
      </w:r>
      <w:r>
        <w:fldChar w:fldCharType="separate"/>
      </w:r>
      <w:r>
        <w:t>23</w:t>
      </w:r>
      <w:r>
        <w:fldChar w:fldCharType="end"/>
      </w:r>
      <w:r>
        <w:rPr>
          <w:rFonts w:ascii="宋体" w:hAnsi="宋体" w:eastAsia="宋体" w:cs="宋体"/>
          <w:i w:val="0"/>
          <w:spacing w:val="0"/>
          <w:szCs w:val="22"/>
        </w:rPr>
        <w:fldChar w:fldCharType="end"/>
      </w:r>
    </w:p>
    <w:p w14:paraId="1D9AE724">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_Toc812696602 </w:instrText>
      </w:r>
      <w:r>
        <w:rPr>
          <w:rFonts w:ascii="宋体" w:hAnsi="宋体" w:eastAsia="宋体" w:cs="宋体"/>
          <w:i w:val="0"/>
          <w:spacing w:val="0"/>
          <w:szCs w:val="22"/>
        </w:rPr>
        <w:fldChar w:fldCharType="separate"/>
      </w:r>
      <w:r>
        <w:t>二十一、试验终止标准</w:t>
      </w:r>
      <w:r>
        <w:tab/>
      </w:r>
      <w:r>
        <w:fldChar w:fldCharType="begin"/>
      </w:r>
      <w:r>
        <w:instrText xml:space="preserve"> PAGEREF _Toc812696602 \h </w:instrText>
      </w:r>
      <w:r>
        <w:fldChar w:fldCharType="separate"/>
      </w:r>
      <w:r>
        <w:t>24</w:t>
      </w:r>
      <w:r>
        <w:fldChar w:fldCharType="end"/>
      </w:r>
      <w:r>
        <w:rPr>
          <w:rFonts w:ascii="宋体" w:hAnsi="宋体" w:eastAsia="宋体" w:cs="宋体"/>
          <w:i w:val="0"/>
          <w:spacing w:val="0"/>
          <w:szCs w:val="22"/>
        </w:rPr>
        <w:fldChar w:fldCharType="end"/>
      </w:r>
    </w:p>
    <w:p w14:paraId="1A6414E8">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_Toc995794894 </w:instrText>
      </w:r>
      <w:r>
        <w:rPr>
          <w:rFonts w:ascii="宋体" w:hAnsi="宋体" w:eastAsia="宋体" w:cs="宋体"/>
          <w:i w:val="0"/>
          <w:spacing w:val="0"/>
          <w:szCs w:val="22"/>
        </w:rPr>
        <w:fldChar w:fldCharType="separate"/>
      </w:r>
      <w:r>
        <w:t>21.1 试验组个体患者终止标准</w:t>
      </w:r>
      <w:r>
        <w:tab/>
      </w:r>
      <w:r>
        <w:fldChar w:fldCharType="begin"/>
      </w:r>
      <w:r>
        <w:instrText xml:space="preserve"> PAGEREF _Toc995794894 \h </w:instrText>
      </w:r>
      <w:r>
        <w:fldChar w:fldCharType="separate"/>
      </w:r>
      <w:r>
        <w:t>24</w:t>
      </w:r>
      <w:r>
        <w:fldChar w:fldCharType="end"/>
      </w:r>
      <w:r>
        <w:rPr>
          <w:rFonts w:ascii="宋体" w:hAnsi="宋体" w:eastAsia="宋体" w:cs="宋体"/>
          <w:i w:val="0"/>
          <w:spacing w:val="0"/>
          <w:szCs w:val="22"/>
        </w:rPr>
        <w:fldChar w:fldCharType="end"/>
      </w:r>
    </w:p>
    <w:p w14:paraId="0395E5B9">
      <w:pPr>
        <w:pStyle w:val="5"/>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_Toc984722387 </w:instrText>
      </w:r>
      <w:r>
        <w:rPr>
          <w:rFonts w:ascii="宋体" w:hAnsi="宋体" w:eastAsia="宋体" w:cs="宋体"/>
          <w:i w:val="0"/>
          <w:spacing w:val="0"/>
          <w:szCs w:val="22"/>
        </w:rPr>
        <w:fldChar w:fldCharType="separate"/>
      </w:r>
      <w:r>
        <w:t>21.2 整体试验终止标准</w:t>
      </w:r>
      <w:r>
        <w:tab/>
      </w:r>
      <w:r>
        <w:fldChar w:fldCharType="begin"/>
      </w:r>
      <w:r>
        <w:instrText xml:space="preserve"> PAGEREF _Toc984722387 \h </w:instrText>
      </w:r>
      <w:r>
        <w:fldChar w:fldCharType="separate"/>
      </w:r>
      <w:r>
        <w:t>24</w:t>
      </w:r>
      <w:r>
        <w:fldChar w:fldCharType="end"/>
      </w:r>
      <w:r>
        <w:rPr>
          <w:rFonts w:ascii="宋体" w:hAnsi="宋体" w:eastAsia="宋体" w:cs="宋体"/>
          <w:i w:val="0"/>
          <w:spacing w:val="0"/>
          <w:szCs w:val="22"/>
        </w:rPr>
        <w:fldChar w:fldCharType="end"/>
      </w:r>
    </w:p>
    <w:p w14:paraId="18352D2A">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_Toc1720174527 </w:instrText>
      </w:r>
      <w:r>
        <w:rPr>
          <w:rFonts w:ascii="宋体" w:hAnsi="宋体" w:eastAsia="宋体" w:cs="宋体"/>
          <w:i w:val="0"/>
          <w:spacing w:val="0"/>
          <w:szCs w:val="22"/>
        </w:rPr>
        <w:fldChar w:fldCharType="separate"/>
      </w:r>
      <w:r>
        <w:t>二十二、试验药物研发背景</w:t>
      </w:r>
      <w:r>
        <w:tab/>
      </w:r>
      <w:r>
        <w:fldChar w:fldCharType="begin"/>
      </w:r>
      <w:r>
        <w:instrText xml:space="preserve"> PAGEREF _Toc1720174527 \h </w:instrText>
      </w:r>
      <w:r>
        <w:fldChar w:fldCharType="separate"/>
      </w:r>
      <w:r>
        <w:t>24</w:t>
      </w:r>
      <w:r>
        <w:fldChar w:fldCharType="end"/>
      </w:r>
      <w:r>
        <w:rPr>
          <w:rFonts w:ascii="宋体" w:hAnsi="宋体" w:eastAsia="宋体" w:cs="宋体"/>
          <w:i w:val="0"/>
          <w:spacing w:val="0"/>
          <w:szCs w:val="22"/>
        </w:rPr>
        <w:fldChar w:fldCharType="end"/>
      </w:r>
    </w:p>
    <w:p w14:paraId="71255E68">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_Toc1548419375 </w:instrText>
      </w:r>
      <w:r>
        <w:rPr>
          <w:rFonts w:ascii="宋体" w:hAnsi="宋体" w:eastAsia="宋体" w:cs="宋体"/>
          <w:i w:val="0"/>
          <w:spacing w:val="0"/>
          <w:szCs w:val="22"/>
        </w:rPr>
        <w:fldChar w:fldCharType="separate"/>
      </w:r>
      <w:r>
        <w:t>二十三、参考文献</w:t>
      </w:r>
      <w:r>
        <w:tab/>
      </w:r>
      <w:r>
        <w:fldChar w:fldCharType="begin"/>
      </w:r>
      <w:r>
        <w:instrText xml:space="preserve"> PAGEREF _Toc1548419375 \h </w:instrText>
      </w:r>
      <w:r>
        <w:fldChar w:fldCharType="separate"/>
      </w:r>
      <w:r>
        <w:t>24</w:t>
      </w:r>
      <w:r>
        <w:fldChar w:fldCharType="end"/>
      </w:r>
      <w:r>
        <w:rPr>
          <w:rFonts w:ascii="宋体" w:hAnsi="宋体" w:eastAsia="宋体" w:cs="宋体"/>
          <w:i w:val="0"/>
          <w:spacing w:val="0"/>
          <w:szCs w:val="22"/>
        </w:rPr>
        <w:fldChar w:fldCharType="end"/>
      </w:r>
    </w:p>
    <w:p w14:paraId="4C76F672">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_Toc1077601279 </w:instrText>
      </w:r>
      <w:r>
        <w:rPr>
          <w:rFonts w:ascii="宋体" w:hAnsi="宋体" w:eastAsia="宋体" w:cs="宋体"/>
          <w:i w:val="0"/>
          <w:spacing w:val="0"/>
          <w:szCs w:val="22"/>
        </w:rPr>
        <w:fldChar w:fldCharType="separate"/>
      </w:r>
      <w:r>
        <w:t>二十三、附录</w:t>
      </w:r>
      <w:r>
        <w:tab/>
      </w:r>
      <w:r>
        <w:fldChar w:fldCharType="begin"/>
      </w:r>
      <w:r>
        <w:instrText xml:space="preserve"> PAGEREF _Toc1077601279 \h </w:instrText>
      </w:r>
      <w:r>
        <w:fldChar w:fldCharType="separate"/>
      </w:r>
      <w:r>
        <w:t>25</w:t>
      </w:r>
      <w:r>
        <w:fldChar w:fldCharType="end"/>
      </w:r>
      <w:r>
        <w:rPr>
          <w:rFonts w:ascii="宋体" w:hAnsi="宋体" w:eastAsia="宋体" w:cs="宋体"/>
          <w:i w:val="0"/>
          <w:spacing w:val="0"/>
          <w:szCs w:val="22"/>
        </w:rPr>
        <w:fldChar w:fldCharType="end"/>
      </w:r>
    </w:p>
    <w:p w14:paraId="164937AD">
      <w:pPr>
        <w:pStyle w:val="7"/>
        <w:tabs>
          <w:tab w:val="right" w:leader="dot" w:pos="8300"/>
        </w:tabs>
      </w:pPr>
      <w:r>
        <w:rPr>
          <w:rFonts w:ascii="宋体" w:hAnsi="宋体" w:eastAsia="宋体" w:cs="宋体"/>
          <w:i w:val="0"/>
          <w:spacing w:val="0"/>
          <w:szCs w:val="22"/>
        </w:rPr>
        <w:fldChar w:fldCharType="begin"/>
      </w:r>
      <w:r>
        <w:rPr>
          <w:rFonts w:ascii="宋体" w:hAnsi="宋体" w:eastAsia="宋体" w:cs="宋体"/>
          <w:i w:val="0"/>
          <w:spacing w:val="0"/>
          <w:szCs w:val="22"/>
        </w:rPr>
        <w:instrText xml:space="preserve"> HYPERLINK \l _Toc1515101002 </w:instrText>
      </w:r>
      <w:r>
        <w:rPr>
          <w:rFonts w:ascii="宋体" w:hAnsi="宋体" w:eastAsia="宋体" w:cs="宋体"/>
          <w:i w:val="0"/>
          <w:spacing w:val="0"/>
          <w:szCs w:val="22"/>
        </w:rPr>
        <w:fldChar w:fldCharType="separate"/>
      </w:r>
      <w:r>
        <w:t>参考来源</w:t>
      </w:r>
      <w:r>
        <w:tab/>
      </w:r>
      <w:r>
        <w:fldChar w:fldCharType="begin"/>
      </w:r>
      <w:r>
        <w:instrText xml:space="preserve"> PAGEREF _Toc1515101002 \h </w:instrText>
      </w:r>
      <w:r>
        <w:fldChar w:fldCharType="separate"/>
      </w:r>
      <w:r>
        <w:t>25</w:t>
      </w:r>
      <w:r>
        <w:fldChar w:fldCharType="end"/>
      </w:r>
      <w:r>
        <w:rPr>
          <w:rFonts w:ascii="宋体" w:hAnsi="宋体" w:eastAsia="宋体" w:cs="宋体"/>
          <w:i w:val="0"/>
          <w:spacing w:val="0"/>
          <w:szCs w:val="22"/>
        </w:rPr>
        <w:fldChar w:fldCharType="end"/>
      </w:r>
    </w:p>
    <w:p w14:paraId="57468730">
      <w:pPr>
        <w:pageBreakBefore w:val="0"/>
        <w:wordWrap/>
        <w:spacing w:before="160" w:after="0"/>
        <w:ind w:left="0" w:right="0"/>
        <w:jc w:val="left"/>
        <w:textAlignment w:val="auto"/>
        <w:rPr>
          <w:rFonts w:ascii="宋体" w:hAnsi="宋体" w:eastAsia="宋体" w:cs="宋体"/>
          <w:i w:val="0"/>
          <w:spacing w:val="0"/>
          <w:sz w:val="21"/>
          <w:szCs w:val="22"/>
        </w:rPr>
      </w:pPr>
      <w:r>
        <w:rPr>
          <w:rFonts w:ascii="宋体" w:hAnsi="宋体" w:eastAsia="宋体" w:cs="宋体"/>
          <w:i w:val="0"/>
          <w:spacing w:val="0"/>
          <w:szCs w:val="22"/>
        </w:rPr>
        <w:fldChar w:fldCharType="end"/>
      </w:r>
    </w:p>
    <w:p w14:paraId="51A1B938">
      <w:pPr>
        <w:pageBreakBefore w:val="0"/>
        <w:wordWrap/>
        <w:spacing w:before="160" w:after="0"/>
        <w:ind w:left="0" w:right="0"/>
        <w:jc w:val="left"/>
        <w:textAlignment w:val="auto"/>
        <w:rPr>
          <w:rFonts w:ascii="宋体" w:hAnsi="宋体" w:eastAsia="宋体" w:cs="宋体"/>
          <w:i w:val="0"/>
          <w:spacing w:val="0"/>
          <w:sz w:val="21"/>
          <w:szCs w:val="22"/>
        </w:rPr>
      </w:pPr>
    </w:p>
    <w:p w14:paraId="61BBABC7">
      <w:pPr>
        <w:pStyle w:val="3"/>
        <w:bidi w:val="0"/>
      </w:pPr>
      <w:bookmarkStart w:id="4" w:name="_Toc905244695"/>
      <w:bookmarkStart w:id="5" w:name="_Toc347532554"/>
      <w:r>
        <w:t>标题</w:t>
      </w:r>
      <w:bookmarkEnd w:id="4"/>
      <w:bookmarkEnd w:id="5"/>
    </w:p>
    <w:p w14:paraId="290F8B9A">
      <w:pPr>
        <w:pageBreakBefore w:val="0"/>
        <w:wordWrap/>
        <w:spacing w:before="160" w:after="0"/>
        <w:ind w:left="0" w:right="0"/>
        <w:jc w:val="left"/>
        <w:textAlignment w:val="auto"/>
        <w:rPr>
          <w:sz w:val="24"/>
        </w:rPr>
      </w:pPr>
      <w:r>
        <w:rPr>
          <w:rFonts w:ascii="宋体" w:hAnsi="宋体" w:eastAsia="宋体" w:cs="宋体"/>
          <w:b w:val="0"/>
          <w:i w:val="0"/>
          <w:spacing w:val="0"/>
          <w:sz w:val="24"/>
        </w:rPr>
        <w:t>一项评估重组疱疹溶瘤病毒（</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）联合PD-1抗体治疗铂类化疗及免疫治疗失败的复发/转移性头颈部鳞癌患者的有效性和安全性的随机、开放标签、多中心II期临床试验</w:t>
      </w:r>
    </w:p>
    <w:p w14:paraId="2D69DCB3">
      <w:pPr>
        <w:pStyle w:val="3"/>
        <w:bidi w:val="0"/>
      </w:pPr>
      <w:bookmarkStart w:id="6" w:name="_Toc1673433517"/>
      <w:bookmarkStart w:id="7" w:name="_Toc1971598885"/>
      <w:r>
        <w:t>摘要</w:t>
      </w:r>
      <w:bookmarkEnd w:id="6"/>
      <w:bookmarkEnd w:id="7"/>
    </w:p>
    <w:p w14:paraId="6A0148B4">
      <w:pPr>
        <w:pageBreakBefore w:val="0"/>
        <w:wordWrap/>
        <w:spacing w:before="160" w:after="0"/>
        <w:ind w:left="0" w:right="0"/>
        <w:jc w:val="left"/>
        <w:textAlignment w:val="auto"/>
        <w:rPr>
          <w:sz w:val="24"/>
        </w:rPr>
      </w:pPr>
      <w:r>
        <w:rPr>
          <w:rFonts w:ascii="宋体" w:hAnsi="宋体" w:eastAsia="宋体" w:cs="宋体"/>
          <w:b w:val="0"/>
          <w:i w:val="0"/>
          <w:spacing w:val="0"/>
          <w:sz w:val="24"/>
        </w:rPr>
        <w:t>本试验是一项多中心、随机、开放标签、平行对照的II期临床研究，旨在评估重组疱疹溶瘤病毒（</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）联合PD-1抗体治疗铂类化疗及免疫治疗失败的复发/转移性头颈部鳞癌（R/M HNSCC）患者的有效性和安全性。试验将纳入120例符合条件的患者，按1:1随机分配至试验组（</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PD-1抗体静脉输注）或对照组（PD-1抗体静脉输注）。主要研究终点为客观缓解率（ORR），次要终点包括疾病控制率（DCR）、无进展生存期（PFS）、总生存期（OS）、安全性及生物标志物分析。本研究将为难治性头颈部鳞癌患者提供新的治疗选择，并探索疱疹溶瘤病毒联合免疫治疗的协同作用机制。</w:t>
      </w:r>
    </w:p>
    <w:p w14:paraId="502CA657">
      <w:pPr>
        <w:pageBreakBefore w:val="0"/>
        <w:wordWrap/>
        <w:spacing w:before="160" w:after="0"/>
        <w:ind w:left="0" w:right="0"/>
        <w:jc w:val="left"/>
        <w:textAlignment w:val="auto"/>
        <w:rPr>
          <w:sz w:val="24"/>
        </w:rPr>
      </w:pPr>
      <w:r>
        <w:rPr>
          <w:rFonts w:ascii="宋体" w:hAnsi="宋体" w:eastAsia="宋体" w:cs="宋体"/>
          <w:b/>
          <w:i w:val="0"/>
          <w:spacing w:val="0"/>
          <w:sz w:val="24"/>
        </w:rPr>
        <w:t>关键词</w:t>
      </w:r>
      <w:r>
        <w:rPr>
          <w:rFonts w:ascii="宋体" w:hAnsi="宋体" w:eastAsia="宋体" w:cs="宋体"/>
          <w:b w:val="0"/>
          <w:i w:val="0"/>
          <w:spacing w:val="0"/>
          <w:sz w:val="24"/>
        </w:rPr>
        <w:t>：疱疹溶瘤病毒；头颈部鳞癌；免疫治疗；临床试验；溶瘤病毒疗法</w:t>
      </w:r>
    </w:p>
    <w:p w14:paraId="236C2E88">
      <w:pPr>
        <w:pStyle w:val="3"/>
        <w:bidi w:val="0"/>
      </w:pPr>
      <w:bookmarkStart w:id="8" w:name="_Toc1951279107"/>
      <w:bookmarkStart w:id="9" w:name="_Toc989786985"/>
      <w:r>
        <w:t>一、研究背景</w:t>
      </w:r>
      <w:bookmarkEnd w:id="8"/>
      <w:bookmarkEnd w:id="9"/>
    </w:p>
    <w:p w14:paraId="2E5D6F72">
      <w:pPr>
        <w:pStyle w:val="4"/>
        <w:bidi w:val="0"/>
      </w:pPr>
      <w:bookmarkStart w:id="10" w:name="_Toc925178012"/>
      <w:bookmarkStart w:id="11" w:name="_Toc941527233"/>
      <w:r>
        <w:t>1.1 疾病背景</w:t>
      </w:r>
      <w:bookmarkEnd w:id="10"/>
      <w:bookmarkEnd w:id="11"/>
    </w:p>
    <w:p w14:paraId="60B5DF20">
      <w:pPr>
        <w:pageBreakBefore w:val="0"/>
        <w:wordWrap/>
        <w:spacing w:before="160" w:after="0"/>
        <w:ind w:left="0" w:right="0"/>
        <w:jc w:val="left"/>
        <w:textAlignment w:val="auto"/>
        <w:rPr>
          <w:sz w:val="24"/>
        </w:rPr>
      </w:pPr>
      <w:r>
        <w:rPr>
          <w:rFonts w:ascii="宋体" w:hAnsi="宋体" w:eastAsia="宋体" w:cs="宋体"/>
          <w:b w:val="0"/>
          <w:i w:val="0"/>
          <w:spacing w:val="0"/>
          <w:sz w:val="24"/>
        </w:rPr>
        <w:t>头颈部鳞状细胞癌（HNSCC）是全球第六大常见恶性肿瘤，每年约有89万新病例，占所有癌症诊断的4.5%。在中国，头颈部鳞癌主要发生在口腔、口咽、下咽和喉部，发病率在男性中尤为显著（16.9/100,000 vs 女性6.2/100,000）。约50%的患者在初次治疗后会出现复发，且复发/转移性患者预后较差。目前，对于铂类化疗及免疫治疗失败的复发/转移性头颈部鳞癌患者，尚无标准治疗方案，其二线治疗失败后的无疾病进展生存期（PFS）约为3个月，总生存期（OS）约为6个月，亟需探索更有效的治疗策略。</w:t>
      </w:r>
    </w:p>
    <w:p w14:paraId="7DA97E08">
      <w:pPr>
        <w:pStyle w:val="4"/>
        <w:bidi w:val="0"/>
      </w:pPr>
      <w:bookmarkStart w:id="12" w:name="_Toc1685243404"/>
      <w:bookmarkStart w:id="13" w:name="_Toc1588693935"/>
      <w:r>
        <w:t>1.2 试验药物背景</w:t>
      </w:r>
      <w:bookmarkEnd w:id="12"/>
      <w:bookmarkEnd w:id="13"/>
    </w:p>
    <w:p w14:paraId="46F61919">
      <w:pPr>
        <w:pageBreakBefore w:val="0"/>
        <w:wordWrap/>
        <w:spacing w:before="160" w:after="0"/>
        <w:ind w:left="0" w:right="0"/>
        <w:jc w:val="left"/>
        <w:textAlignment w:val="auto"/>
        <w:rPr>
          <w:sz w:val="24"/>
        </w:rPr>
      </w:pP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是一种基于野生型疱疹病毒基因工程改造的溶瘤病毒，通过基因工程手段实现肿瘤特异性复制和免疫激活双重功能。</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的改造策略主要包括：</w:t>
      </w:r>
    </w:p>
    <w:p w14:paraId="7C46FE13">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删除ICP34.5基因，限制病毒在正常细胞中的复制能力</w:t>
      </w:r>
    </w:p>
    <w:p w14:paraId="51306170">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插入PD-1抗体基因，增强抗肿瘤免疫应答</w:t>
      </w:r>
    </w:p>
    <w:p w14:paraId="724AC77D">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插入IL-12基因，促进免疫细胞向肿瘤部位浸润</w:t>
      </w:r>
    </w:p>
    <w:p w14:paraId="287B9E91">
      <w:pPr>
        <w:pageBreakBefore w:val="0"/>
        <w:wordWrap/>
        <w:spacing w:before="160" w:after="0"/>
        <w:ind w:left="0" w:right="0"/>
        <w:jc w:val="left"/>
        <w:textAlignment w:val="auto"/>
        <w:rPr>
          <w:sz w:val="24"/>
        </w:rPr>
      </w:pPr>
      <w:r>
        <w:rPr>
          <w:rFonts w:ascii="宋体" w:hAnsi="宋体" w:eastAsia="宋体" w:cs="宋体"/>
          <w:b w:val="0"/>
          <w:i w:val="0"/>
          <w:spacing w:val="0"/>
          <w:sz w:val="24"/>
        </w:rPr>
        <w:t>这些基因改造使</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能够在肿瘤细胞内选择性复制并裂解肿瘤细胞，同时通过表达IL-12和PD-1抗体将"冷肿瘤"转化为"热肿瘤"，从而激活全身抗肿瘤免疫反应。</w:t>
      </w:r>
    </w:p>
    <w:p w14:paraId="05FB7440">
      <w:pPr>
        <w:pageBreakBefore w:val="0"/>
        <w:wordWrap/>
        <w:spacing w:before="160" w:after="0"/>
        <w:ind w:left="0" w:right="0"/>
        <w:jc w:val="left"/>
        <w:textAlignment w:val="auto"/>
        <w:rPr>
          <w:sz w:val="24"/>
        </w:rPr>
      </w:pPr>
      <w:r>
        <w:rPr>
          <w:rFonts w:ascii="宋体" w:hAnsi="宋体" w:eastAsia="宋体" w:cs="宋体"/>
          <w:b w:val="0"/>
          <w:i w:val="0"/>
          <w:spacing w:val="0"/>
          <w:sz w:val="24"/>
        </w:rPr>
        <w:t>前期I期临床试验（NCT05602792）结果表明，</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头颈部鳞癌患者中显示出良好的安全性特征和初步抗肿瘤活性。在单药治疗试验中，12例铂类化疗及抗PD-1/PD-L1治疗失败的头颈部鳞癌患者达到了25%的确认ORR和50%的DCR，且3名达到部分反应的患者观察到肿瘤浸润CD8阳性细胞密度显著增加。这些结果支持进一步开展II期临床试验，评估</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联合PD-1抗体在头颈部鳞癌患者中的治疗潜力。</w:t>
      </w:r>
    </w:p>
    <w:p w14:paraId="79463EC7">
      <w:pPr>
        <w:pStyle w:val="4"/>
        <w:bidi w:val="0"/>
      </w:pPr>
      <w:bookmarkStart w:id="14" w:name="_Toc724070745"/>
      <w:bookmarkStart w:id="15" w:name="_Toc1514782394"/>
      <w:r>
        <w:t>1.3 试验依据</w:t>
      </w:r>
      <w:bookmarkEnd w:id="14"/>
      <w:bookmarkEnd w:id="15"/>
    </w:p>
    <w:p w14:paraId="049B7228">
      <w:pPr>
        <w:pageBreakBefore w:val="0"/>
        <w:wordWrap/>
        <w:spacing w:before="160" w:after="0"/>
        <w:ind w:left="0" w:right="0"/>
        <w:jc w:val="left"/>
        <w:textAlignment w:val="auto"/>
        <w:rPr>
          <w:sz w:val="24"/>
        </w:rPr>
      </w:pPr>
      <w:r>
        <w:rPr>
          <w:rFonts w:ascii="宋体" w:hAnsi="宋体" w:eastAsia="宋体" w:cs="宋体"/>
          <w:b w:val="0"/>
          <w:i w:val="0"/>
          <w:spacing w:val="0"/>
          <w:sz w:val="24"/>
        </w:rPr>
        <w:t>本研究方案基于以下依据制定：</w:t>
      </w:r>
    </w:p>
    <w:p w14:paraId="3B6D730D">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《药物临床试验质量管理规范》（GCP，2020版）</w:t>
      </w:r>
    </w:p>
    <w:p w14:paraId="4F911E45">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《赫尔辛基宣言》（2013版）</w:t>
      </w:r>
    </w:p>
    <w:p w14:paraId="3C7D447E">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ICH-GCP（E6(R2)）</w:t>
      </w:r>
    </w:p>
    <w:p w14:paraId="3665C8D4">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《涉及人的生物医学研究伦理审查办法》（2016年版）</w:t>
      </w:r>
    </w:p>
    <w:p w14:paraId="7471636C">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中国临床肿瘤学会头颈肿瘤专家委员会最新指南</w:t>
      </w:r>
    </w:p>
    <w:p w14:paraId="7685F34E">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国际头颈癌研究的科学证据和临床需求</w:t>
      </w:r>
    </w:p>
    <w:p w14:paraId="407767E3">
      <w:pPr>
        <w:pStyle w:val="3"/>
        <w:bidi w:val="0"/>
      </w:pPr>
      <w:bookmarkStart w:id="16" w:name="_Toc1814667313"/>
      <w:bookmarkStart w:id="17" w:name="_Toc529060773"/>
      <w:r>
        <w:t>二、研究目的</w:t>
      </w:r>
      <w:bookmarkEnd w:id="16"/>
      <w:bookmarkEnd w:id="17"/>
    </w:p>
    <w:p w14:paraId="3154BE33">
      <w:pPr>
        <w:pStyle w:val="4"/>
        <w:bidi w:val="0"/>
      </w:pPr>
      <w:bookmarkStart w:id="18" w:name="_Toc550774897"/>
      <w:bookmarkStart w:id="19" w:name="_Toc1342113231"/>
      <w:r>
        <w:t>2.1 主要目的</w:t>
      </w:r>
      <w:bookmarkEnd w:id="18"/>
      <w:bookmarkEnd w:id="19"/>
    </w:p>
    <w:p w14:paraId="14E0DBC2">
      <w:pPr>
        <w:pageBreakBefore w:val="0"/>
        <w:wordWrap/>
        <w:spacing w:before="160" w:after="0"/>
        <w:ind w:left="0" w:right="0"/>
        <w:jc w:val="left"/>
        <w:textAlignment w:val="auto"/>
        <w:rPr>
          <w:sz w:val="24"/>
        </w:rPr>
      </w:pPr>
      <w:r>
        <w:rPr>
          <w:rFonts w:ascii="宋体" w:hAnsi="宋体" w:eastAsia="宋体" w:cs="宋体"/>
          <w:b w:val="0"/>
          <w:i w:val="0"/>
          <w:spacing w:val="0"/>
          <w:sz w:val="24"/>
        </w:rPr>
        <w:t>评估</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联合PD-1抗体治疗铂类化疗及免疫治疗失败的复发/转移性头颈部鳞癌患者的有效性，主要终点为客观缓解率（ORR）。</w:t>
      </w:r>
    </w:p>
    <w:p w14:paraId="60612B95">
      <w:pPr>
        <w:pStyle w:val="4"/>
        <w:bidi w:val="0"/>
      </w:pPr>
      <w:bookmarkStart w:id="20" w:name="_Toc1219175309"/>
      <w:bookmarkStart w:id="21" w:name="_Toc1876328976"/>
      <w:r>
        <w:t>2.2 次要目的</w:t>
      </w:r>
      <w:bookmarkEnd w:id="20"/>
      <w:bookmarkEnd w:id="21"/>
    </w:p>
    <w:p w14:paraId="296808DC">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评估</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联合PD-1抗体治疗的疾病控制率（DCR）、无进展生存期（PFS）和总生存期（OS）</w:t>
      </w:r>
    </w:p>
    <w:p w14:paraId="00100E5F">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评估</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联合PD-1抗体治疗的安全性和耐受性</w:t>
      </w:r>
    </w:p>
    <w:p w14:paraId="2B434B36">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探索HPV状态、PD-L1表达水平等生物标志物与治疗反应的相关性</w:t>
      </w:r>
    </w:p>
    <w:p w14:paraId="62DE34B3">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评估</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联合PD-1抗体治疗对患者生活质量的影响</w:t>
      </w:r>
    </w:p>
    <w:p w14:paraId="112E0AD0">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分析</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在肿瘤组织中的复制活性及其与治疗反应的关系</w:t>
      </w:r>
    </w:p>
    <w:p w14:paraId="277DAA61">
      <w:pPr>
        <w:pStyle w:val="3"/>
        <w:bidi w:val="0"/>
      </w:pPr>
      <w:bookmarkStart w:id="22" w:name="_Toc1537942336"/>
      <w:bookmarkStart w:id="23" w:name="_Toc1811227084"/>
      <w:r>
        <w:t>三、研究设计</w:t>
      </w:r>
      <w:bookmarkEnd w:id="22"/>
      <w:bookmarkEnd w:id="23"/>
    </w:p>
    <w:p w14:paraId="71A2CD6A">
      <w:pPr>
        <w:pStyle w:val="4"/>
        <w:bidi w:val="0"/>
      </w:pPr>
      <w:bookmarkStart w:id="24" w:name="_Toc1083665860"/>
      <w:bookmarkStart w:id="25" w:name="_Toc712904563"/>
      <w:r>
        <w:t>3.1 设计类型</w:t>
      </w:r>
      <w:bookmarkEnd w:id="24"/>
      <w:bookmarkEnd w:id="25"/>
    </w:p>
    <w:p w14:paraId="3D47E123">
      <w:pPr>
        <w:pageBreakBefore w:val="0"/>
        <w:wordWrap/>
        <w:spacing w:before="160" w:after="0"/>
        <w:ind w:left="0" w:right="0"/>
        <w:jc w:val="left"/>
        <w:textAlignment w:val="auto"/>
        <w:rPr>
          <w:sz w:val="24"/>
        </w:rPr>
      </w:pPr>
      <w:r>
        <w:rPr>
          <w:rFonts w:ascii="宋体" w:hAnsi="宋体" w:eastAsia="宋体" w:cs="宋体"/>
          <w:b w:val="0"/>
          <w:i w:val="0"/>
          <w:spacing w:val="0"/>
          <w:sz w:val="24"/>
        </w:rPr>
        <w:t>本研究为一项</w:t>
      </w:r>
      <w:r>
        <w:rPr>
          <w:rFonts w:ascii="宋体" w:hAnsi="宋体" w:eastAsia="宋体" w:cs="宋体"/>
          <w:b/>
          <w:i w:val="0"/>
          <w:spacing w:val="0"/>
          <w:sz w:val="24"/>
        </w:rPr>
        <w:t>多中心、随机、开放标签、平行对照的II期临床试验</w:t>
      </w:r>
      <w:r>
        <w:rPr>
          <w:rFonts w:ascii="宋体" w:hAnsi="宋体" w:eastAsia="宋体" w:cs="宋体"/>
          <w:b w:val="0"/>
          <w:i w:val="0"/>
          <w:spacing w:val="0"/>
          <w:sz w:val="24"/>
        </w:rPr>
        <w:t>。患者将按1:1随机分配至试验组或对照组。</w:t>
      </w:r>
    </w:p>
    <w:p w14:paraId="70A25169">
      <w:pPr>
        <w:pStyle w:val="4"/>
        <w:bidi w:val="0"/>
      </w:pPr>
      <w:bookmarkStart w:id="26" w:name="_Toc363298813"/>
      <w:bookmarkStart w:id="27" w:name="_Toc975723728"/>
      <w:r>
        <w:t>3.2 随机化与分层</w:t>
      </w:r>
      <w:bookmarkEnd w:id="26"/>
      <w:bookmarkEnd w:id="27"/>
    </w:p>
    <w:p w14:paraId="66A7EEF1">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随机化方法</w:t>
      </w:r>
      <w:r>
        <w:rPr>
          <w:rFonts w:ascii="宋体" w:hAnsi="宋体" w:eastAsia="宋体" w:cs="宋体"/>
          <w:b w:val="0"/>
          <w:i w:val="0"/>
          <w:spacing w:val="0"/>
          <w:sz w:val="24"/>
        </w:rPr>
        <w:t>：采用分层区组随机化方法，区组大小为4</w:t>
      </w:r>
    </w:p>
    <w:p w14:paraId="511EF48A">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分层因素</w:t>
      </w:r>
      <w:r>
        <w:rPr>
          <w:rFonts w:ascii="宋体" w:hAnsi="宋体" w:eastAsia="宋体" w:cs="宋体"/>
          <w:b w:val="0"/>
          <w:i w:val="0"/>
          <w:spacing w:val="0"/>
          <w:sz w:val="24"/>
        </w:rPr>
        <w:t>：</w:t>
      </w:r>
    </w:p>
    <w:p w14:paraId="476BE08C">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HPV状态（阳性/阴性）</w:t>
      </w:r>
    </w:p>
    <w:p w14:paraId="3028A76A">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PD-L1 CPS评分（≥1/&lt;1）</w:t>
      </w:r>
    </w:p>
    <w:p w14:paraId="6E4D1FEB">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肿瘤亚型（口咽癌/下咽癌/喉癌）</w:t>
      </w:r>
    </w:p>
    <w:p w14:paraId="6AD71D54">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ECOG体能状态评分（0/1）</w:t>
      </w:r>
    </w:p>
    <w:p w14:paraId="0C9A24CC">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随机化实施</w:t>
      </w:r>
      <w:r>
        <w:rPr>
          <w:rFonts w:ascii="宋体" w:hAnsi="宋体" w:eastAsia="宋体" w:cs="宋体"/>
          <w:b w:val="0"/>
          <w:i w:val="0"/>
          <w:spacing w:val="0"/>
          <w:sz w:val="24"/>
        </w:rPr>
        <w:t>：由独立统计单位使用SAS软件生成随机序列，并通过密封信封分配药物编号</w:t>
      </w:r>
    </w:p>
    <w:p w14:paraId="2EC310F6">
      <w:pPr>
        <w:pStyle w:val="4"/>
        <w:bidi w:val="0"/>
      </w:pPr>
      <w:bookmarkStart w:id="28" w:name="_Toc667141670"/>
      <w:bookmarkStart w:id="29" w:name="_Toc803568004"/>
      <w:r>
        <w:t>3.3 对照组设计</w:t>
      </w:r>
      <w:bookmarkEnd w:id="28"/>
      <w:bookmarkEnd w:id="29"/>
    </w:p>
    <w:p w14:paraId="367A1086">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试验组</w:t>
      </w:r>
      <w:r>
        <w:rPr>
          <w:rFonts w:ascii="宋体" w:hAnsi="宋体" w:eastAsia="宋体" w:cs="宋体"/>
          <w:b w:val="0"/>
          <w:i w:val="0"/>
          <w:spacing w:val="0"/>
          <w:sz w:val="24"/>
        </w:rPr>
        <w:t>：</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瘤内注射+特瑞普利单抗静脉输注</w:t>
      </w:r>
    </w:p>
    <w:p w14:paraId="780250C1">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对照组</w:t>
      </w:r>
      <w:r>
        <w:rPr>
          <w:rFonts w:ascii="宋体" w:hAnsi="宋体" w:eastAsia="宋体" w:cs="宋体"/>
          <w:b w:val="0"/>
          <w:i w:val="0"/>
          <w:spacing w:val="0"/>
          <w:sz w:val="24"/>
        </w:rPr>
        <w:t>：特瑞普利单抗静脉输注</w:t>
      </w:r>
    </w:p>
    <w:p w14:paraId="1AE74DB6">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试验组与对照组比例</w:t>
      </w:r>
      <w:r>
        <w:rPr>
          <w:rFonts w:ascii="宋体" w:hAnsi="宋体" w:eastAsia="宋体" w:cs="宋体"/>
          <w:b w:val="0"/>
          <w:i w:val="0"/>
          <w:spacing w:val="0"/>
          <w:sz w:val="24"/>
        </w:rPr>
        <w:t>：1:1</w:t>
      </w:r>
    </w:p>
    <w:p w14:paraId="1E0681DF">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盲法设计</w:t>
      </w:r>
      <w:r>
        <w:rPr>
          <w:rFonts w:ascii="宋体" w:hAnsi="宋体" w:eastAsia="宋体" w:cs="宋体"/>
          <w:b w:val="0"/>
          <w:i w:val="0"/>
          <w:spacing w:val="0"/>
          <w:sz w:val="24"/>
        </w:rPr>
        <w:t>：由于研究药物给药方式不同（试验组需瘤内注射，对照组为静脉输注），本研究采用</w:t>
      </w:r>
      <w:r>
        <w:rPr>
          <w:rFonts w:ascii="宋体" w:hAnsi="宋体" w:eastAsia="宋体" w:cs="宋体"/>
          <w:b/>
          <w:i w:val="0"/>
          <w:spacing w:val="0"/>
          <w:sz w:val="24"/>
        </w:rPr>
        <w:t>开放标签</w:t>
      </w:r>
      <w:r>
        <w:rPr>
          <w:rFonts w:ascii="宋体" w:hAnsi="宋体" w:eastAsia="宋体" w:cs="宋体"/>
          <w:b w:val="0"/>
          <w:i w:val="0"/>
          <w:spacing w:val="0"/>
          <w:sz w:val="24"/>
        </w:rPr>
        <w:t>设计，但设立独立影像评估委员会（BICR）对疗效进行盲法评估</w:t>
      </w:r>
    </w:p>
    <w:p w14:paraId="26DCEFD8">
      <w:pPr>
        <w:pStyle w:val="4"/>
        <w:bidi w:val="0"/>
      </w:pPr>
      <w:bookmarkStart w:id="30" w:name="_Toc637926703"/>
      <w:bookmarkStart w:id="31" w:name="_Toc42787245"/>
      <w:r>
        <w:t>3.4 治疗周期</w:t>
      </w:r>
      <w:bookmarkEnd w:id="30"/>
      <w:bookmarkEnd w:id="31"/>
    </w:p>
    <w:p w14:paraId="276412AF">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治疗期</w:t>
      </w:r>
      <w:r>
        <w:rPr>
          <w:rFonts w:ascii="宋体" w:hAnsi="宋体" w:eastAsia="宋体" w:cs="宋体"/>
          <w:b w:val="0"/>
          <w:i w:val="0"/>
          <w:spacing w:val="0"/>
          <w:sz w:val="24"/>
        </w:rPr>
        <w:t>：每2周一次，共6次（12周）</w:t>
      </w:r>
    </w:p>
    <w:p w14:paraId="59D425BA">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随访期</w:t>
      </w:r>
      <w:r>
        <w:rPr>
          <w:rFonts w:ascii="宋体" w:hAnsi="宋体" w:eastAsia="宋体" w:cs="宋体"/>
          <w:b w:val="0"/>
          <w:i w:val="0"/>
          <w:spacing w:val="0"/>
          <w:sz w:val="24"/>
        </w:rPr>
        <w:t>：从末次治疗后开始，随访至疾病进展或研究结束（最长24个月）</w:t>
      </w:r>
    </w:p>
    <w:p w14:paraId="4B8CD55A">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安全性随访期</w:t>
      </w:r>
      <w:r>
        <w:rPr>
          <w:rFonts w:ascii="宋体" w:hAnsi="宋体" w:eastAsia="宋体" w:cs="宋体"/>
          <w:b w:val="0"/>
          <w:i w:val="0"/>
          <w:spacing w:val="0"/>
          <w:sz w:val="24"/>
        </w:rPr>
        <w:t>：从首次给药开始，随访至研究结束后至少30天</w:t>
      </w:r>
    </w:p>
    <w:p w14:paraId="1789C5EF">
      <w:pPr>
        <w:pStyle w:val="3"/>
        <w:bidi w:val="0"/>
      </w:pPr>
      <w:bookmarkStart w:id="32" w:name="_Toc1395731497"/>
      <w:bookmarkStart w:id="33" w:name="_Toc1865688617"/>
      <w:r>
        <w:t>四、受试者选择</w:t>
      </w:r>
      <w:bookmarkEnd w:id="32"/>
      <w:bookmarkEnd w:id="33"/>
    </w:p>
    <w:p w14:paraId="65EBD4CA">
      <w:pPr>
        <w:pStyle w:val="4"/>
        <w:bidi w:val="0"/>
      </w:pPr>
      <w:bookmarkStart w:id="34" w:name="_Toc1095393898"/>
      <w:bookmarkStart w:id="35" w:name="_Toc1219856072"/>
      <w:r>
        <w:t>4.1 纳入标准</w:t>
      </w:r>
      <w:bookmarkEnd w:id="34"/>
      <w:bookmarkEnd w:id="35"/>
    </w:p>
    <w:p w14:paraId="20B8A9C7">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人口学特征</w:t>
      </w:r>
      <w:r>
        <w:rPr>
          <w:rFonts w:ascii="宋体" w:hAnsi="宋体" w:eastAsia="宋体" w:cs="宋体"/>
          <w:b w:val="0"/>
          <w:i w:val="0"/>
          <w:spacing w:val="0"/>
          <w:sz w:val="24"/>
        </w:rPr>
        <w:t>：</w:t>
      </w:r>
    </w:p>
    <w:p w14:paraId="575B7F31">
      <w:pPr>
        <w:pageBreakBefore w:val="0"/>
        <w:numPr>
          <w:ilvl w:val="1"/>
          <w:numId w:val="9"/>
        </w:numPr>
        <w:wordWrap/>
        <w:spacing w:before="160" w:after="0"/>
        <w:ind w:left="880" w:right="0" w:hanging="440"/>
        <w:jc w:val="left"/>
        <w:textAlignment w:val="auto"/>
        <w:rPr>
          <w:sz w:val="24"/>
        </w:rPr>
      </w:pPr>
      <w:r>
        <w:rPr>
          <w:rFonts w:ascii="宋体" w:hAnsi="宋体" w:eastAsia="宋体" w:cs="宋体"/>
          <w:b w:val="0"/>
          <w:i w:val="0"/>
          <w:spacing w:val="0"/>
          <w:sz w:val="24"/>
        </w:rPr>
        <w:t>年龄≥18岁</w:t>
      </w:r>
    </w:p>
    <w:p w14:paraId="08D9E45E">
      <w:pPr>
        <w:pageBreakBefore w:val="0"/>
        <w:numPr>
          <w:ilvl w:val="1"/>
          <w:numId w:val="9"/>
        </w:numPr>
        <w:wordWrap/>
        <w:spacing w:before="160" w:after="0"/>
        <w:ind w:left="880" w:right="0" w:hanging="440"/>
        <w:jc w:val="left"/>
        <w:textAlignment w:val="auto"/>
        <w:rPr>
          <w:sz w:val="24"/>
        </w:rPr>
      </w:pPr>
      <w:r>
        <w:rPr>
          <w:rFonts w:ascii="宋体" w:hAnsi="宋体" w:eastAsia="宋体" w:cs="宋体"/>
          <w:b w:val="0"/>
          <w:i w:val="0"/>
          <w:spacing w:val="0"/>
          <w:sz w:val="24"/>
        </w:rPr>
        <w:t>性别不限</w:t>
      </w:r>
    </w:p>
    <w:p w14:paraId="695C1081">
      <w:pPr>
        <w:pageBreakBefore w:val="0"/>
        <w:numPr>
          <w:ilvl w:val="1"/>
          <w:numId w:val="9"/>
        </w:numPr>
        <w:wordWrap/>
        <w:spacing w:before="160" w:after="0"/>
        <w:ind w:left="880" w:right="0" w:hanging="440"/>
        <w:jc w:val="left"/>
        <w:textAlignment w:val="auto"/>
        <w:rPr>
          <w:sz w:val="24"/>
        </w:rPr>
      </w:pPr>
      <w:r>
        <w:rPr>
          <w:rFonts w:ascii="宋体" w:hAnsi="宋体" w:eastAsia="宋体" w:cs="宋体"/>
          <w:b w:val="0"/>
          <w:i w:val="0"/>
          <w:spacing w:val="0"/>
          <w:sz w:val="24"/>
        </w:rPr>
        <w:t>签署书面知情同意书</w:t>
      </w:r>
    </w:p>
    <w:p w14:paraId="02D7E090">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疾病特征</w:t>
      </w:r>
      <w:r>
        <w:rPr>
          <w:rFonts w:ascii="宋体" w:hAnsi="宋体" w:eastAsia="宋体" w:cs="宋体"/>
          <w:b w:val="0"/>
          <w:i w:val="0"/>
          <w:spacing w:val="0"/>
          <w:sz w:val="24"/>
        </w:rPr>
        <w:t>：</w:t>
      </w:r>
    </w:p>
    <w:p w14:paraId="592EC411">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组织学或细胞学确诊的复发/转移性头颈部鳞癌（R/M HNSCC）</w:t>
      </w:r>
    </w:p>
    <w:p w14:paraId="7C9ABFD9">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至少接受过含铂类药物的系统化疗，且在化疗后出现疾病进展</w:t>
      </w:r>
    </w:p>
    <w:p w14:paraId="276666F5">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至少接受过单药抗PD-1/PD-L1抗体或联合抗PD-1/PD-L1抗体治疗，且在治疗后出现疾病进展</w:t>
      </w:r>
    </w:p>
    <w:p w14:paraId="0023459B">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根据RECIST 1.1标准，至少有一个可测量的病灶（最长径≥10mm）</w:t>
      </w:r>
    </w:p>
    <w:p w14:paraId="39A14381">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具有至少一个可注射的病灶（最长径≥10mm或多个可注射病灶的最长径总和≥10mm）</w:t>
      </w:r>
    </w:p>
    <w:p w14:paraId="212BC2FE">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ECOG体能状态评分0-1分</w:t>
      </w:r>
    </w:p>
    <w:p w14:paraId="7F1AD2E1">
      <w:pPr>
        <w:pageBreakBefore w:val="0"/>
        <w:numPr>
          <w:ilvl w:val="1"/>
          <w:numId w:val="10"/>
        </w:numPr>
        <w:wordWrap/>
        <w:spacing w:before="160" w:after="0"/>
        <w:ind w:left="880" w:right="0" w:hanging="440"/>
        <w:jc w:val="left"/>
        <w:textAlignment w:val="auto"/>
        <w:rPr>
          <w:sz w:val="24"/>
        </w:rPr>
      </w:pPr>
      <w:r>
        <w:rPr>
          <w:rFonts w:ascii="宋体" w:hAnsi="宋体" w:eastAsia="宋体" w:cs="宋体"/>
          <w:b w:val="0"/>
          <w:i w:val="0"/>
          <w:spacing w:val="0"/>
          <w:sz w:val="24"/>
        </w:rPr>
        <w:t>预期生存期≥3个月</w:t>
      </w:r>
    </w:p>
    <w:p w14:paraId="41EE36F2">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实验室检查标准</w:t>
      </w:r>
      <w:r>
        <w:rPr>
          <w:rFonts w:ascii="宋体" w:hAnsi="宋体" w:eastAsia="宋体" w:cs="宋体"/>
          <w:b w:val="0"/>
          <w:i w:val="0"/>
          <w:spacing w:val="0"/>
          <w:sz w:val="24"/>
        </w:rPr>
        <w:t>：</w:t>
      </w:r>
    </w:p>
    <w:p w14:paraId="1D6CEC7E">
      <w:pPr>
        <w:pageBreakBefore w:val="0"/>
        <w:numPr>
          <w:ilvl w:val="1"/>
          <w:numId w:val="11"/>
        </w:numPr>
        <w:wordWrap/>
        <w:spacing w:before="160" w:after="0"/>
        <w:ind w:left="880" w:right="0" w:hanging="440"/>
        <w:jc w:val="left"/>
        <w:textAlignment w:val="auto"/>
        <w:rPr>
          <w:sz w:val="24"/>
        </w:rPr>
      </w:pPr>
      <w:r>
        <w:rPr>
          <w:rFonts w:ascii="宋体" w:hAnsi="宋体" w:eastAsia="宋体" w:cs="宋体"/>
          <w:b w:val="0"/>
          <w:i w:val="0"/>
          <w:spacing w:val="0"/>
          <w:sz w:val="24"/>
        </w:rPr>
        <w:t>血常规：血红蛋白≥90g/L，中性粒细胞计数&gt;1.5×10^9/L，血小板计数≥80×10^9/L（近14天内无输血）</w:t>
      </w:r>
    </w:p>
    <w:p w14:paraId="665F54EE">
      <w:pPr>
        <w:pageBreakBefore w:val="0"/>
        <w:numPr>
          <w:ilvl w:val="1"/>
          <w:numId w:val="11"/>
        </w:numPr>
        <w:wordWrap/>
        <w:spacing w:before="160" w:after="0"/>
        <w:ind w:left="880" w:right="0" w:hanging="440"/>
        <w:jc w:val="left"/>
        <w:textAlignment w:val="auto"/>
        <w:rPr>
          <w:sz w:val="24"/>
        </w:rPr>
      </w:pPr>
      <w:r>
        <w:rPr>
          <w:rFonts w:ascii="宋体" w:hAnsi="宋体" w:eastAsia="宋体" w:cs="宋体"/>
          <w:b w:val="0"/>
          <w:i w:val="0"/>
          <w:spacing w:val="0"/>
          <w:sz w:val="24"/>
        </w:rPr>
        <w:t>肝功能：总胆红素≤1.5×ULN，ALT或AST≤2.5×ULN（如有肝转移，ALT或AST≤5×ULN）</w:t>
      </w:r>
    </w:p>
    <w:p w14:paraId="16E50950">
      <w:pPr>
        <w:pageBreakBefore w:val="0"/>
        <w:numPr>
          <w:ilvl w:val="1"/>
          <w:numId w:val="11"/>
        </w:numPr>
        <w:wordWrap/>
        <w:spacing w:before="160" w:after="0"/>
        <w:ind w:left="880" w:right="0" w:hanging="440"/>
        <w:jc w:val="left"/>
        <w:textAlignment w:val="auto"/>
        <w:rPr>
          <w:sz w:val="24"/>
        </w:rPr>
      </w:pPr>
      <w:r>
        <w:rPr>
          <w:rFonts w:ascii="宋体" w:hAnsi="宋体" w:eastAsia="宋体" w:cs="宋体"/>
          <w:b w:val="0"/>
          <w:i w:val="0"/>
          <w:spacing w:val="0"/>
          <w:sz w:val="24"/>
        </w:rPr>
        <w:t>肾功能：估算肾小球滤过率（eGFR）≥60ml/min（Cockcroft-Gault公式）</w:t>
      </w:r>
    </w:p>
    <w:p w14:paraId="56FFE014">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其他标准</w:t>
      </w:r>
      <w:r>
        <w:rPr>
          <w:rFonts w:ascii="宋体" w:hAnsi="宋体" w:eastAsia="宋体" w:cs="宋体"/>
          <w:b w:val="0"/>
          <w:i w:val="0"/>
          <w:spacing w:val="0"/>
          <w:sz w:val="24"/>
        </w:rPr>
        <w:t>：</w:t>
      </w:r>
    </w:p>
    <w:p w14:paraId="77486B8D">
      <w:pPr>
        <w:pageBreakBefore w:val="0"/>
        <w:numPr>
          <w:ilvl w:val="1"/>
          <w:numId w:val="12"/>
        </w:numPr>
        <w:wordWrap/>
        <w:spacing w:before="160" w:after="0"/>
        <w:ind w:left="880" w:right="0" w:hanging="440"/>
        <w:jc w:val="left"/>
        <w:textAlignment w:val="auto"/>
        <w:rPr>
          <w:sz w:val="24"/>
        </w:rPr>
      </w:pPr>
      <w:r>
        <w:rPr>
          <w:rFonts w:ascii="宋体" w:hAnsi="宋体" w:eastAsia="宋体" w:cs="宋体"/>
          <w:b w:val="0"/>
          <w:i w:val="0"/>
          <w:spacing w:val="0"/>
          <w:sz w:val="24"/>
        </w:rPr>
        <w:t>能够提供足够的肿瘤组织进行HPV检测和PD-L1表达分析</w:t>
      </w:r>
    </w:p>
    <w:p w14:paraId="14B9C69D">
      <w:pPr>
        <w:pageBreakBefore w:val="0"/>
        <w:numPr>
          <w:ilvl w:val="1"/>
          <w:numId w:val="12"/>
        </w:numPr>
        <w:wordWrap/>
        <w:spacing w:before="160" w:after="0"/>
        <w:ind w:left="880" w:right="0" w:hanging="440"/>
        <w:jc w:val="left"/>
        <w:textAlignment w:val="auto"/>
        <w:rPr>
          <w:sz w:val="24"/>
        </w:rPr>
      </w:pPr>
      <w:r>
        <w:rPr>
          <w:rFonts w:ascii="宋体" w:hAnsi="宋体" w:eastAsia="宋体" w:cs="宋体"/>
          <w:b w:val="0"/>
          <w:i w:val="0"/>
          <w:spacing w:val="0"/>
          <w:sz w:val="24"/>
        </w:rPr>
        <w:t>既往治疗相关的毒性已恢复至≤1级（根据CTCAE 5.0标准）</w:t>
      </w:r>
    </w:p>
    <w:p w14:paraId="59770328">
      <w:pPr>
        <w:pageBreakBefore w:val="0"/>
        <w:numPr>
          <w:ilvl w:val="1"/>
          <w:numId w:val="12"/>
        </w:numPr>
        <w:wordWrap/>
        <w:spacing w:before="160" w:after="0"/>
        <w:ind w:left="880" w:right="0" w:hanging="440"/>
        <w:jc w:val="left"/>
        <w:textAlignment w:val="auto"/>
        <w:rPr>
          <w:sz w:val="24"/>
        </w:rPr>
      </w:pPr>
      <w:r>
        <w:rPr>
          <w:rFonts w:ascii="宋体" w:hAnsi="宋体" w:eastAsia="宋体" w:cs="宋体"/>
          <w:b w:val="0"/>
          <w:i w:val="0"/>
          <w:spacing w:val="0"/>
          <w:sz w:val="24"/>
        </w:rPr>
        <w:t>能够理解和遵守研究程序</w:t>
      </w:r>
    </w:p>
    <w:p w14:paraId="5DEB69D9">
      <w:pPr>
        <w:pStyle w:val="4"/>
        <w:bidi w:val="0"/>
      </w:pPr>
      <w:bookmarkStart w:id="36" w:name="_Toc2055421602"/>
      <w:bookmarkStart w:id="37" w:name="_Toc94624195"/>
      <w:r>
        <w:t>4.2 排除标准</w:t>
      </w:r>
      <w:bookmarkEnd w:id="36"/>
      <w:bookmarkEnd w:id="37"/>
    </w:p>
    <w:p w14:paraId="427B64A8">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疾病相关排除</w:t>
      </w:r>
      <w:r>
        <w:rPr>
          <w:rFonts w:ascii="宋体" w:hAnsi="宋体" w:eastAsia="宋体" w:cs="宋体"/>
          <w:b w:val="0"/>
          <w:i w:val="0"/>
          <w:spacing w:val="0"/>
          <w:sz w:val="24"/>
        </w:rPr>
        <w:t>：</w:t>
      </w:r>
    </w:p>
    <w:p w14:paraId="20EAEDD1">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合并其他恶性肿瘤（除已治愈的皮肤基底细胞癌、宫颈原位癌或前列腺癌Gleason评分≤6）</w:t>
      </w:r>
    </w:p>
    <w:p w14:paraId="12B39BFA">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既往接受过溶瘤病毒治疗</w:t>
      </w:r>
    </w:p>
    <w:p w14:paraId="60ABD691">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存在未控制的活动性感染（如活动性肺结核、HIV抗体阳性、HBsAg阳性、HBeAg阳性、HCV抗体阳性）</w:t>
      </w:r>
    </w:p>
    <w:p w14:paraId="40DADE3A">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有中枢神经系统转移（除非经治疗稳定且无症状至少3个月）</w:t>
      </w:r>
    </w:p>
    <w:p w14:paraId="436989AA">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存在自身免疫性疾病或需要全身使用免疫抑制剂的情况</w:t>
      </w:r>
    </w:p>
    <w:p w14:paraId="1BB2C1F4">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治疗相关排除</w:t>
      </w:r>
      <w:r>
        <w:rPr>
          <w:rFonts w:ascii="宋体" w:hAnsi="宋体" w:eastAsia="宋体" w:cs="宋体"/>
          <w:b w:val="0"/>
          <w:i w:val="0"/>
          <w:spacing w:val="0"/>
          <w:sz w:val="24"/>
        </w:rPr>
        <w:t>：</w:t>
      </w:r>
    </w:p>
    <w:p w14:paraId="58306FE6">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在筛选前4周内接受过其他抗肿瘤治疗（包括化疗、放疗、靶向治疗、免疫治疗或中药治疗）</w:t>
      </w:r>
    </w:p>
    <w:p w14:paraId="4738C985">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在筛选前4周内接受过任何其他临床试验药物</w:t>
      </w:r>
    </w:p>
    <w:p w14:paraId="23207A4E">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在筛选前2周内接受过皮质类固醇（&gt;20mg/天泼尼松或等效剂量）或其他免疫抑制药物全身治疗</w:t>
      </w:r>
    </w:p>
    <w:p w14:paraId="3657760C">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在筛选前1个月内接受过大手术</w:t>
      </w:r>
    </w:p>
    <w:p w14:paraId="518746E9">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有脾切除史或器官移植史</w:t>
      </w:r>
    </w:p>
    <w:p w14:paraId="5834D314">
      <w:pPr>
        <w:pageBreakBefore w:val="0"/>
        <w:numPr>
          <w:ilvl w:val="1"/>
          <w:numId w:val="15"/>
        </w:numPr>
        <w:wordWrap/>
        <w:spacing w:before="160" w:after="0"/>
        <w:ind w:left="880" w:right="0" w:hanging="440"/>
        <w:jc w:val="left"/>
        <w:textAlignment w:val="auto"/>
        <w:rPr>
          <w:sz w:val="24"/>
        </w:rPr>
      </w:pPr>
      <w:r>
        <w:rPr>
          <w:rFonts w:ascii="宋体" w:hAnsi="宋体" w:eastAsia="宋体" w:cs="宋体"/>
          <w:b w:val="0"/>
          <w:i w:val="0"/>
          <w:spacing w:val="0"/>
          <w:sz w:val="24"/>
        </w:rPr>
        <w:t>需要在研究期间使用抗疱疹病毒药物（如阿昔洛韦、泛昔洛韦等全身治疗）</w:t>
      </w:r>
    </w:p>
    <w:p w14:paraId="268E8557">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其他排除</w:t>
      </w:r>
      <w:r>
        <w:rPr>
          <w:rFonts w:ascii="宋体" w:hAnsi="宋体" w:eastAsia="宋体" w:cs="宋体"/>
          <w:b w:val="0"/>
          <w:i w:val="0"/>
          <w:spacing w:val="0"/>
          <w:sz w:val="24"/>
        </w:rPr>
        <w:t>：</w:t>
      </w:r>
    </w:p>
    <w:p w14:paraId="00F4B87F">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妊娠或哺乳期妇女</w:t>
      </w:r>
    </w:p>
    <w:p w14:paraId="6176914E">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有生育能力的女性或男性患者拒绝在研究期间采取有效避孕措施</w:t>
      </w:r>
    </w:p>
    <w:p w14:paraId="1C3C3923">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存在严重心、肝、肾功能不全或其他可能影响研究药物代谢的疾病</w:t>
      </w:r>
    </w:p>
    <w:p w14:paraId="63F74062">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研究者判断患者不适合参加本试验</w:t>
      </w:r>
    </w:p>
    <w:p w14:paraId="6DB50EF2">
      <w:pPr>
        <w:pStyle w:val="4"/>
        <w:bidi w:val="0"/>
      </w:pPr>
      <w:bookmarkStart w:id="38" w:name="_Toc1048919172"/>
      <w:bookmarkStart w:id="39" w:name="_Toc1210946585"/>
      <w:r>
        <w:t>4.3 受试者分层</w:t>
      </w:r>
      <w:bookmarkEnd w:id="38"/>
      <w:bookmarkEnd w:id="39"/>
    </w:p>
    <w:p w14:paraId="3244648D">
      <w:pPr>
        <w:pageBreakBefore w:val="0"/>
        <w:wordWrap/>
        <w:spacing w:before="160" w:after="0"/>
        <w:ind w:left="0" w:right="0"/>
        <w:jc w:val="left"/>
        <w:textAlignment w:val="auto"/>
        <w:rPr>
          <w:sz w:val="24"/>
        </w:rPr>
      </w:pPr>
      <w:r>
        <w:rPr>
          <w:rFonts w:ascii="宋体" w:hAnsi="宋体" w:eastAsia="宋体" w:cs="宋体"/>
          <w:b w:val="0"/>
          <w:i w:val="0"/>
          <w:spacing w:val="0"/>
          <w:sz w:val="24"/>
        </w:rPr>
        <w:t>根据纳入标准中的HPV状态、PD-L1 CPS评分、肿瘤亚型和ECOG评分进行分层，以确保各组间基线特征的均衡性。</w:t>
      </w:r>
    </w:p>
    <w:p w14:paraId="41E40802">
      <w:pPr>
        <w:pStyle w:val="3"/>
        <w:bidi w:val="0"/>
      </w:pPr>
      <w:bookmarkStart w:id="40" w:name="_Toc491265581"/>
      <w:bookmarkStart w:id="41" w:name="_Toc676731476"/>
      <w:r>
        <w:t>五、干预措施</w:t>
      </w:r>
      <w:bookmarkEnd w:id="40"/>
      <w:bookmarkEnd w:id="41"/>
    </w:p>
    <w:p w14:paraId="46F839C4">
      <w:pPr>
        <w:pStyle w:val="4"/>
        <w:bidi w:val="0"/>
      </w:pPr>
      <w:bookmarkStart w:id="42" w:name="_Toc1773480799"/>
      <w:bookmarkStart w:id="43" w:name="_Toc752522620"/>
      <w:r>
        <w:t>5.1 试验组方案</w:t>
      </w:r>
      <w:bookmarkEnd w:id="42"/>
      <w:bookmarkEnd w:id="43"/>
    </w:p>
    <w:p w14:paraId="2AEBE74E">
      <w:pPr>
        <w:pageBreakBefore w:val="0"/>
        <w:numPr>
          <w:ilvl w:val="0"/>
          <w:numId w:val="17"/>
        </w:numPr>
        <w:wordWrap/>
        <w:spacing w:before="160" w:after="0"/>
        <w:ind w:left="440" w:right="0" w:hanging="440"/>
        <w:jc w:val="left"/>
        <w:textAlignment w:val="auto"/>
        <w:rPr>
          <w:sz w:val="24"/>
        </w:rPr>
      </w:pPr>
      <w:r>
        <w:rPr>
          <w:rFonts w:hint="eastAsia" w:ascii="宋体" w:hAnsi="宋体" w:eastAsia="宋体" w:cs="宋体"/>
          <w:b/>
          <w:i w:val="0"/>
          <w:spacing w:val="0"/>
          <w:sz w:val="24"/>
          <w:lang w:eastAsia="zh-CN"/>
        </w:rPr>
        <w:t>AAA-001</w:t>
      </w:r>
      <w:r>
        <w:rPr>
          <w:rFonts w:ascii="宋体" w:hAnsi="宋体" w:eastAsia="宋体" w:cs="宋体"/>
          <w:b/>
          <w:i w:val="0"/>
          <w:spacing w:val="0"/>
          <w:sz w:val="24"/>
        </w:rPr>
        <w:t>瘤内注射</w:t>
      </w:r>
      <w:r>
        <w:rPr>
          <w:rFonts w:ascii="宋体" w:hAnsi="宋体" w:eastAsia="宋体" w:cs="宋体"/>
          <w:b w:val="0"/>
          <w:i w:val="0"/>
          <w:spacing w:val="0"/>
          <w:sz w:val="24"/>
        </w:rPr>
        <w:t>：</w:t>
      </w:r>
    </w:p>
    <w:p w14:paraId="014F3CE7">
      <w:pPr>
        <w:pageBreakBefore w:val="0"/>
        <w:numPr>
          <w:ilvl w:val="1"/>
          <w:numId w:val="18"/>
        </w:numPr>
        <w:wordWrap/>
        <w:spacing w:before="160" w:after="0"/>
        <w:ind w:left="880" w:right="0" w:hanging="440"/>
        <w:jc w:val="left"/>
        <w:textAlignment w:val="auto"/>
        <w:rPr>
          <w:sz w:val="24"/>
        </w:rPr>
      </w:pPr>
      <w:r>
        <w:rPr>
          <w:rFonts w:ascii="宋体" w:hAnsi="宋体" w:eastAsia="宋体" w:cs="宋体"/>
          <w:b/>
          <w:i w:val="0"/>
          <w:spacing w:val="0"/>
          <w:sz w:val="24"/>
        </w:rPr>
        <w:t>剂量</w:t>
      </w:r>
      <w:r>
        <w:rPr>
          <w:rFonts w:ascii="宋体" w:hAnsi="宋体" w:eastAsia="宋体" w:cs="宋体"/>
          <w:b w:val="0"/>
          <w:i w:val="0"/>
          <w:spacing w:val="0"/>
          <w:sz w:val="24"/>
        </w:rPr>
        <w:t>：1×10^8 PFU/瘤，单次总剂量不超过1×10^10 PFU</w:t>
      </w:r>
    </w:p>
    <w:p w14:paraId="08CA9106">
      <w:pPr>
        <w:pageBreakBefore w:val="0"/>
        <w:numPr>
          <w:ilvl w:val="1"/>
          <w:numId w:val="18"/>
        </w:numPr>
        <w:wordWrap/>
        <w:spacing w:before="160" w:after="0"/>
        <w:ind w:left="880" w:right="0" w:hanging="440"/>
        <w:jc w:val="left"/>
        <w:textAlignment w:val="auto"/>
        <w:rPr>
          <w:sz w:val="24"/>
        </w:rPr>
      </w:pPr>
      <w:r>
        <w:rPr>
          <w:rFonts w:ascii="宋体" w:hAnsi="宋体" w:eastAsia="宋体" w:cs="宋体"/>
          <w:b/>
          <w:i w:val="0"/>
          <w:spacing w:val="0"/>
          <w:sz w:val="24"/>
        </w:rPr>
        <w:t>给药频率</w:t>
      </w:r>
      <w:r>
        <w:rPr>
          <w:rFonts w:ascii="宋体" w:hAnsi="宋体" w:eastAsia="宋体" w:cs="宋体"/>
          <w:b w:val="0"/>
          <w:i w:val="0"/>
          <w:spacing w:val="0"/>
          <w:sz w:val="24"/>
        </w:rPr>
        <w:t>：每2周一次，共6次（12周）</w:t>
      </w:r>
    </w:p>
    <w:p w14:paraId="4950A5EB">
      <w:pPr>
        <w:pageBreakBefore w:val="0"/>
        <w:numPr>
          <w:ilvl w:val="1"/>
          <w:numId w:val="18"/>
        </w:numPr>
        <w:wordWrap/>
        <w:spacing w:before="160" w:after="0"/>
        <w:ind w:left="880" w:right="0" w:hanging="440"/>
        <w:jc w:val="left"/>
        <w:textAlignment w:val="auto"/>
        <w:rPr>
          <w:sz w:val="24"/>
        </w:rPr>
      </w:pPr>
      <w:r>
        <w:rPr>
          <w:rFonts w:ascii="宋体" w:hAnsi="宋体" w:eastAsia="宋体" w:cs="宋体"/>
          <w:b/>
          <w:i w:val="0"/>
          <w:spacing w:val="0"/>
          <w:sz w:val="24"/>
        </w:rPr>
        <w:t>给药方式</w:t>
      </w:r>
      <w:r>
        <w:rPr>
          <w:rFonts w:ascii="宋体" w:hAnsi="宋体" w:eastAsia="宋体" w:cs="宋体"/>
          <w:b w:val="0"/>
          <w:i w:val="0"/>
          <w:spacing w:val="0"/>
          <w:sz w:val="24"/>
        </w:rPr>
        <w:t>：在超声引导下进行肿瘤内注射，由专门培训的肿瘤科医生操作</w:t>
      </w:r>
    </w:p>
    <w:p w14:paraId="304E1476">
      <w:pPr>
        <w:pageBreakBefore w:val="0"/>
        <w:numPr>
          <w:ilvl w:val="1"/>
          <w:numId w:val="18"/>
        </w:numPr>
        <w:wordWrap/>
        <w:spacing w:before="160" w:after="0"/>
        <w:ind w:left="880" w:right="0" w:hanging="440"/>
        <w:jc w:val="left"/>
        <w:textAlignment w:val="auto"/>
        <w:rPr>
          <w:sz w:val="24"/>
        </w:rPr>
      </w:pPr>
      <w:r>
        <w:rPr>
          <w:rFonts w:ascii="宋体" w:hAnsi="宋体" w:eastAsia="宋体" w:cs="宋体"/>
          <w:b/>
          <w:i w:val="0"/>
          <w:spacing w:val="0"/>
          <w:sz w:val="24"/>
        </w:rPr>
        <w:t>给药前准备</w:t>
      </w:r>
      <w:r>
        <w:rPr>
          <w:rFonts w:ascii="宋体" w:hAnsi="宋体" w:eastAsia="宋体" w:cs="宋体"/>
          <w:b w:val="0"/>
          <w:i w:val="0"/>
          <w:spacing w:val="0"/>
          <w:sz w:val="24"/>
        </w:rPr>
        <w:t>：</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在使用前需在无菌条件下复溶，确保注射体积适中（通常≤5ml/瘤）</w:t>
      </w:r>
    </w:p>
    <w:p w14:paraId="431F2B86">
      <w:pPr>
        <w:pageBreakBefore w:val="0"/>
        <w:numPr>
          <w:ilvl w:val="1"/>
          <w:numId w:val="18"/>
        </w:numPr>
        <w:wordWrap/>
        <w:spacing w:before="160" w:after="0"/>
        <w:ind w:left="880" w:right="0" w:hanging="440"/>
        <w:jc w:val="left"/>
        <w:textAlignment w:val="auto"/>
        <w:rPr>
          <w:sz w:val="24"/>
        </w:rPr>
      </w:pPr>
      <w:r>
        <w:rPr>
          <w:rFonts w:ascii="宋体" w:hAnsi="宋体" w:eastAsia="宋体" w:cs="宋体"/>
          <w:b/>
          <w:i w:val="0"/>
          <w:spacing w:val="0"/>
          <w:sz w:val="24"/>
        </w:rPr>
        <w:t>储存条件</w:t>
      </w:r>
      <w:r>
        <w:rPr>
          <w:rFonts w:ascii="宋体" w:hAnsi="宋体" w:eastAsia="宋体" w:cs="宋体"/>
          <w:b w:val="0"/>
          <w:i w:val="0"/>
          <w:spacing w:val="0"/>
          <w:sz w:val="24"/>
        </w:rPr>
        <w:t>：</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需在-80℃条件下储存，运输需使用干冰</w:t>
      </w:r>
    </w:p>
    <w:p w14:paraId="17F6012D">
      <w:pPr>
        <w:pageBreakBefore w:val="0"/>
        <w:numPr>
          <w:ilvl w:val="0"/>
          <w:numId w:val="17"/>
        </w:numPr>
        <w:wordWrap/>
        <w:spacing w:before="160" w:after="0"/>
        <w:ind w:left="440" w:right="0" w:hanging="440"/>
        <w:jc w:val="left"/>
        <w:textAlignment w:val="auto"/>
        <w:rPr>
          <w:sz w:val="24"/>
        </w:rPr>
      </w:pPr>
      <w:r>
        <w:rPr>
          <w:rFonts w:ascii="宋体" w:hAnsi="宋体" w:eastAsia="宋体" w:cs="宋体"/>
          <w:b/>
          <w:i w:val="0"/>
          <w:spacing w:val="0"/>
          <w:sz w:val="24"/>
        </w:rPr>
        <w:t>特瑞普利单抗静脉输注</w:t>
      </w:r>
      <w:r>
        <w:rPr>
          <w:rFonts w:ascii="宋体" w:hAnsi="宋体" w:eastAsia="宋体" w:cs="宋体"/>
          <w:b w:val="0"/>
          <w:i w:val="0"/>
          <w:spacing w:val="0"/>
          <w:sz w:val="24"/>
        </w:rPr>
        <w:t>：</w:t>
      </w:r>
    </w:p>
    <w:p w14:paraId="15DFCDEF">
      <w:pPr>
        <w:pageBreakBefore w:val="0"/>
        <w:numPr>
          <w:ilvl w:val="1"/>
          <w:numId w:val="19"/>
        </w:numPr>
        <w:wordWrap/>
        <w:spacing w:before="160" w:after="0"/>
        <w:ind w:left="880" w:right="0" w:hanging="440"/>
        <w:jc w:val="left"/>
        <w:textAlignment w:val="auto"/>
        <w:rPr>
          <w:sz w:val="24"/>
        </w:rPr>
      </w:pPr>
      <w:r>
        <w:rPr>
          <w:rFonts w:ascii="宋体" w:hAnsi="宋体" w:eastAsia="宋体" w:cs="宋体"/>
          <w:b/>
          <w:i w:val="0"/>
          <w:spacing w:val="0"/>
          <w:sz w:val="24"/>
        </w:rPr>
        <w:t>剂量</w:t>
      </w:r>
      <w:r>
        <w:rPr>
          <w:rFonts w:ascii="宋体" w:hAnsi="宋体" w:eastAsia="宋体" w:cs="宋体"/>
          <w:b w:val="0"/>
          <w:i w:val="0"/>
          <w:spacing w:val="0"/>
          <w:sz w:val="24"/>
        </w:rPr>
        <w:t>：240mg，静脉输注</w:t>
      </w:r>
    </w:p>
    <w:p w14:paraId="493F6B2F">
      <w:pPr>
        <w:pageBreakBefore w:val="0"/>
        <w:numPr>
          <w:ilvl w:val="1"/>
          <w:numId w:val="19"/>
        </w:numPr>
        <w:wordWrap/>
        <w:spacing w:before="160" w:after="0"/>
        <w:ind w:left="880" w:right="0" w:hanging="440"/>
        <w:jc w:val="left"/>
        <w:textAlignment w:val="auto"/>
        <w:rPr>
          <w:sz w:val="24"/>
        </w:rPr>
      </w:pPr>
      <w:r>
        <w:rPr>
          <w:rFonts w:ascii="宋体" w:hAnsi="宋体" w:eastAsia="宋体" w:cs="宋体"/>
          <w:b/>
          <w:i w:val="0"/>
          <w:spacing w:val="0"/>
          <w:sz w:val="24"/>
        </w:rPr>
        <w:t>给药频率</w:t>
      </w:r>
      <w:r>
        <w:rPr>
          <w:rFonts w:ascii="宋体" w:hAnsi="宋体" w:eastAsia="宋体" w:cs="宋体"/>
          <w:b w:val="0"/>
          <w:i w:val="0"/>
          <w:spacing w:val="0"/>
          <w:sz w:val="24"/>
        </w:rPr>
        <w:t>：每3周一次，共4次（12周）</w:t>
      </w:r>
    </w:p>
    <w:p w14:paraId="169ED0CC">
      <w:pPr>
        <w:pageBreakBefore w:val="0"/>
        <w:numPr>
          <w:ilvl w:val="1"/>
          <w:numId w:val="19"/>
        </w:numPr>
        <w:wordWrap/>
        <w:spacing w:before="160" w:after="0"/>
        <w:ind w:left="880" w:right="0" w:hanging="440"/>
        <w:jc w:val="left"/>
        <w:textAlignment w:val="auto"/>
        <w:rPr>
          <w:sz w:val="24"/>
        </w:rPr>
      </w:pPr>
      <w:r>
        <w:rPr>
          <w:rFonts w:ascii="宋体" w:hAnsi="宋体" w:eastAsia="宋体" w:cs="宋体"/>
          <w:b/>
          <w:i w:val="0"/>
          <w:spacing w:val="0"/>
          <w:sz w:val="24"/>
        </w:rPr>
        <w:t>给药前准备</w:t>
      </w:r>
      <w:r>
        <w:rPr>
          <w:rFonts w:ascii="宋体" w:hAnsi="宋体" w:eastAsia="宋体" w:cs="宋体"/>
          <w:b w:val="0"/>
          <w:i w:val="0"/>
          <w:spacing w:val="0"/>
          <w:sz w:val="24"/>
        </w:rPr>
        <w:t>：特瑞普利单抗需在室温下复温，使用0.9%氯化钠注射液稀释</w:t>
      </w:r>
    </w:p>
    <w:p w14:paraId="211B3875">
      <w:pPr>
        <w:pageBreakBefore w:val="0"/>
        <w:numPr>
          <w:ilvl w:val="1"/>
          <w:numId w:val="19"/>
        </w:numPr>
        <w:wordWrap/>
        <w:spacing w:before="160" w:after="0"/>
        <w:ind w:left="880" w:right="0" w:hanging="440"/>
        <w:jc w:val="left"/>
        <w:textAlignment w:val="auto"/>
        <w:rPr>
          <w:sz w:val="24"/>
        </w:rPr>
      </w:pPr>
      <w:r>
        <w:rPr>
          <w:rFonts w:ascii="宋体" w:hAnsi="宋体" w:eastAsia="宋体" w:cs="宋体"/>
          <w:b/>
          <w:i w:val="0"/>
          <w:spacing w:val="0"/>
          <w:sz w:val="24"/>
        </w:rPr>
        <w:t>输注时间</w:t>
      </w:r>
      <w:r>
        <w:rPr>
          <w:rFonts w:ascii="宋体" w:hAnsi="宋体" w:eastAsia="宋体" w:cs="宋体"/>
          <w:b w:val="0"/>
          <w:i w:val="0"/>
          <w:spacing w:val="0"/>
          <w:sz w:val="24"/>
        </w:rPr>
        <w:t>：首次输注需在筛选完成后28天内进行，后续输注需严格按方案执行</w:t>
      </w:r>
    </w:p>
    <w:p w14:paraId="7B028DBB">
      <w:pPr>
        <w:pStyle w:val="4"/>
        <w:bidi w:val="0"/>
      </w:pPr>
      <w:bookmarkStart w:id="44" w:name="_Toc1966252080"/>
      <w:bookmarkStart w:id="45" w:name="_Toc1116477157"/>
      <w:r>
        <w:t>5.2 对照组方案</w:t>
      </w:r>
      <w:bookmarkEnd w:id="44"/>
      <w:bookmarkEnd w:id="45"/>
    </w:p>
    <w:p w14:paraId="239B2B0B">
      <w:pPr>
        <w:pageBreakBefore w:val="0"/>
        <w:numPr>
          <w:ilvl w:val="0"/>
          <w:numId w:val="20"/>
        </w:numPr>
        <w:wordWrap/>
        <w:spacing w:before="160" w:after="0"/>
        <w:ind w:left="440" w:right="0" w:hanging="440"/>
        <w:jc w:val="left"/>
        <w:textAlignment w:val="auto"/>
        <w:rPr>
          <w:sz w:val="24"/>
        </w:rPr>
      </w:pPr>
      <w:r>
        <w:rPr>
          <w:rFonts w:ascii="宋体" w:hAnsi="宋体" w:eastAsia="宋体" w:cs="宋体"/>
          <w:b/>
          <w:i w:val="0"/>
          <w:spacing w:val="0"/>
          <w:sz w:val="24"/>
        </w:rPr>
        <w:t>特瑞普利单抗静脉输注</w:t>
      </w:r>
      <w:r>
        <w:rPr>
          <w:rFonts w:ascii="宋体" w:hAnsi="宋体" w:eastAsia="宋体" w:cs="宋体"/>
          <w:b w:val="0"/>
          <w:i w:val="0"/>
          <w:spacing w:val="0"/>
          <w:sz w:val="24"/>
        </w:rPr>
        <w:t>：</w:t>
      </w:r>
    </w:p>
    <w:p w14:paraId="3C364128">
      <w:pPr>
        <w:pageBreakBefore w:val="0"/>
        <w:numPr>
          <w:ilvl w:val="1"/>
          <w:numId w:val="21"/>
        </w:numPr>
        <w:wordWrap/>
        <w:spacing w:before="160" w:after="0"/>
        <w:ind w:left="880" w:right="0" w:hanging="440"/>
        <w:jc w:val="left"/>
        <w:textAlignment w:val="auto"/>
        <w:rPr>
          <w:sz w:val="24"/>
        </w:rPr>
      </w:pPr>
      <w:r>
        <w:rPr>
          <w:rFonts w:ascii="宋体" w:hAnsi="宋体" w:eastAsia="宋体" w:cs="宋体"/>
          <w:b/>
          <w:i w:val="0"/>
          <w:spacing w:val="0"/>
          <w:sz w:val="24"/>
        </w:rPr>
        <w:t>剂量</w:t>
      </w:r>
      <w:r>
        <w:rPr>
          <w:rFonts w:ascii="宋体" w:hAnsi="宋体" w:eastAsia="宋体" w:cs="宋体"/>
          <w:b w:val="0"/>
          <w:i w:val="0"/>
          <w:spacing w:val="0"/>
          <w:sz w:val="24"/>
        </w:rPr>
        <w:t>：240mg，静脉输注</w:t>
      </w:r>
    </w:p>
    <w:p w14:paraId="61BC0224">
      <w:pPr>
        <w:pageBreakBefore w:val="0"/>
        <w:numPr>
          <w:ilvl w:val="1"/>
          <w:numId w:val="21"/>
        </w:numPr>
        <w:wordWrap/>
        <w:spacing w:before="160" w:after="0"/>
        <w:ind w:left="880" w:right="0" w:hanging="440"/>
        <w:jc w:val="left"/>
        <w:textAlignment w:val="auto"/>
        <w:rPr>
          <w:sz w:val="24"/>
        </w:rPr>
      </w:pPr>
      <w:r>
        <w:rPr>
          <w:rFonts w:ascii="宋体" w:hAnsi="宋体" w:eastAsia="宋体" w:cs="宋体"/>
          <w:b/>
          <w:i w:val="0"/>
          <w:spacing w:val="0"/>
          <w:sz w:val="24"/>
        </w:rPr>
        <w:t>给药频率</w:t>
      </w:r>
      <w:r>
        <w:rPr>
          <w:rFonts w:ascii="宋体" w:hAnsi="宋体" w:eastAsia="宋体" w:cs="宋体"/>
          <w:b w:val="0"/>
          <w:i w:val="0"/>
          <w:spacing w:val="0"/>
          <w:sz w:val="24"/>
        </w:rPr>
        <w:t>：每3周一次，共4次（12周）</w:t>
      </w:r>
    </w:p>
    <w:p w14:paraId="770509AB">
      <w:pPr>
        <w:pageBreakBefore w:val="0"/>
        <w:numPr>
          <w:ilvl w:val="1"/>
          <w:numId w:val="21"/>
        </w:numPr>
        <w:wordWrap/>
        <w:spacing w:before="160" w:after="0"/>
        <w:ind w:left="880" w:right="0" w:hanging="440"/>
        <w:jc w:val="left"/>
        <w:textAlignment w:val="auto"/>
        <w:rPr>
          <w:sz w:val="24"/>
        </w:rPr>
      </w:pPr>
      <w:r>
        <w:rPr>
          <w:rFonts w:ascii="宋体" w:hAnsi="宋体" w:eastAsia="宋体" w:cs="宋体"/>
          <w:b/>
          <w:i w:val="0"/>
          <w:spacing w:val="0"/>
          <w:sz w:val="24"/>
        </w:rPr>
        <w:t>给药前准备</w:t>
      </w:r>
      <w:r>
        <w:rPr>
          <w:rFonts w:ascii="宋体" w:hAnsi="宋体" w:eastAsia="宋体" w:cs="宋体"/>
          <w:b w:val="0"/>
          <w:i w:val="0"/>
          <w:spacing w:val="0"/>
          <w:sz w:val="24"/>
        </w:rPr>
        <w:t>：同试验组</w:t>
      </w:r>
    </w:p>
    <w:p w14:paraId="159EBA32">
      <w:pPr>
        <w:pageBreakBefore w:val="0"/>
        <w:numPr>
          <w:ilvl w:val="1"/>
          <w:numId w:val="21"/>
        </w:numPr>
        <w:wordWrap/>
        <w:spacing w:before="160" w:after="0"/>
        <w:ind w:left="880" w:right="0" w:hanging="440"/>
        <w:jc w:val="left"/>
        <w:textAlignment w:val="auto"/>
        <w:rPr>
          <w:sz w:val="24"/>
        </w:rPr>
      </w:pPr>
      <w:r>
        <w:rPr>
          <w:rFonts w:ascii="宋体" w:hAnsi="宋体" w:eastAsia="宋体" w:cs="宋体"/>
          <w:b/>
          <w:i w:val="0"/>
          <w:spacing w:val="0"/>
          <w:sz w:val="24"/>
        </w:rPr>
        <w:t>输注时间</w:t>
      </w:r>
      <w:r>
        <w:rPr>
          <w:rFonts w:ascii="宋体" w:hAnsi="宋体" w:eastAsia="宋体" w:cs="宋体"/>
          <w:b w:val="0"/>
          <w:i w:val="0"/>
          <w:spacing w:val="0"/>
          <w:sz w:val="24"/>
        </w:rPr>
        <w:t>：与试验组同步进行</w:t>
      </w:r>
    </w:p>
    <w:p w14:paraId="5F8D9F34">
      <w:pPr>
        <w:pStyle w:val="4"/>
        <w:bidi w:val="0"/>
      </w:pPr>
      <w:bookmarkStart w:id="46" w:name="_Toc1320348524"/>
      <w:bookmarkStart w:id="47" w:name="_Toc2066953860"/>
      <w:r>
        <w:t>5.3 研究流程图</w:t>
      </w:r>
      <w:bookmarkEnd w:id="46"/>
      <w:bookmarkEnd w:id="47"/>
    </w:p>
    <w:p w14:paraId="29C8DC43">
      <w:pPr>
        <w:pStyle w:val="3"/>
        <w:bidi w:val="0"/>
      </w:pPr>
      <w:bookmarkStart w:id="48" w:name="_Toc1149118417"/>
      <w:bookmarkStart w:id="49" w:name="_Toc1598051148"/>
      <w:r>
        <w:t>六、研究终点</w:t>
      </w:r>
      <w:bookmarkEnd w:id="48"/>
      <w:bookmarkEnd w:id="49"/>
    </w:p>
    <w:p w14:paraId="25E594D3">
      <w:pPr>
        <w:pStyle w:val="4"/>
        <w:bidi w:val="0"/>
      </w:pPr>
      <w:bookmarkStart w:id="50" w:name="_Toc912797048"/>
      <w:bookmarkStart w:id="51" w:name="_Toc2015155054"/>
      <w:r>
        <w:t>6.1 主要终点</w:t>
      </w:r>
      <w:bookmarkEnd w:id="50"/>
      <w:bookmarkEnd w:id="51"/>
    </w:p>
    <w:p w14:paraId="7E4C1E86">
      <w:pPr>
        <w:pageBreakBefore w:val="0"/>
        <w:numPr>
          <w:ilvl w:val="0"/>
          <w:numId w:val="22"/>
        </w:numPr>
        <w:wordWrap/>
        <w:spacing w:before="160" w:after="0"/>
        <w:ind w:left="440" w:right="0" w:hanging="440"/>
        <w:jc w:val="left"/>
        <w:textAlignment w:val="auto"/>
        <w:rPr>
          <w:sz w:val="24"/>
        </w:rPr>
      </w:pPr>
      <w:r>
        <w:rPr>
          <w:rFonts w:ascii="宋体" w:hAnsi="宋体" w:eastAsia="宋体" w:cs="宋体"/>
          <w:b/>
          <w:i w:val="0"/>
          <w:spacing w:val="0"/>
          <w:sz w:val="24"/>
        </w:rPr>
        <w:t>客观缓解率（ORR）</w:t>
      </w:r>
      <w:r>
        <w:rPr>
          <w:rFonts w:ascii="宋体" w:hAnsi="宋体" w:eastAsia="宋体" w:cs="宋体"/>
          <w:b w:val="0"/>
          <w:i w:val="0"/>
          <w:spacing w:val="0"/>
          <w:sz w:val="24"/>
        </w:rPr>
        <w:t>：根据irRECIST 1.1标准评估，定义为完全缓解（CR）和部分缓解（PR）患者的比例</w:t>
      </w:r>
    </w:p>
    <w:p w14:paraId="31477EF1">
      <w:pPr>
        <w:pStyle w:val="4"/>
        <w:bidi w:val="0"/>
      </w:pPr>
      <w:bookmarkStart w:id="52" w:name="_Toc1904295215"/>
      <w:bookmarkStart w:id="53" w:name="_Toc746395741"/>
      <w:r>
        <w:t>6.2 次要终点</w:t>
      </w:r>
      <w:bookmarkEnd w:id="52"/>
      <w:bookmarkEnd w:id="53"/>
    </w:p>
    <w:p w14:paraId="2F496F1C">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疾病控制率（DCR）</w:t>
      </w:r>
      <w:r>
        <w:rPr>
          <w:rFonts w:ascii="宋体" w:hAnsi="宋体" w:eastAsia="宋体" w:cs="宋体"/>
          <w:b w:val="0"/>
          <w:i w:val="0"/>
          <w:spacing w:val="0"/>
          <w:sz w:val="24"/>
        </w:rPr>
        <w:t>：根据irRECIST 1.1标准评估，定义为CR、PR和稳定疾病（SD）患者的比例</w:t>
      </w:r>
    </w:p>
    <w:p w14:paraId="4C364125">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无进展生存期（PFS）</w:t>
      </w:r>
      <w:r>
        <w:rPr>
          <w:rFonts w:ascii="宋体" w:hAnsi="宋体" w:eastAsia="宋体" w:cs="宋体"/>
          <w:b w:val="0"/>
          <w:i w:val="0"/>
          <w:spacing w:val="0"/>
          <w:sz w:val="24"/>
        </w:rPr>
        <w:t>：从首次给药至疾病进展或死亡的时间</w:t>
      </w:r>
    </w:p>
    <w:p w14:paraId="1738E3BF">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总生存期（OS）</w:t>
      </w:r>
      <w:r>
        <w:rPr>
          <w:rFonts w:ascii="宋体" w:hAnsi="宋体" w:eastAsia="宋体" w:cs="宋体"/>
          <w:b w:val="0"/>
          <w:i w:val="0"/>
          <w:spacing w:val="0"/>
          <w:sz w:val="24"/>
        </w:rPr>
        <w:t>：从首次给药至死亡的时间</w:t>
      </w:r>
    </w:p>
    <w:p w14:paraId="1EBA2448">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安全性评估</w:t>
      </w:r>
      <w:r>
        <w:rPr>
          <w:rFonts w:ascii="宋体" w:hAnsi="宋体" w:eastAsia="宋体" w:cs="宋体"/>
          <w:b w:val="0"/>
          <w:i w:val="0"/>
          <w:spacing w:val="0"/>
          <w:sz w:val="24"/>
        </w:rPr>
        <w:t>：记录所有不良事件（AEs），根据CTCAE 5.0标准分级</w:t>
      </w:r>
    </w:p>
    <w:p w14:paraId="496D8F21">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生物标志物分析</w:t>
      </w:r>
      <w:r>
        <w:rPr>
          <w:rFonts w:ascii="宋体" w:hAnsi="宋体" w:eastAsia="宋体" w:cs="宋体"/>
          <w:b w:val="0"/>
          <w:i w:val="0"/>
          <w:spacing w:val="0"/>
          <w:sz w:val="24"/>
        </w:rPr>
        <w:t>：</w:t>
      </w:r>
    </w:p>
    <w:p w14:paraId="5A1F9F38">
      <w:pPr>
        <w:pageBreakBefore w:val="0"/>
        <w:numPr>
          <w:ilvl w:val="1"/>
          <w:numId w:val="24"/>
        </w:numPr>
        <w:wordWrap/>
        <w:spacing w:before="160" w:after="0"/>
        <w:ind w:left="880" w:right="0" w:hanging="440"/>
        <w:jc w:val="left"/>
        <w:textAlignment w:val="auto"/>
        <w:rPr>
          <w:sz w:val="24"/>
        </w:rPr>
      </w:pPr>
      <w:r>
        <w:rPr>
          <w:rFonts w:ascii="宋体" w:hAnsi="宋体" w:eastAsia="宋体" w:cs="宋体"/>
          <w:b w:val="0"/>
          <w:i w:val="0"/>
          <w:spacing w:val="0"/>
          <w:sz w:val="24"/>
        </w:rPr>
        <w:t>肿瘤组织中病毒复制活性（通过qPCR检测ICP0基因拷贝数）</w:t>
      </w:r>
    </w:p>
    <w:p w14:paraId="166FE23F">
      <w:pPr>
        <w:pageBreakBefore w:val="0"/>
        <w:numPr>
          <w:ilvl w:val="1"/>
          <w:numId w:val="24"/>
        </w:numPr>
        <w:wordWrap/>
        <w:spacing w:before="160" w:after="0"/>
        <w:ind w:left="880" w:right="0" w:hanging="440"/>
        <w:jc w:val="left"/>
        <w:textAlignment w:val="auto"/>
        <w:rPr>
          <w:sz w:val="24"/>
        </w:rPr>
      </w:pPr>
      <w:r>
        <w:rPr>
          <w:rFonts w:ascii="宋体" w:hAnsi="宋体" w:eastAsia="宋体" w:cs="宋体"/>
          <w:b w:val="0"/>
          <w:i w:val="0"/>
          <w:spacing w:val="0"/>
          <w:sz w:val="24"/>
        </w:rPr>
        <w:t>肿瘤浸润CD8+ T细胞密度变化（通过IHC检测）</w:t>
      </w:r>
    </w:p>
    <w:p w14:paraId="2DFBE271">
      <w:pPr>
        <w:pageBreakBefore w:val="0"/>
        <w:numPr>
          <w:ilvl w:val="1"/>
          <w:numId w:val="24"/>
        </w:numPr>
        <w:wordWrap/>
        <w:spacing w:before="160" w:after="0"/>
        <w:ind w:left="880" w:right="0" w:hanging="440"/>
        <w:jc w:val="left"/>
        <w:textAlignment w:val="auto"/>
        <w:rPr>
          <w:sz w:val="24"/>
        </w:rPr>
      </w:pPr>
      <w:r>
        <w:rPr>
          <w:rFonts w:ascii="宋体" w:hAnsi="宋体" w:eastAsia="宋体" w:cs="宋体"/>
          <w:b w:val="0"/>
          <w:i w:val="0"/>
          <w:spacing w:val="0"/>
          <w:sz w:val="24"/>
        </w:rPr>
        <w:t>血浆IL-12和IFN-γ水平变化（通过ELISA检测）</w:t>
      </w:r>
    </w:p>
    <w:p w14:paraId="24F9AE36">
      <w:pPr>
        <w:pageBreakBefore w:val="0"/>
        <w:numPr>
          <w:ilvl w:val="1"/>
          <w:numId w:val="24"/>
        </w:numPr>
        <w:wordWrap/>
        <w:spacing w:before="160" w:after="0"/>
        <w:ind w:left="880" w:right="0" w:hanging="440"/>
        <w:jc w:val="left"/>
        <w:textAlignment w:val="auto"/>
        <w:rPr>
          <w:sz w:val="24"/>
        </w:rPr>
      </w:pPr>
      <w:r>
        <w:rPr>
          <w:rFonts w:ascii="宋体" w:hAnsi="宋体" w:eastAsia="宋体" w:cs="宋体"/>
          <w:b w:val="0"/>
          <w:i w:val="0"/>
          <w:spacing w:val="0"/>
          <w:sz w:val="24"/>
        </w:rPr>
        <w:t>HPV状态与治疗反应的相关性分析</w:t>
      </w:r>
    </w:p>
    <w:p w14:paraId="34517029">
      <w:pPr>
        <w:pageBreakBefore w:val="0"/>
        <w:numPr>
          <w:ilvl w:val="1"/>
          <w:numId w:val="24"/>
        </w:numPr>
        <w:wordWrap/>
        <w:spacing w:before="160" w:after="0"/>
        <w:ind w:left="880" w:right="0" w:hanging="440"/>
        <w:jc w:val="left"/>
        <w:textAlignment w:val="auto"/>
        <w:rPr>
          <w:sz w:val="24"/>
        </w:rPr>
      </w:pPr>
      <w:r>
        <w:rPr>
          <w:rFonts w:ascii="宋体" w:hAnsi="宋体" w:eastAsia="宋体" w:cs="宋体"/>
          <w:b w:val="0"/>
          <w:i w:val="0"/>
          <w:spacing w:val="0"/>
          <w:sz w:val="24"/>
        </w:rPr>
        <w:t>PD-L1 CPS评分与治疗反应的相关性分析</w:t>
      </w:r>
    </w:p>
    <w:p w14:paraId="1EEB3ECA">
      <w:pPr>
        <w:pStyle w:val="3"/>
        <w:bidi w:val="0"/>
      </w:pPr>
      <w:bookmarkStart w:id="54" w:name="_Toc1540887264"/>
      <w:bookmarkStart w:id="55" w:name="_Toc1221236860"/>
      <w:r>
        <w:t>七、样本量计算</w:t>
      </w:r>
      <w:bookmarkEnd w:id="54"/>
      <w:bookmarkEnd w:id="55"/>
    </w:p>
    <w:p w14:paraId="5021BE9F">
      <w:pPr>
        <w:pageBreakBefore w:val="0"/>
        <w:wordWrap/>
        <w:spacing w:before="160" w:after="0"/>
        <w:ind w:left="0" w:right="0"/>
        <w:jc w:val="left"/>
        <w:textAlignment w:val="auto"/>
        <w:rPr>
          <w:sz w:val="24"/>
        </w:rPr>
      </w:pPr>
      <w:r>
        <w:rPr>
          <w:rFonts w:ascii="宋体" w:hAnsi="宋体" w:eastAsia="宋体" w:cs="宋体"/>
          <w:b w:val="0"/>
          <w:i w:val="0"/>
          <w:spacing w:val="0"/>
          <w:sz w:val="24"/>
        </w:rPr>
        <w:t>本研究采用两阶段设计进行样本量计算：</w:t>
      </w:r>
    </w:p>
    <w:p w14:paraId="455D7543">
      <w:pPr>
        <w:pageBreakBefore w:val="0"/>
        <w:numPr>
          <w:ilvl w:val="0"/>
          <w:numId w:val="25"/>
        </w:numPr>
        <w:wordWrap/>
        <w:spacing w:before="160" w:after="0"/>
        <w:ind w:left="440" w:right="0" w:hanging="440"/>
        <w:jc w:val="left"/>
        <w:textAlignment w:val="auto"/>
        <w:rPr>
          <w:sz w:val="24"/>
        </w:rPr>
      </w:pPr>
      <w:r>
        <w:rPr>
          <w:rFonts w:ascii="宋体" w:hAnsi="宋体" w:eastAsia="宋体" w:cs="宋体"/>
          <w:b/>
          <w:i w:val="0"/>
          <w:spacing w:val="0"/>
          <w:sz w:val="24"/>
        </w:rPr>
        <w:t>第一阶段</w:t>
      </w:r>
      <w:r>
        <w:rPr>
          <w:rFonts w:ascii="宋体" w:hAnsi="宋体" w:eastAsia="宋体" w:cs="宋体"/>
          <w:b w:val="0"/>
          <w:i w:val="0"/>
          <w:spacing w:val="0"/>
          <w:sz w:val="24"/>
        </w:rPr>
        <w:t>：计划纳入60例患者，用于初步评估安全性及ORR</w:t>
      </w:r>
    </w:p>
    <w:p w14:paraId="0064D3C6">
      <w:pPr>
        <w:pageBreakBefore w:val="0"/>
        <w:numPr>
          <w:ilvl w:val="0"/>
          <w:numId w:val="25"/>
        </w:numPr>
        <w:wordWrap/>
        <w:spacing w:before="160" w:after="0"/>
        <w:ind w:left="440" w:right="0" w:hanging="440"/>
        <w:jc w:val="left"/>
        <w:textAlignment w:val="auto"/>
        <w:rPr>
          <w:sz w:val="24"/>
        </w:rPr>
      </w:pPr>
      <w:r>
        <w:rPr>
          <w:rFonts w:ascii="宋体" w:hAnsi="宋体" w:eastAsia="宋体" w:cs="宋体"/>
          <w:b/>
          <w:i w:val="0"/>
          <w:spacing w:val="0"/>
          <w:sz w:val="24"/>
        </w:rPr>
        <w:t>第二阶段</w:t>
      </w:r>
      <w:r>
        <w:rPr>
          <w:rFonts w:ascii="宋体" w:hAnsi="宋体" w:eastAsia="宋体" w:cs="宋体"/>
          <w:b w:val="0"/>
          <w:i w:val="0"/>
          <w:spacing w:val="0"/>
          <w:sz w:val="24"/>
        </w:rPr>
        <w:t>：根据第一阶段结果，若试验组ORR≥25%，则继续纳入60例患者，总样本量为120例</w:t>
      </w:r>
    </w:p>
    <w:p w14:paraId="1CCA186C">
      <w:pPr>
        <w:pageBreakBefore w:val="0"/>
        <w:numPr>
          <w:ilvl w:val="0"/>
          <w:numId w:val="25"/>
        </w:numPr>
        <w:wordWrap/>
        <w:spacing w:before="160" w:after="0"/>
        <w:ind w:left="440" w:right="0" w:hanging="440"/>
        <w:jc w:val="left"/>
        <w:textAlignment w:val="auto"/>
        <w:rPr>
          <w:sz w:val="24"/>
        </w:rPr>
      </w:pPr>
      <w:r>
        <w:rPr>
          <w:rFonts w:ascii="宋体" w:hAnsi="宋体" w:eastAsia="宋体" w:cs="宋体"/>
          <w:b/>
          <w:i w:val="0"/>
          <w:spacing w:val="0"/>
          <w:sz w:val="24"/>
        </w:rPr>
        <w:t>统计效能</w:t>
      </w:r>
      <w:r>
        <w:rPr>
          <w:rFonts w:ascii="宋体" w:hAnsi="宋体" w:eastAsia="宋体" w:cs="宋体"/>
          <w:b w:val="0"/>
          <w:i w:val="0"/>
          <w:spacing w:val="0"/>
          <w:sz w:val="24"/>
        </w:rPr>
        <w:t>：设定α=0.1（单侧），β=0.2，假设试验组ORR为30%，对照组ORR为15%</w:t>
      </w:r>
    </w:p>
    <w:p w14:paraId="156597A0">
      <w:pPr>
        <w:pStyle w:val="3"/>
        <w:bidi w:val="0"/>
      </w:pPr>
      <w:bookmarkStart w:id="56" w:name="_Toc1186946875"/>
      <w:bookmarkStart w:id="57" w:name="_Toc1826691641"/>
      <w:r>
        <w:t>八、数据收集与管理</w:t>
      </w:r>
      <w:bookmarkEnd w:id="56"/>
      <w:bookmarkEnd w:id="57"/>
    </w:p>
    <w:p w14:paraId="3D7A12CF">
      <w:pPr>
        <w:pStyle w:val="4"/>
        <w:bidi w:val="0"/>
      </w:pPr>
      <w:bookmarkStart w:id="58" w:name="_Toc1040531142"/>
      <w:bookmarkStart w:id="59" w:name="_Toc780192775"/>
      <w:r>
        <w:t>8.1 数据收集流程</w:t>
      </w:r>
      <w:bookmarkEnd w:id="58"/>
      <w:bookmarkEnd w:id="59"/>
    </w:p>
    <w:p w14:paraId="26AE210E">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筛选期</w:t>
      </w:r>
      <w:r>
        <w:rPr>
          <w:rFonts w:ascii="宋体" w:hAnsi="宋体" w:eastAsia="宋体" w:cs="宋体"/>
          <w:b w:val="0"/>
          <w:i w:val="0"/>
          <w:spacing w:val="0"/>
          <w:sz w:val="24"/>
        </w:rPr>
        <w:t>：</w:t>
      </w:r>
    </w:p>
    <w:p w14:paraId="65FFDA3C">
      <w:pPr>
        <w:pageBreakBefore w:val="0"/>
        <w:numPr>
          <w:ilvl w:val="1"/>
          <w:numId w:val="27"/>
        </w:numPr>
        <w:wordWrap/>
        <w:spacing w:before="160" w:after="0"/>
        <w:ind w:left="880" w:right="0" w:hanging="440"/>
        <w:jc w:val="left"/>
        <w:textAlignment w:val="auto"/>
        <w:rPr>
          <w:sz w:val="24"/>
        </w:rPr>
      </w:pPr>
      <w:r>
        <w:rPr>
          <w:rFonts w:ascii="宋体" w:hAnsi="宋体" w:eastAsia="宋体" w:cs="宋体"/>
          <w:b w:val="0"/>
          <w:i w:val="0"/>
          <w:spacing w:val="0"/>
          <w:sz w:val="24"/>
        </w:rPr>
        <w:t>收集患者人口学特征、既往治疗史、病史、体格检查、实验室检查、影像学检查和HPV检测结果</w:t>
      </w:r>
    </w:p>
    <w:p w14:paraId="0567842B">
      <w:pPr>
        <w:pageBreakBefore w:val="0"/>
        <w:numPr>
          <w:ilvl w:val="1"/>
          <w:numId w:val="27"/>
        </w:numPr>
        <w:wordWrap/>
        <w:spacing w:before="160" w:after="0"/>
        <w:ind w:left="880" w:right="0" w:hanging="440"/>
        <w:jc w:val="left"/>
        <w:textAlignment w:val="auto"/>
        <w:rPr>
          <w:sz w:val="24"/>
        </w:rPr>
      </w:pPr>
      <w:r>
        <w:rPr>
          <w:rFonts w:ascii="宋体" w:hAnsi="宋体" w:eastAsia="宋体" w:cs="宋体"/>
          <w:b w:val="0"/>
          <w:i w:val="0"/>
          <w:spacing w:val="0"/>
          <w:sz w:val="24"/>
        </w:rPr>
        <w:t>评估患者是否符合入组标准</w:t>
      </w:r>
    </w:p>
    <w:p w14:paraId="367802E6">
      <w:pPr>
        <w:pageBreakBefore w:val="0"/>
        <w:numPr>
          <w:ilvl w:val="1"/>
          <w:numId w:val="27"/>
        </w:numPr>
        <w:wordWrap/>
        <w:spacing w:before="160" w:after="0"/>
        <w:ind w:left="880" w:right="0" w:hanging="440"/>
        <w:jc w:val="left"/>
        <w:textAlignment w:val="auto"/>
        <w:rPr>
          <w:sz w:val="24"/>
        </w:rPr>
      </w:pPr>
      <w:r>
        <w:rPr>
          <w:rFonts w:ascii="宋体" w:hAnsi="宋体" w:eastAsia="宋体" w:cs="宋体"/>
          <w:b w:val="0"/>
          <w:i w:val="0"/>
          <w:spacing w:val="0"/>
          <w:sz w:val="24"/>
        </w:rPr>
        <w:t>签署知情同意书</w:t>
      </w:r>
    </w:p>
    <w:p w14:paraId="217BC878">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治疗期</w:t>
      </w:r>
      <w:r>
        <w:rPr>
          <w:rFonts w:ascii="宋体" w:hAnsi="宋体" w:eastAsia="宋体" w:cs="宋体"/>
          <w:b w:val="0"/>
          <w:i w:val="0"/>
          <w:spacing w:val="0"/>
          <w:sz w:val="24"/>
        </w:rPr>
        <w:t>：</w:t>
      </w:r>
    </w:p>
    <w:p w14:paraId="06289281">
      <w:pPr>
        <w:pageBreakBefore w:val="0"/>
        <w:numPr>
          <w:ilvl w:val="1"/>
          <w:numId w:val="28"/>
        </w:numPr>
        <w:wordWrap/>
        <w:spacing w:before="160" w:after="0"/>
        <w:ind w:left="880" w:right="0" w:hanging="440"/>
        <w:jc w:val="left"/>
        <w:textAlignment w:val="auto"/>
        <w:rPr>
          <w:sz w:val="24"/>
        </w:rPr>
      </w:pPr>
      <w:r>
        <w:rPr>
          <w:rFonts w:ascii="宋体" w:hAnsi="宋体" w:eastAsia="宋体" w:cs="宋体"/>
          <w:b/>
          <w:i w:val="0"/>
          <w:spacing w:val="0"/>
          <w:sz w:val="24"/>
        </w:rPr>
        <w:t>安全性监测</w:t>
      </w:r>
      <w:r>
        <w:rPr>
          <w:rFonts w:ascii="宋体" w:hAnsi="宋体" w:eastAsia="宋体" w:cs="宋体"/>
          <w:b w:val="0"/>
          <w:i w:val="0"/>
          <w:spacing w:val="0"/>
          <w:sz w:val="24"/>
        </w:rPr>
        <w:t>：每次给药前评估生命体征、体格检查和实验室检查；给药后每日监测24小时，随后每周监测一次</w:t>
      </w:r>
    </w:p>
    <w:p w14:paraId="7C9F8D81">
      <w:pPr>
        <w:pageBreakBefore w:val="0"/>
        <w:numPr>
          <w:ilvl w:val="1"/>
          <w:numId w:val="28"/>
        </w:numPr>
        <w:wordWrap/>
        <w:spacing w:before="160" w:after="0"/>
        <w:ind w:left="880" w:right="0" w:hanging="440"/>
        <w:jc w:val="left"/>
        <w:textAlignment w:val="auto"/>
        <w:rPr>
          <w:sz w:val="24"/>
        </w:rPr>
      </w:pPr>
      <w:r>
        <w:rPr>
          <w:rFonts w:ascii="宋体" w:hAnsi="宋体" w:eastAsia="宋体" w:cs="宋体"/>
          <w:b/>
          <w:i w:val="0"/>
          <w:spacing w:val="0"/>
          <w:sz w:val="24"/>
        </w:rPr>
        <w:t>疗效评估</w:t>
      </w:r>
      <w:r>
        <w:rPr>
          <w:rFonts w:ascii="宋体" w:hAnsi="宋体" w:eastAsia="宋体" w:cs="宋体"/>
          <w:b w:val="0"/>
          <w:i w:val="0"/>
          <w:spacing w:val="0"/>
          <w:sz w:val="24"/>
        </w:rPr>
        <w:t>：每6周进行一次影像学评估（增强CT或MRI），由BICR进行盲法评估</w:t>
      </w:r>
    </w:p>
    <w:p w14:paraId="593260F7">
      <w:pPr>
        <w:pageBreakBefore w:val="0"/>
        <w:numPr>
          <w:ilvl w:val="1"/>
          <w:numId w:val="28"/>
        </w:numPr>
        <w:wordWrap/>
        <w:spacing w:before="160" w:after="0"/>
        <w:ind w:left="880" w:right="0" w:hanging="440"/>
        <w:jc w:val="left"/>
        <w:textAlignment w:val="auto"/>
        <w:rPr>
          <w:sz w:val="24"/>
        </w:rPr>
      </w:pPr>
      <w:r>
        <w:rPr>
          <w:rFonts w:ascii="宋体" w:hAnsi="宋体" w:eastAsia="宋体" w:cs="宋体"/>
          <w:b/>
          <w:i w:val="0"/>
          <w:spacing w:val="0"/>
          <w:sz w:val="24"/>
        </w:rPr>
        <w:t>生物标志物收集</w:t>
      </w:r>
      <w:r>
        <w:rPr>
          <w:rFonts w:ascii="宋体" w:hAnsi="宋体" w:eastAsia="宋体" w:cs="宋体"/>
          <w:b w:val="0"/>
          <w:i w:val="0"/>
          <w:spacing w:val="0"/>
          <w:sz w:val="24"/>
        </w:rPr>
        <w:t>：</w:t>
      </w:r>
    </w:p>
    <w:p w14:paraId="1CA20BF6">
      <w:pPr>
        <w:pageBreakBefore w:val="0"/>
        <w:numPr>
          <w:ilvl w:val="2"/>
          <w:numId w:val="29"/>
        </w:numPr>
        <w:wordWrap/>
        <w:spacing w:before="160" w:after="0"/>
        <w:ind w:left="1320" w:right="0" w:hanging="440"/>
        <w:jc w:val="left"/>
        <w:textAlignment w:val="auto"/>
        <w:rPr>
          <w:sz w:val="24"/>
        </w:rPr>
      </w:pPr>
      <w:r>
        <w:rPr>
          <w:rFonts w:ascii="宋体" w:hAnsi="宋体" w:eastAsia="宋体" w:cs="宋体"/>
          <w:b w:val="0"/>
          <w:i w:val="0"/>
          <w:spacing w:val="0"/>
          <w:sz w:val="24"/>
        </w:rPr>
        <w:t>基线：收集肿瘤组织活检标本和血浆样本</w:t>
      </w:r>
    </w:p>
    <w:p w14:paraId="714BDB5B">
      <w:pPr>
        <w:pageBreakBefore w:val="0"/>
        <w:numPr>
          <w:ilvl w:val="2"/>
          <w:numId w:val="29"/>
        </w:numPr>
        <w:wordWrap/>
        <w:spacing w:before="160" w:after="0"/>
        <w:ind w:left="1320" w:right="0" w:hanging="440"/>
        <w:jc w:val="left"/>
        <w:textAlignment w:val="auto"/>
        <w:rPr>
          <w:sz w:val="24"/>
        </w:rPr>
      </w:pPr>
      <w:r>
        <w:rPr>
          <w:rFonts w:ascii="宋体" w:hAnsi="宋体" w:eastAsia="宋体" w:cs="宋体"/>
          <w:b w:val="0"/>
          <w:i w:val="0"/>
          <w:spacing w:val="0"/>
          <w:sz w:val="24"/>
        </w:rPr>
        <w:t>治疗第6周：收集肿瘤组织活检标本和血浆样本</w:t>
      </w:r>
    </w:p>
    <w:p w14:paraId="70BAB975">
      <w:pPr>
        <w:pageBreakBefore w:val="0"/>
        <w:numPr>
          <w:ilvl w:val="2"/>
          <w:numId w:val="29"/>
        </w:numPr>
        <w:wordWrap/>
        <w:spacing w:before="160" w:after="0"/>
        <w:ind w:left="1320" w:right="0" w:hanging="440"/>
        <w:jc w:val="left"/>
        <w:textAlignment w:val="auto"/>
        <w:rPr>
          <w:sz w:val="24"/>
        </w:rPr>
      </w:pPr>
      <w:r>
        <w:rPr>
          <w:rFonts w:ascii="宋体" w:hAnsi="宋体" w:eastAsia="宋体" w:cs="宋体"/>
          <w:b w:val="0"/>
          <w:i w:val="0"/>
          <w:spacing w:val="0"/>
          <w:sz w:val="24"/>
        </w:rPr>
        <w:t>治疗第12周：收集肿瘤组织活检标本和血浆样本</w:t>
      </w:r>
    </w:p>
    <w:p w14:paraId="016CB97D">
      <w:pPr>
        <w:pageBreakBefore w:val="0"/>
        <w:numPr>
          <w:ilvl w:val="1"/>
          <w:numId w:val="28"/>
        </w:numPr>
        <w:wordWrap/>
        <w:spacing w:before="160" w:after="0"/>
        <w:ind w:left="880" w:right="0" w:hanging="440"/>
        <w:jc w:val="left"/>
        <w:textAlignment w:val="auto"/>
        <w:rPr>
          <w:sz w:val="24"/>
        </w:rPr>
      </w:pPr>
      <w:r>
        <w:rPr>
          <w:rFonts w:ascii="宋体" w:hAnsi="宋体" w:eastAsia="宋体" w:cs="宋体"/>
          <w:b/>
          <w:i w:val="0"/>
          <w:spacing w:val="0"/>
          <w:sz w:val="24"/>
        </w:rPr>
        <w:t>生活质量评估</w:t>
      </w:r>
      <w:r>
        <w:rPr>
          <w:rFonts w:ascii="宋体" w:hAnsi="宋体" w:eastAsia="宋体" w:cs="宋体"/>
          <w:b w:val="0"/>
          <w:i w:val="0"/>
          <w:spacing w:val="0"/>
          <w:sz w:val="24"/>
        </w:rPr>
        <w:t>：基线、治疗第6周、第12周及随访期每3个月评估一次，采用EORTC QLQ-H&amp;N35量表</w:t>
      </w:r>
    </w:p>
    <w:p w14:paraId="410C6C09">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随访期</w:t>
      </w:r>
      <w:r>
        <w:rPr>
          <w:rFonts w:ascii="宋体" w:hAnsi="宋体" w:eastAsia="宋体" w:cs="宋体"/>
          <w:b w:val="0"/>
          <w:i w:val="0"/>
          <w:spacing w:val="0"/>
          <w:sz w:val="24"/>
        </w:rPr>
        <w:t>：</w:t>
      </w:r>
    </w:p>
    <w:p w14:paraId="0131A6D4">
      <w:pPr>
        <w:pageBreakBefore w:val="0"/>
        <w:numPr>
          <w:ilvl w:val="1"/>
          <w:numId w:val="30"/>
        </w:numPr>
        <w:wordWrap/>
        <w:spacing w:before="160" w:after="0"/>
        <w:ind w:left="880" w:right="0" w:hanging="440"/>
        <w:jc w:val="left"/>
        <w:textAlignment w:val="auto"/>
        <w:rPr>
          <w:sz w:val="24"/>
        </w:rPr>
      </w:pPr>
      <w:r>
        <w:rPr>
          <w:rFonts w:ascii="宋体" w:hAnsi="宋体" w:eastAsia="宋体" w:cs="宋体"/>
          <w:b w:val="0"/>
          <w:i w:val="0"/>
          <w:spacing w:val="0"/>
          <w:sz w:val="24"/>
        </w:rPr>
        <w:t>每3个月进行一次随访，评估生存状态和疾病进展情况</w:t>
      </w:r>
    </w:p>
    <w:p w14:paraId="6BD271CF">
      <w:pPr>
        <w:pageBreakBefore w:val="0"/>
        <w:numPr>
          <w:ilvl w:val="1"/>
          <w:numId w:val="30"/>
        </w:numPr>
        <w:wordWrap/>
        <w:spacing w:before="160" w:after="0"/>
        <w:ind w:left="880" w:right="0" w:hanging="440"/>
        <w:jc w:val="left"/>
        <w:textAlignment w:val="auto"/>
        <w:rPr>
          <w:sz w:val="24"/>
        </w:rPr>
      </w:pPr>
      <w:r>
        <w:rPr>
          <w:rFonts w:ascii="宋体" w:hAnsi="宋体" w:eastAsia="宋体" w:cs="宋体"/>
          <w:b w:val="0"/>
          <w:i w:val="0"/>
          <w:spacing w:val="0"/>
          <w:sz w:val="24"/>
        </w:rPr>
        <w:t>记录任何与研究药物相关的不良事件</w:t>
      </w:r>
    </w:p>
    <w:p w14:paraId="4A978458">
      <w:pPr>
        <w:pageBreakBefore w:val="0"/>
        <w:numPr>
          <w:ilvl w:val="1"/>
          <w:numId w:val="30"/>
        </w:numPr>
        <w:wordWrap/>
        <w:spacing w:before="160" w:after="0"/>
        <w:ind w:left="880" w:right="0" w:hanging="440"/>
        <w:jc w:val="left"/>
        <w:textAlignment w:val="auto"/>
        <w:rPr>
          <w:sz w:val="24"/>
        </w:rPr>
      </w:pPr>
      <w:r>
        <w:rPr>
          <w:rFonts w:ascii="宋体" w:hAnsi="宋体" w:eastAsia="宋体" w:cs="宋体"/>
          <w:b w:val="0"/>
          <w:i w:val="0"/>
          <w:spacing w:val="0"/>
          <w:sz w:val="24"/>
        </w:rPr>
        <w:t>收集生活质量评估数据</w:t>
      </w:r>
    </w:p>
    <w:p w14:paraId="653D1C8D">
      <w:pPr>
        <w:pStyle w:val="4"/>
        <w:bidi w:val="0"/>
      </w:pPr>
      <w:bookmarkStart w:id="60" w:name="_Toc1247566073"/>
      <w:bookmarkStart w:id="61" w:name="_Toc164820843"/>
      <w:r>
        <w:t>8.2 数据管理</w:t>
      </w:r>
      <w:bookmarkEnd w:id="60"/>
      <w:bookmarkEnd w:id="61"/>
    </w:p>
    <w:p w14:paraId="11796DBF">
      <w:pPr>
        <w:pageBreakBefore w:val="0"/>
        <w:numPr>
          <w:ilvl w:val="0"/>
          <w:numId w:val="31"/>
        </w:numPr>
        <w:wordWrap/>
        <w:spacing w:before="160" w:after="0"/>
        <w:ind w:left="440" w:right="0" w:hanging="440"/>
        <w:jc w:val="left"/>
        <w:textAlignment w:val="auto"/>
        <w:rPr>
          <w:sz w:val="24"/>
        </w:rPr>
      </w:pPr>
      <w:r>
        <w:rPr>
          <w:rFonts w:ascii="宋体" w:hAnsi="宋体" w:eastAsia="宋体" w:cs="宋体"/>
          <w:b/>
          <w:i w:val="0"/>
          <w:spacing w:val="0"/>
          <w:sz w:val="24"/>
        </w:rPr>
        <w:t>电子数据采集系统（EDC）</w:t>
      </w:r>
      <w:r>
        <w:rPr>
          <w:rFonts w:ascii="宋体" w:hAnsi="宋体" w:eastAsia="宋体" w:cs="宋体"/>
          <w:b w:val="0"/>
          <w:i w:val="0"/>
          <w:spacing w:val="0"/>
          <w:sz w:val="24"/>
        </w:rPr>
        <w:t>：使用符合21 CFR Part 11标准的EDC系统（如Medidata Rave）进行数据录入和管理</w:t>
      </w:r>
    </w:p>
    <w:p w14:paraId="622F2392">
      <w:pPr>
        <w:pageBreakBefore w:val="0"/>
        <w:numPr>
          <w:ilvl w:val="0"/>
          <w:numId w:val="31"/>
        </w:numPr>
        <w:wordWrap/>
        <w:spacing w:before="160" w:after="0"/>
        <w:ind w:left="440" w:right="0" w:hanging="440"/>
        <w:jc w:val="left"/>
        <w:textAlignment w:val="auto"/>
        <w:rPr>
          <w:sz w:val="24"/>
        </w:rPr>
      </w:pPr>
      <w:r>
        <w:rPr>
          <w:rFonts w:ascii="宋体" w:hAnsi="宋体" w:eastAsia="宋体" w:cs="宋体"/>
          <w:b/>
          <w:i w:val="0"/>
          <w:spacing w:val="0"/>
          <w:sz w:val="24"/>
        </w:rPr>
        <w:t>数据验证</w:t>
      </w:r>
      <w:r>
        <w:rPr>
          <w:rFonts w:ascii="宋体" w:hAnsi="宋体" w:eastAsia="宋体" w:cs="宋体"/>
          <w:b w:val="0"/>
          <w:i w:val="0"/>
          <w:spacing w:val="0"/>
          <w:sz w:val="24"/>
        </w:rPr>
        <w:t>：采用逻辑检查和范围检查确保数据准确性</w:t>
      </w:r>
    </w:p>
    <w:p w14:paraId="57529AFB">
      <w:pPr>
        <w:pageBreakBefore w:val="0"/>
        <w:numPr>
          <w:ilvl w:val="0"/>
          <w:numId w:val="31"/>
        </w:numPr>
        <w:wordWrap/>
        <w:spacing w:before="160" w:after="0"/>
        <w:ind w:left="440" w:right="0" w:hanging="440"/>
        <w:jc w:val="left"/>
        <w:textAlignment w:val="auto"/>
        <w:rPr>
          <w:sz w:val="24"/>
        </w:rPr>
      </w:pPr>
      <w:r>
        <w:rPr>
          <w:rFonts w:ascii="宋体" w:hAnsi="宋体" w:eastAsia="宋体" w:cs="宋体"/>
          <w:b/>
          <w:i w:val="0"/>
          <w:spacing w:val="0"/>
          <w:sz w:val="24"/>
        </w:rPr>
        <w:t>数据锁定</w:t>
      </w:r>
      <w:r>
        <w:rPr>
          <w:rFonts w:ascii="宋体" w:hAnsi="宋体" w:eastAsia="宋体" w:cs="宋体"/>
          <w:b w:val="0"/>
          <w:i w:val="0"/>
          <w:spacing w:val="0"/>
          <w:sz w:val="24"/>
        </w:rPr>
        <w:t>：在所有患者完成随访后进行数据锁定，锁定前需完成所有数据质疑和澄清</w:t>
      </w:r>
    </w:p>
    <w:p w14:paraId="29D47ADB">
      <w:pPr>
        <w:pageBreakBefore w:val="0"/>
        <w:numPr>
          <w:ilvl w:val="0"/>
          <w:numId w:val="31"/>
        </w:numPr>
        <w:wordWrap/>
        <w:spacing w:before="160" w:after="0"/>
        <w:ind w:left="440" w:right="0" w:hanging="440"/>
        <w:jc w:val="left"/>
        <w:textAlignment w:val="auto"/>
        <w:rPr>
          <w:sz w:val="24"/>
        </w:rPr>
      </w:pPr>
      <w:r>
        <w:rPr>
          <w:rFonts w:ascii="宋体" w:hAnsi="宋体" w:eastAsia="宋体" w:cs="宋体"/>
          <w:b/>
          <w:i w:val="0"/>
          <w:spacing w:val="0"/>
          <w:sz w:val="24"/>
        </w:rPr>
        <w:t>中心实验室</w:t>
      </w:r>
      <w:r>
        <w:rPr>
          <w:rFonts w:ascii="宋体" w:hAnsi="宋体" w:eastAsia="宋体" w:cs="宋体"/>
          <w:b w:val="0"/>
          <w:i w:val="0"/>
          <w:spacing w:val="0"/>
          <w:sz w:val="24"/>
        </w:rPr>
        <w:t>：设立中心实验室统一进行生物标志物检测，确保结果一致性</w:t>
      </w:r>
    </w:p>
    <w:p w14:paraId="503DE7BC">
      <w:pPr>
        <w:pStyle w:val="3"/>
        <w:bidi w:val="0"/>
      </w:pPr>
      <w:bookmarkStart w:id="62" w:name="_Toc1960143250"/>
      <w:bookmarkStart w:id="63" w:name="_Toc2037487318"/>
      <w:r>
        <w:t>九、统计分析计划</w:t>
      </w:r>
      <w:bookmarkEnd w:id="62"/>
      <w:bookmarkEnd w:id="63"/>
    </w:p>
    <w:p w14:paraId="470B25EE">
      <w:pPr>
        <w:pStyle w:val="4"/>
        <w:bidi w:val="0"/>
      </w:pPr>
      <w:bookmarkStart w:id="64" w:name="_Toc1728457770"/>
      <w:bookmarkStart w:id="65" w:name="_Toc275118564"/>
      <w:r>
        <w:t>9.1 主要分析集</w:t>
      </w:r>
      <w:bookmarkEnd w:id="64"/>
      <w:bookmarkEnd w:id="65"/>
    </w:p>
    <w:p w14:paraId="35CA1D2D">
      <w:pPr>
        <w:pageBreakBefore w:val="0"/>
        <w:numPr>
          <w:ilvl w:val="0"/>
          <w:numId w:val="32"/>
        </w:numPr>
        <w:wordWrap/>
        <w:spacing w:before="160" w:after="0"/>
        <w:ind w:left="440" w:right="0" w:hanging="440"/>
        <w:jc w:val="left"/>
        <w:textAlignment w:val="auto"/>
        <w:rPr>
          <w:sz w:val="24"/>
        </w:rPr>
      </w:pPr>
      <w:r>
        <w:rPr>
          <w:rFonts w:ascii="宋体" w:hAnsi="宋体" w:eastAsia="宋体" w:cs="宋体"/>
          <w:b/>
          <w:i w:val="0"/>
          <w:spacing w:val="0"/>
          <w:sz w:val="24"/>
        </w:rPr>
        <w:t>全分析集（FAS）</w:t>
      </w:r>
      <w:r>
        <w:rPr>
          <w:rFonts w:ascii="宋体" w:hAnsi="宋体" w:eastAsia="宋体" w:cs="宋体"/>
          <w:b w:val="0"/>
          <w:i w:val="0"/>
          <w:spacing w:val="0"/>
          <w:sz w:val="24"/>
        </w:rPr>
        <w:t>：所有随机化的患者</w:t>
      </w:r>
    </w:p>
    <w:p w14:paraId="5421A2D7">
      <w:pPr>
        <w:pageBreakBefore w:val="0"/>
        <w:numPr>
          <w:ilvl w:val="0"/>
          <w:numId w:val="32"/>
        </w:numPr>
        <w:wordWrap/>
        <w:spacing w:before="160" w:after="0"/>
        <w:ind w:left="440" w:right="0" w:hanging="440"/>
        <w:jc w:val="left"/>
        <w:textAlignment w:val="auto"/>
        <w:rPr>
          <w:sz w:val="24"/>
        </w:rPr>
      </w:pPr>
      <w:r>
        <w:rPr>
          <w:rFonts w:ascii="宋体" w:hAnsi="宋体" w:eastAsia="宋体" w:cs="宋体"/>
          <w:b/>
          <w:i w:val="0"/>
          <w:spacing w:val="0"/>
          <w:sz w:val="24"/>
        </w:rPr>
        <w:t>符合方案集（PP）</w:t>
      </w:r>
      <w:r>
        <w:rPr>
          <w:rFonts w:ascii="宋体" w:hAnsi="宋体" w:eastAsia="宋体" w:cs="宋体"/>
          <w:b w:val="0"/>
          <w:i w:val="0"/>
          <w:spacing w:val="0"/>
          <w:sz w:val="24"/>
        </w:rPr>
        <w:t>：完成至少一次治疗并可评估疗效的患者</w:t>
      </w:r>
    </w:p>
    <w:p w14:paraId="35E17CE3">
      <w:pPr>
        <w:pageBreakBefore w:val="0"/>
        <w:numPr>
          <w:ilvl w:val="0"/>
          <w:numId w:val="32"/>
        </w:numPr>
        <w:wordWrap/>
        <w:spacing w:before="160" w:after="0"/>
        <w:ind w:left="440" w:right="0" w:hanging="440"/>
        <w:jc w:val="left"/>
        <w:textAlignment w:val="auto"/>
        <w:rPr>
          <w:sz w:val="24"/>
        </w:rPr>
      </w:pPr>
      <w:r>
        <w:rPr>
          <w:rFonts w:ascii="宋体" w:hAnsi="宋体" w:eastAsia="宋体" w:cs="宋体"/>
          <w:b/>
          <w:i w:val="0"/>
          <w:spacing w:val="0"/>
          <w:sz w:val="24"/>
        </w:rPr>
        <w:t>安全集（SS）</w:t>
      </w:r>
      <w:r>
        <w:rPr>
          <w:rFonts w:ascii="宋体" w:hAnsi="宋体" w:eastAsia="宋体" w:cs="宋体"/>
          <w:b w:val="0"/>
          <w:i w:val="0"/>
          <w:spacing w:val="0"/>
          <w:sz w:val="24"/>
        </w:rPr>
        <w:t>：所有接受至少一次研究药物的患者</w:t>
      </w:r>
    </w:p>
    <w:p w14:paraId="60A96A06">
      <w:pPr>
        <w:pStyle w:val="4"/>
        <w:bidi w:val="0"/>
      </w:pPr>
      <w:bookmarkStart w:id="66" w:name="_Toc1178447421"/>
      <w:bookmarkStart w:id="67" w:name="_Toc385413157"/>
      <w:r>
        <w:t>9.2 主要终点分析</w:t>
      </w:r>
      <w:bookmarkEnd w:id="66"/>
      <w:bookmarkEnd w:id="67"/>
    </w:p>
    <w:p w14:paraId="3BFF18D6">
      <w:pPr>
        <w:pageBreakBefore w:val="0"/>
        <w:numPr>
          <w:ilvl w:val="0"/>
          <w:numId w:val="33"/>
        </w:numPr>
        <w:wordWrap/>
        <w:spacing w:before="160" w:after="0"/>
        <w:ind w:left="440" w:right="0" w:hanging="440"/>
        <w:jc w:val="left"/>
        <w:textAlignment w:val="auto"/>
        <w:rPr>
          <w:sz w:val="24"/>
        </w:rPr>
      </w:pPr>
      <w:r>
        <w:rPr>
          <w:rFonts w:ascii="宋体" w:hAnsi="宋体" w:eastAsia="宋体" w:cs="宋体"/>
          <w:b/>
          <w:i w:val="0"/>
          <w:spacing w:val="0"/>
          <w:sz w:val="24"/>
        </w:rPr>
        <w:t>ORR分析</w:t>
      </w:r>
      <w:r>
        <w:rPr>
          <w:rFonts w:ascii="宋体" w:hAnsi="宋体" w:eastAsia="宋体" w:cs="宋体"/>
          <w:b w:val="0"/>
          <w:i w:val="0"/>
          <w:spacing w:val="0"/>
          <w:sz w:val="24"/>
        </w:rPr>
        <w:t>：采用Clopper-Pearson精确置信区间计算试验组和对照组的ORR及其95%置信区间</w:t>
      </w:r>
    </w:p>
    <w:p w14:paraId="0811E2AE">
      <w:pPr>
        <w:pageBreakBefore w:val="0"/>
        <w:numPr>
          <w:ilvl w:val="0"/>
          <w:numId w:val="33"/>
        </w:numPr>
        <w:wordWrap/>
        <w:spacing w:before="160" w:after="0"/>
        <w:ind w:left="440" w:right="0" w:hanging="440"/>
        <w:jc w:val="left"/>
        <w:textAlignment w:val="auto"/>
        <w:rPr>
          <w:sz w:val="24"/>
        </w:rPr>
      </w:pPr>
      <w:r>
        <w:rPr>
          <w:rFonts w:ascii="宋体" w:hAnsi="宋体" w:eastAsia="宋体" w:cs="宋体"/>
          <w:b/>
          <w:i w:val="0"/>
          <w:spacing w:val="0"/>
          <w:sz w:val="24"/>
        </w:rPr>
        <w:t>组间比较</w:t>
      </w:r>
      <w:r>
        <w:rPr>
          <w:rFonts w:ascii="宋体" w:hAnsi="宋体" w:eastAsia="宋体" w:cs="宋体"/>
          <w:b w:val="0"/>
          <w:i w:val="0"/>
          <w:spacing w:val="0"/>
          <w:sz w:val="24"/>
        </w:rPr>
        <w:t>：采用Fisher精确检验比较试验组与对照组的ORR差异</w:t>
      </w:r>
    </w:p>
    <w:p w14:paraId="7089D52C">
      <w:pPr>
        <w:pageBreakBefore w:val="0"/>
        <w:numPr>
          <w:ilvl w:val="0"/>
          <w:numId w:val="33"/>
        </w:numPr>
        <w:wordWrap/>
        <w:spacing w:before="160" w:after="0"/>
        <w:ind w:left="440" w:right="0" w:hanging="440"/>
        <w:jc w:val="left"/>
        <w:textAlignment w:val="auto"/>
        <w:rPr>
          <w:sz w:val="24"/>
        </w:rPr>
      </w:pPr>
      <w:r>
        <w:rPr>
          <w:rFonts w:ascii="宋体" w:hAnsi="宋体" w:eastAsia="宋体" w:cs="宋体"/>
          <w:b/>
          <w:i w:val="0"/>
          <w:spacing w:val="0"/>
          <w:sz w:val="24"/>
        </w:rPr>
        <w:t>亚组分析</w:t>
      </w:r>
      <w:r>
        <w:rPr>
          <w:rFonts w:ascii="宋体" w:hAnsi="宋体" w:eastAsia="宋体" w:cs="宋体"/>
          <w:b w:val="0"/>
          <w:i w:val="0"/>
          <w:spacing w:val="0"/>
          <w:sz w:val="24"/>
        </w:rPr>
        <w:t>：按HPV状态、PD-L1 CPS评分、肿瘤亚型和ECOG评分进行亚组分析，评估不同亚组患者的ORR差异</w:t>
      </w:r>
    </w:p>
    <w:p w14:paraId="21E895EB">
      <w:pPr>
        <w:pStyle w:val="4"/>
        <w:bidi w:val="0"/>
      </w:pPr>
      <w:bookmarkStart w:id="68" w:name="_Toc2071612113"/>
      <w:bookmarkStart w:id="69" w:name="_Toc828250347"/>
      <w:r>
        <w:t>9.3 次要终点分析</w:t>
      </w:r>
      <w:bookmarkEnd w:id="68"/>
      <w:bookmarkEnd w:id="69"/>
    </w:p>
    <w:p w14:paraId="44AAF361">
      <w:pPr>
        <w:pageBreakBefore w:val="0"/>
        <w:numPr>
          <w:ilvl w:val="0"/>
          <w:numId w:val="34"/>
        </w:numPr>
        <w:wordWrap/>
        <w:spacing w:before="160" w:after="0"/>
        <w:ind w:left="440" w:right="0" w:hanging="440"/>
        <w:jc w:val="left"/>
        <w:textAlignment w:val="auto"/>
        <w:rPr>
          <w:sz w:val="24"/>
        </w:rPr>
      </w:pPr>
      <w:r>
        <w:rPr>
          <w:rFonts w:ascii="宋体" w:hAnsi="宋体" w:eastAsia="宋体" w:cs="宋体"/>
          <w:b/>
          <w:i w:val="0"/>
          <w:spacing w:val="0"/>
          <w:sz w:val="24"/>
        </w:rPr>
        <w:t>DCR分析</w:t>
      </w:r>
      <w:r>
        <w:rPr>
          <w:rFonts w:ascii="宋体" w:hAnsi="宋体" w:eastAsia="宋体" w:cs="宋体"/>
          <w:b w:val="0"/>
          <w:i w:val="0"/>
          <w:spacing w:val="0"/>
          <w:sz w:val="24"/>
        </w:rPr>
        <w:t>：采用Clopper-Pearson精确置信区间计算试验组和对照组的DCR及其95%置信区间</w:t>
      </w:r>
    </w:p>
    <w:p w14:paraId="25220F01">
      <w:pPr>
        <w:pageBreakBefore w:val="0"/>
        <w:numPr>
          <w:ilvl w:val="0"/>
          <w:numId w:val="34"/>
        </w:numPr>
        <w:wordWrap/>
        <w:spacing w:before="160" w:after="0"/>
        <w:ind w:left="440" w:right="0" w:hanging="440"/>
        <w:jc w:val="left"/>
        <w:textAlignment w:val="auto"/>
        <w:rPr>
          <w:sz w:val="24"/>
        </w:rPr>
      </w:pPr>
      <w:r>
        <w:rPr>
          <w:rFonts w:ascii="宋体" w:hAnsi="宋体" w:eastAsia="宋体" w:cs="宋体"/>
          <w:b/>
          <w:i w:val="0"/>
          <w:spacing w:val="0"/>
          <w:sz w:val="24"/>
        </w:rPr>
        <w:t>PFS分析</w:t>
      </w:r>
      <w:r>
        <w:rPr>
          <w:rFonts w:ascii="宋体" w:hAnsi="宋体" w:eastAsia="宋体" w:cs="宋体"/>
          <w:b w:val="0"/>
          <w:i w:val="0"/>
          <w:spacing w:val="0"/>
          <w:sz w:val="24"/>
        </w:rPr>
        <w:t>：采用Kaplan-Meier法估算中位PFS，组间比较采用Log-rank检验</w:t>
      </w:r>
    </w:p>
    <w:p w14:paraId="5B10C146">
      <w:pPr>
        <w:pageBreakBefore w:val="0"/>
        <w:numPr>
          <w:ilvl w:val="0"/>
          <w:numId w:val="34"/>
        </w:numPr>
        <w:wordWrap/>
        <w:spacing w:before="160" w:after="0"/>
        <w:ind w:left="440" w:right="0" w:hanging="440"/>
        <w:jc w:val="left"/>
        <w:textAlignment w:val="auto"/>
        <w:rPr>
          <w:sz w:val="24"/>
        </w:rPr>
      </w:pPr>
      <w:r>
        <w:rPr>
          <w:rFonts w:ascii="宋体" w:hAnsi="宋体" w:eastAsia="宋体" w:cs="宋体"/>
          <w:b/>
          <w:i w:val="0"/>
          <w:spacing w:val="0"/>
          <w:sz w:val="24"/>
        </w:rPr>
        <w:t>OS分析</w:t>
      </w:r>
      <w:r>
        <w:rPr>
          <w:rFonts w:ascii="宋体" w:hAnsi="宋体" w:eastAsia="宋体" w:cs="宋体"/>
          <w:b w:val="0"/>
          <w:i w:val="0"/>
          <w:spacing w:val="0"/>
          <w:sz w:val="24"/>
        </w:rPr>
        <w:t>：采用Kaplan-Meier法估算中位OS，组间比较采用Log-rank检验</w:t>
      </w:r>
    </w:p>
    <w:p w14:paraId="3B29334A">
      <w:pPr>
        <w:pageBreakBefore w:val="0"/>
        <w:numPr>
          <w:ilvl w:val="0"/>
          <w:numId w:val="34"/>
        </w:numPr>
        <w:wordWrap/>
        <w:spacing w:before="160" w:after="0"/>
        <w:ind w:left="440" w:right="0" w:hanging="440"/>
        <w:jc w:val="left"/>
        <w:textAlignment w:val="auto"/>
        <w:rPr>
          <w:sz w:val="24"/>
        </w:rPr>
      </w:pPr>
      <w:r>
        <w:rPr>
          <w:rFonts w:ascii="宋体" w:hAnsi="宋体" w:eastAsia="宋体" w:cs="宋体"/>
          <w:b/>
          <w:i w:val="0"/>
          <w:spacing w:val="0"/>
          <w:sz w:val="24"/>
        </w:rPr>
        <w:t>安全性分析</w:t>
      </w:r>
      <w:r>
        <w:rPr>
          <w:rFonts w:ascii="宋体" w:hAnsi="宋体" w:eastAsia="宋体" w:cs="宋体"/>
          <w:b w:val="0"/>
          <w:i w:val="0"/>
          <w:spacing w:val="0"/>
          <w:sz w:val="24"/>
        </w:rPr>
        <w:t>：描述性统计分析AE发生率、严重AE（SAE）发生率及导致停药的AE发生率</w:t>
      </w:r>
    </w:p>
    <w:p w14:paraId="1112A23F">
      <w:pPr>
        <w:pageBreakBefore w:val="0"/>
        <w:numPr>
          <w:ilvl w:val="0"/>
          <w:numId w:val="34"/>
        </w:numPr>
        <w:wordWrap/>
        <w:spacing w:before="160" w:after="0"/>
        <w:ind w:left="440" w:right="0" w:hanging="440"/>
        <w:jc w:val="left"/>
        <w:textAlignment w:val="auto"/>
        <w:rPr>
          <w:sz w:val="24"/>
        </w:rPr>
      </w:pPr>
      <w:r>
        <w:rPr>
          <w:rFonts w:ascii="宋体" w:hAnsi="宋体" w:eastAsia="宋体" w:cs="宋体"/>
          <w:b/>
          <w:i w:val="0"/>
          <w:spacing w:val="0"/>
          <w:sz w:val="24"/>
        </w:rPr>
        <w:t>生物标志物分析</w:t>
      </w:r>
      <w:r>
        <w:rPr>
          <w:rFonts w:ascii="宋体" w:hAnsi="宋体" w:eastAsia="宋体" w:cs="宋体"/>
          <w:b w:val="0"/>
          <w:i w:val="0"/>
          <w:spacing w:val="0"/>
          <w:sz w:val="24"/>
        </w:rPr>
        <w:t>：</w:t>
      </w:r>
    </w:p>
    <w:p w14:paraId="5A46BDBF">
      <w:pPr>
        <w:pageBreakBefore w:val="0"/>
        <w:numPr>
          <w:ilvl w:val="1"/>
          <w:numId w:val="35"/>
        </w:numPr>
        <w:wordWrap/>
        <w:spacing w:before="160" w:after="0"/>
        <w:ind w:left="880" w:right="0" w:hanging="440"/>
        <w:jc w:val="left"/>
        <w:textAlignment w:val="auto"/>
        <w:rPr>
          <w:sz w:val="24"/>
        </w:rPr>
      </w:pPr>
      <w:r>
        <w:rPr>
          <w:rFonts w:ascii="宋体" w:hAnsi="宋体" w:eastAsia="宋体" w:cs="宋体"/>
          <w:b w:val="0"/>
          <w:i w:val="0"/>
          <w:spacing w:val="0"/>
          <w:sz w:val="24"/>
        </w:rPr>
        <w:t>多变量逻辑回归分析HPV状态、PD-L1 CPS评分与治疗反应的相关性</w:t>
      </w:r>
    </w:p>
    <w:p w14:paraId="7E759E6F">
      <w:pPr>
        <w:pageBreakBefore w:val="0"/>
        <w:numPr>
          <w:ilvl w:val="1"/>
          <w:numId w:val="35"/>
        </w:numPr>
        <w:wordWrap/>
        <w:spacing w:before="160" w:after="0"/>
        <w:ind w:left="880" w:right="0" w:hanging="440"/>
        <w:jc w:val="left"/>
        <w:textAlignment w:val="auto"/>
        <w:rPr>
          <w:sz w:val="24"/>
        </w:rPr>
      </w:pPr>
      <w:r>
        <w:rPr>
          <w:rFonts w:ascii="宋体" w:hAnsi="宋体" w:eastAsia="宋体" w:cs="宋体"/>
          <w:b w:val="0"/>
          <w:i w:val="0"/>
          <w:spacing w:val="0"/>
          <w:sz w:val="24"/>
        </w:rPr>
        <w:t>-ROC曲线分析IL-12和IFN-γ水平与治疗反应的相关性</w:t>
      </w:r>
    </w:p>
    <w:p w14:paraId="3B075398">
      <w:pPr>
        <w:pageBreakBefore w:val="0"/>
        <w:numPr>
          <w:ilvl w:val="1"/>
          <w:numId w:val="35"/>
        </w:numPr>
        <w:wordWrap/>
        <w:spacing w:before="160" w:after="0"/>
        <w:ind w:left="880" w:right="0" w:hanging="440"/>
        <w:jc w:val="left"/>
        <w:textAlignment w:val="auto"/>
        <w:rPr>
          <w:sz w:val="24"/>
        </w:rPr>
      </w:pPr>
      <w:r>
        <w:rPr>
          <w:rFonts w:ascii="宋体" w:hAnsi="宋体" w:eastAsia="宋体" w:cs="宋体"/>
          <w:b w:val="0"/>
          <w:i w:val="0"/>
          <w:spacing w:val="0"/>
          <w:sz w:val="24"/>
        </w:rPr>
        <w:t>-肿瘤浸润CD8+ T细胞密度与治疗反应的相关性分析</w:t>
      </w:r>
    </w:p>
    <w:p w14:paraId="3A10782E">
      <w:pPr>
        <w:pStyle w:val="4"/>
        <w:bidi w:val="0"/>
      </w:pPr>
      <w:bookmarkStart w:id="70" w:name="_Toc432414380"/>
      <w:bookmarkStart w:id="71" w:name="_Toc414582175"/>
      <w:r>
        <w:t>9.4 统计软件</w:t>
      </w:r>
      <w:bookmarkEnd w:id="70"/>
      <w:bookmarkEnd w:id="71"/>
    </w:p>
    <w:p w14:paraId="0BDEEEF2">
      <w:pPr>
        <w:pageBreakBefore w:val="0"/>
        <w:numPr>
          <w:ilvl w:val="0"/>
          <w:numId w:val="36"/>
        </w:numPr>
        <w:wordWrap/>
        <w:spacing w:before="160" w:after="0"/>
        <w:ind w:left="440" w:right="0" w:hanging="440"/>
        <w:jc w:val="left"/>
        <w:textAlignment w:val="auto"/>
        <w:rPr>
          <w:sz w:val="24"/>
        </w:rPr>
      </w:pPr>
      <w:r>
        <w:rPr>
          <w:rFonts w:ascii="宋体" w:hAnsi="宋体" w:eastAsia="宋体" w:cs="宋体"/>
          <w:b w:val="0"/>
          <w:i w:val="0"/>
          <w:spacing w:val="0"/>
          <w:sz w:val="24"/>
        </w:rPr>
        <w:t>使用SAS 9.4或更高版本进行统计分析</w:t>
      </w:r>
    </w:p>
    <w:p w14:paraId="21D36CBF">
      <w:pPr>
        <w:pageBreakBefore w:val="0"/>
        <w:widowControl w:val="0"/>
        <w:numPr>
          <w:numId w:val="0"/>
        </w:numPr>
        <w:wordWrap/>
        <w:spacing w:before="160" w:after="0"/>
        <w:ind w:right="0" w:rightChars="0"/>
        <w:jc w:val="left"/>
        <w:textAlignment w:val="auto"/>
        <w:rPr>
          <w:sz w:val="24"/>
        </w:rPr>
      </w:pPr>
      <w:r>
        <w:drawing>
          <wp:inline distT="0" distB="0" distL="114300" distR="114300">
            <wp:extent cx="1600200" cy="7239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600200" cy="723900"/>
                    </a:xfrm>
                    <a:prstGeom prst="rect">
                      <a:avLst/>
                    </a:prstGeom>
                    <a:noFill/>
                    <a:ln>
                      <a:noFill/>
                    </a:ln>
                  </pic:spPr>
                </pic:pic>
              </a:graphicData>
            </a:graphic>
          </wp:inline>
        </w:drawing>
      </w:r>
    </w:p>
    <w:p w14:paraId="395739E0">
      <w:pPr>
        <w:pageBreakBefore w:val="0"/>
        <w:numPr>
          <w:ilvl w:val="0"/>
          <w:numId w:val="36"/>
        </w:numPr>
        <w:wordWrap/>
        <w:spacing w:before="160" w:after="0"/>
        <w:ind w:left="440" w:right="0" w:hanging="440"/>
        <w:jc w:val="left"/>
        <w:textAlignment w:val="auto"/>
        <w:rPr>
          <w:sz w:val="24"/>
        </w:rPr>
      </w:pPr>
      <w:r>
        <w:rPr>
          <w:rFonts w:ascii="宋体" w:hAnsi="宋体" w:eastAsia="宋体" w:cs="宋体"/>
          <w:b w:val="0"/>
          <w:i w:val="0"/>
          <w:spacing w:val="0"/>
          <w:sz w:val="24"/>
        </w:rPr>
        <w:t>使用R 4.3.1或更高版本进行生物标志物分析</w:t>
      </w:r>
    </w:p>
    <w:p w14:paraId="52E75FF3">
      <w:pPr>
        <w:pageBreakBefore w:val="0"/>
        <w:numPr>
          <w:numId w:val="0"/>
        </w:numPr>
        <w:wordWrap/>
        <w:spacing w:before="160" w:after="0"/>
        <w:ind w:leftChars="0" w:right="0" w:rightChars="0"/>
        <w:jc w:val="left"/>
        <w:textAlignment w:val="auto"/>
        <w:rPr>
          <w:sz w:val="24"/>
        </w:rPr>
      </w:pPr>
      <w:r>
        <w:drawing>
          <wp:inline distT="0" distB="0" distL="114300" distR="114300">
            <wp:extent cx="1522730" cy="1143635"/>
            <wp:effectExtent l="0" t="0" r="127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522730" cy="1143635"/>
                    </a:xfrm>
                    <a:prstGeom prst="rect">
                      <a:avLst/>
                    </a:prstGeom>
                    <a:noFill/>
                    <a:ln>
                      <a:noFill/>
                    </a:ln>
                  </pic:spPr>
                </pic:pic>
              </a:graphicData>
            </a:graphic>
          </wp:inline>
        </w:drawing>
      </w:r>
      <w:bookmarkStart w:id="156" w:name="_GoBack"/>
      <w:bookmarkEnd w:id="156"/>
    </w:p>
    <w:p w14:paraId="42A0C529">
      <w:pPr>
        <w:pStyle w:val="3"/>
        <w:bidi w:val="0"/>
      </w:pPr>
      <w:bookmarkStart w:id="72" w:name="_Toc503823212"/>
      <w:bookmarkStart w:id="73" w:name="_Toc1445664357"/>
      <w:r>
        <w:t>十、安全性监测机制</w:t>
      </w:r>
      <w:bookmarkEnd w:id="72"/>
      <w:bookmarkEnd w:id="73"/>
    </w:p>
    <w:p w14:paraId="311F9BB5">
      <w:pPr>
        <w:pStyle w:val="4"/>
        <w:bidi w:val="0"/>
      </w:pPr>
      <w:bookmarkStart w:id="74" w:name="_Toc228703963"/>
      <w:bookmarkStart w:id="75" w:name="_Toc650865941"/>
      <w:r>
        <w:t>10.1 安全性监测计划</w:t>
      </w:r>
      <w:bookmarkEnd w:id="74"/>
      <w:bookmarkEnd w:id="75"/>
    </w:p>
    <w:p w14:paraId="7DCEE91C">
      <w:pPr>
        <w:pageBreakBefore w:val="0"/>
        <w:numPr>
          <w:ilvl w:val="0"/>
          <w:numId w:val="37"/>
        </w:numPr>
        <w:wordWrap/>
        <w:spacing w:before="160" w:after="0"/>
        <w:ind w:left="440" w:right="0" w:hanging="440"/>
        <w:jc w:val="left"/>
        <w:textAlignment w:val="auto"/>
        <w:rPr>
          <w:sz w:val="24"/>
        </w:rPr>
      </w:pPr>
      <w:r>
        <w:rPr>
          <w:rFonts w:ascii="宋体" w:hAnsi="宋体" w:eastAsia="宋体" w:cs="宋体"/>
          <w:b/>
          <w:i w:val="0"/>
          <w:spacing w:val="0"/>
          <w:sz w:val="24"/>
        </w:rPr>
        <w:t>不良事件报告</w:t>
      </w:r>
      <w:r>
        <w:rPr>
          <w:rFonts w:ascii="宋体" w:hAnsi="宋体" w:eastAsia="宋体" w:cs="宋体"/>
          <w:b w:val="0"/>
          <w:i w:val="0"/>
          <w:spacing w:val="0"/>
          <w:sz w:val="24"/>
        </w:rPr>
        <w:t>：</w:t>
      </w:r>
    </w:p>
    <w:p w14:paraId="3AFCE974">
      <w:pPr>
        <w:pageBreakBefore w:val="0"/>
        <w:numPr>
          <w:ilvl w:val="1"/>
          <w:numId w:val="38"/>
        </w:numPr>
        <w:wordWrap/>
        <w:spacing w:before="160" w:after="0"/>
        <w:ind w:left="880" w:right="0" w:hanging="440"/>
        <w:jc w:val="left"/>
        <w:textAlignment w:val="auto"/>
        <w:rPr>
          <w:sz w:val="24"/>
        </w:rPr>
      </w:pPr>
      <w:r>
        <w:rPr>
          <w:rFonts w:ascii="宋体" w:hAnsi="宋体" w:eastAsia="宋体" w:cs="宋体"/>
          <w:b w:val="0"/>
          <w:i w:val="0"/>
          <w:spacing w:val="0"/>
          <w:sz w:val="24"/>
        </w:rPr>
        <w:t>1-2级AE：每周记录一次</w:t>
      </w:r>
    </w:p>
    <w:p w14:paraId="0B95409E">
      <w:pPr>
        <w:pageBreakBefore w:val="0"/>
        <w:numPr>
          <w:ilvl w:val="1"/>
          <w:numId w:val="38"/>
        </w:numPr>
        <w:wordWrap/>
        <w:spacing w:before="160" w:after="0"/>
        <w:ind w:left="880" w:right="0" w:hanging="440"/>
        <w:jc w:val="left"/>
        <w:textAlignment w:val="auto"/>
        <w:rPr>
          <w:sz w:val="24"/>
        </w:rPr>
      </w:pPr>
      <w:r>
        <w:rPr>
          <w:rFonts w:ascii="宋体" w:hAnsi="宋体" w:eastAsia="宋体" w:cs="宋体"/>
          <w:b w:val="0"/>
          <w:i w:val="0"/>
          <w:spacing w:val="0"/>
          <w:sz w:val="24"/>
        </w:rPr>
        <w:t>3-4级AE：立即报告并记录</w:t>
      </w:r>
    </w:p>
    <w:p w14:paraId="1B3302A6">
      <w:pPr>
        <w:pageBreakBefore w:val="0"/>
        <w:numPr>
          <w:ilvl w:val="1"/>
          <w:numId w:val="38"/>
        </w:numPr>
        <w:wordWrap/>
        <w:spacing w:before="160" w:after="0"/>
        <w:ind w:left="880" w:right="0" w:hanging="440"/>
        <w:jc w:val="left"/>
        <w:textAlignment w:val="auto"/>
        <w:rPr>
          <w:sz w:val="24"/>
        </w:rPr>
      </w:pPr>
      <w:r>
        <w:rPr>
          <w:rFonts w:ascii="宋体" w:hAnsi="宋体" w:eastAsia="宋体" w:cs="宋体"/>
          <w:b w:val="0"/>
          <w:i w:val="0"/>
          <w:spacing w:val="0"/>
          <w:sz w:val="24"/>
        </w:rPr>
        <w:t>SAE：24小时内向申办方和伦理委员会报告</w:t>
      </w:r>
    </w:p>
    <w:p w14:paraId="411B8A42">
      <w:pPr>
        <w:pageBreakBefore w:val="0"/>
        <w:numPr>
          <w:ilvl w:val="0"/>
          <w:numId w:val="37"/>
        </w:numPr>
        <w:wordWrap/>
        <w:spacing w:before="160" w:after="0"/>
        <w:ind w:left="440" w:right="0" w:hanging="440"/>
        <w:jc w:val="left"/>
        <w:textAlignment w:val="auto"/>
        <w:rPr>
          <w:sz w:val="24"/>
        </w:rPr>
      </w:pPr>
      <w:r>
        <w:rPr>
          <w:rFonts w:ascii="宋体" w:hAnsi="宋体" w:eastAsia="宋体" w:cs="宋体"/>
          <w:b/>
          <w:i w:val="0"/>
          <w:spacing w:val="0"/>
          <w:sz w:val="24"/>
        </w:rPr>
        <w:t>实验室检查</w:t>
      </w:r>
      <w:r>
        <w:rPr>
          <w:rFonts w:ascii="宋体" w:hAnsi="宋体" w:eastAsia="宋体" w:cs="宋体"/>
          <w:b w:val="0"/>
          <w:i w:val="0"/>
          <w:spacing w:val="0"/>
          <w:sz w:val="24"/>
        </w:rPr>
        <w:t>：治疗前、每2周一次、治疗结束后及随访期间定期监测血常规、肝肾功能等指标</w:t>
      </w:r>
    </w:p>
    <w:p w14:paraId="2A87DE73">
      <w:pPr>
        <w:pageBreakBefore w:val="0"/>
        <w:numPr>
          <w:ilvl w:val="0"/>
          <w:numId w:val="37"/>
        </w:numPr>
        <w:wordWrap/>
        <w:spacing w:before="160" w:after="0"/>
        <w:ind w:left="440" w:right="0" w:hanging="440"/>
        <w:jc w:val="left"/>
        <w:textAlignment w:val="auto"/>
        <w:rPr>
          <w:sz w:val="24"/>
        </w:rPr>
      </w:pPr>
      <w:r>
        <w:rPr>
          <w:rFonts w:ascii="宋体" w:hAnsi="宋体" w:eastAsia="宋体" w:cs="宋体"/>
          <w:b/>
          <w:i w:val="0"/>
          <w:spacing w:val="0"/>
          <w:sz w:val="24"/>
        </w:rPr>
        <w:t>影像学检查</w:t>
      </w:r>
      <w:r>
        <w:rPr>
          <w:rFonts w:ascii="宋体" w:hAnsi="宋体" w:eastAsia="宋体" w:cs="宋体"/>
          <w:b w:val="0"/>
          <w:i w:val="0"/>
          <w:spacing w:val="0"/>
          <w:sz w:val="24"/>
        </w:rPr>
        <w:t>：基线、治疗第6周、第12周及随访期每3个月进行一次影像学检查</w:t>
      </w:r>
    </w:p>
    <w:p w14:paraId="3A685AE3">
      <w:pPr>
        <w:pageBreakBefore w:val="0"/>
        <w:numPr>
          <w:ilvl w:val="0"/>
          <w:numId w:val="37"/>
        </w:numPr>
        <w:wordWrap/>
        <w:spacing w:before="160" w:after="0"/>
        <w:ind w:left="440" w:right="0" w:hanging="440"/>
        <w:jc w:val="left"/>
        <w:textAlignment w:val="auto"/>
        <w:rPr>
          <w:sz w:val="24"/>
        </w:rPr>
      </w:pPr>
      <w:r>
        <w:rPr>
          <w:rFonts w:ascii="宋体" w:hAnsi="宋体" w:eastAsia="宋体" w:cs="宋体"/>
          <w:b/>
          <w:i w:val="0"/>
          <w:spacing w:val="0"/>
          <w:sz w:val="24"/>
        </w:rPr>
        <w:t>特殊监测</w:t>
      </w:r>
      <w:r>
        <w:rPr>
          <w:rFonts w:ascii="宋体" w:hAnsi="宋体" w:eastAsia="宋体" w:cs="宋体"/>
          <w:b w:val="0"/>
          <w:i w:val="0"/>
          <w:spacing w:val="0"/>
          <w:sz w:val="24"/>
        </w:rPr>
        <w:t>：重点关注3级以上神经毒性（如疱疹性脑炎）、发热（&gt;38.5℃持续&gt;72h）和4级血液学毒性</w:t>
      </w:r>
    </w:p>
    <w:p w14:paraId="6B098CEF">
      <w:pPr>
        <w:pStyle w:val="4"/>
        <w:bidi w:val="0"/>
      </w:pPr>
      <w:bookmarkStart w:id="76" w:name="_Toc1979261658"/>
      <w:bookmarkStart w:id="77" w:name="_Toc1969656216"/>
      <w:r>
        <w:t>10.2 独立数据监查委员会（IDMC）</w:t>
      </w:r>
      <w:bookmarkEnd w:id="76"/>
      <w:bookmarkEnd w:id="77"/>
    </w:p>
    <w:p w14:paraId="2B86A617">
      <w:pPr>
        <w:pageBreakBefore w:val="0"/>
        <w:numPr>
          <w:ilvl w:val="0"/>
          <w:numId w:val="39"/>
        </w:numPr>
        <w:wordWrap/>
        <w:spacing w:before="160" w:after="0"/>
        <w:ind w:left="440" w:right="0" w:hanging="440"/>
        <w:jc w:val="left"/>
        <w:textAlignment w:val="auto"/>
        <w:rPr>
          <w:sz w:val="24"/>
        </w:rPr>
      </w:pPr>
      <w:r>
        <w:rPr>
          <w:rFonts w:ascii="宋体" w:hAnsi="宋体" w:eastAsia="宋体" w:cs="宋体"/>
          <w:b/>
          <w:i w:val="0"/>
          <w:spacing w:val="0"/>
          <w:sz w:val="24"/>
        </w:rPr>
        <w:t>组成</w:t>
      </w:r>
      <w:r>
        <w:rPr>
          <w:rFonts w:ascii="宋体" w:hAnsi="宋体" w:eastAsia="宋体" w:cs="宋体"/>
          <w:b w:val="0"/>
          <w:i w:val="0"/>
          <w:spacing w:val="0"/>
          <w:sz w:val="24"/>
        </w:rPr>
        <w:t>：IDMC由2名肿瘤学专家、1名统计学家和1名伦理专家组成，均与试验无利益冲突</w:t>
      </w:r>
    </w:p>
    <w:p w14:paraId="58E37995">
      <w:pPr>
        <w:pageBreakBefore w:val="0"/>
        <w:numPr>
          <w:ilvl w:val="0"/>
          <w:numId w:val="39"/>
        </w:numPr>
        <w:wordWrap/>
        <w:spacing w:before="160" w:after="0"/>
        <w:ind w:left="440" w:right="0" w:hanging="440"/>
        <w:jc w:val="left"/>
        <w:textAlignment w:val="auto"/>
        <w:rPr>
          <w:sz w:val="24"/>
        </w:rPr>
      </w:pPr>
      <w:r>
        <w:rPr>
          <w:rFonts w:ascii="宋体" w:hAnsi="宋体" w:eastAsia="宋体" w:cs="宋体"/>
          <w:b/>
          <w:i w:val="0"/>
          <w:spacing w:val="0"/>
          <w:sz w:val="24"/>
        </w:rPr>
        <w:t>职责</w:t>
      </w:r>
      <w:r>
        <w:rPr>
          <w:rFonts w:ascii="宋体" w:hAnsi="宋体" w:eastAsia="宋体" w:cs="宋体"/>
          <w:b w:val="0"/>
          <w:i w:val="0"/>
          <w:spacing w:val="0"/>
          <w:sz w:val="24"/>
        </w:rPr>
        <w:t>：每3个月对安全性数据和疗效数据进行一次审查，评估试验组与对照组的安全性差异和疗效差异</w:t>
      </w:r>
    </w:p>
    <w:p w14:paraId="4447EDDE">
      <w:pPr>
        <w:pageBreakBefore w:val="0"/>
        <w:numPr>
          <w:ilvl w:val="0"/>
          <w:numId w:val="39"/>
        </w:numPr>
        <w:wordWrap/>
        <w:spacing w:before="160" w:after="0"/>
        <w:ind w:left="440" w:right="0" w:hanging="440"/>
        <w:jc w:val="left"/>
        <w:textAlignment w:val="auto"/>
        <w:rPr>
          <w:sz w:val="24"/>
        </w:rPr>
      </w:pPr>
      <w:r>
        <w:rPr>
          <w:rFonts w:ascii="宋体" w:hAnsi="宋体" w:eastAsia="宋体" w:cs="宋体"/>
          <w:b/>
          <w:i w:val="0"/>
          <w:spacing w:val="0"/>
          <w:sz w:val="24"/>
        </w:rPr>
        <w:t>终止标准</w:t>
      </w:r>
      <w:r>
        <w:rPr>
          <w:rFonts w:ascii="宋体" w:hAnsi="宋体" w:eastAsia="宋体" w:cs="宋体"/>
          <w:b w:val="0"/>
          <w:i w:val="0"/>
          <w:spacing w:val="0"/>
          <w:sz w:val="24"/>
        </w:rPr>
        <w:t>：</w:t>
      </w:r>
    </w:p>
    <w:p w14:paraId="6591F8A5">
      <w:pPr>
        <w:pageBreakBefore w:val="0"/>
        <w:numPr>
          <w:ilvl w:val="1"/>
          <w:numId w:val="40"/>
        </w:numPr>
        <w:wordWrap/>
        <w:spacing w:before="160" w:after="0"/>
        <w:ind w:left="880" w:right="0" w:hanging="440"/>
        <w:jc w:val="left"/>
        <w:textAlignment w:val="auto"/>
        <w:rPr>
          <w:sz w:val="24"/>
        </w:rPr>
      </w:pPr>
      <w:r>
        <w:rPr>
          <w:rFonts w:ascii="宋体" w:hAnsi="宋体" w:eastAsia="宋体" w:cs="宋体"/>
          <w:b w:val="0"/>
          <w:i w:val="0"/>
          <w:spacing w:val="0"/>
          <w:sz w:val="24"/>
        </w:rPr>
        <w:t>若试验组3级以上神经毒性发生率&gt;20%，则建议提前终止试验</w:t>
      </w:r>
    </w:p>
    <w:p w14:paraId="145DA82F">
      <w:pPr>
        <w:pageBreakBefore w:val="0"/>
        <w:numPr>
          <w:ilvl w:val="1"/>
          <w:numId w:val="40"/>
        </w:numPr>
        <w:wordWrap/>
        <w:spacing w:before="160" w:after="0"/>
        <w:ind w:left="880" w:right="0" w:hanging="440"/>
        <w:jc w:val="left"/>
        <w:textAlignment w:val="auto"/>
        <w:rPr>
          <w:sz w:val="24"/>
        </w:rPr>
      </w:pPr>
      <w:r>
        <w:rPr>
          <w:rFonts w:ascii="宋体" w:hAnsi="宋体" w:eastAsia="宋体" w:cs="宋体"/>
          <w:b w:val="0"/>
          <w:i w:val="0"/>
          <w:spacing w:val="0"/>
          <w:sz w:val="24"/>
        </w:rPr>
        <w:t>若试验组ORR明显优于对照组（p&lt;0.01），则可考虑提前终止试验</w:t>
      </w:r>
    </w:p>
    <w:p w14:paraId="5413B60B">
      <w:pPr>
        <w:pageBreakBefore w:val="0"/>
        <w:numPr>
          <w:ilvl w:val="1"/>
          <w:numId w:val="40"/>
        </w:numPr>
        <w:wordWrap/>
        <w:spacing w:before="160" w:after="0"/>
        <w:ind w:left="880" w:right="0" w:hanging="440"/>
        <w:jc w:val="left"/>
        <w:textAlignment w:val="auto"/>
        <w:rPr>
          <w:sz w:val="24"/>
        </w:rPr>
      </w:pPr>
      <w:r>
        <w:rPr>
          <w:rFonts w:ascii="宋体" w:hAnsi="宋体" w:eastAsia="宋体" w:cs="宋体"/>
          <w:b w:val="0"/>
          <w:i w:val="0"/>
          <w:spacing w:val="0"/>
          <w:sz w:val="24"/>
        </w:rPr>
        <w:t>若试验组ORR明显低于对照组（p&gt;0.1），则建议提前终止试验</w:t>
      </w:r>
    </w:p>
    <w:p w14:paraId="19270AC7">
      <w:pPr>
        <w:pStyle w:val="3"/>
        <w:bidi w:val="0"/>
      </w:pPr>
      <w:bookmarkStart w:id="78" w:name="_Toc928993976"/>
      <w:bookmarkStart w:id="79" w:name="_Toc551603807"/>
      <w:r>
        <w:t>十一、研究团队职责分工</w:t>
      </w:r>
      <w:bookmarkEnd w:id="78"/>
      <w:bookmarkEnd w:id="79"/>
    </w:p>
    <w:p w14:paraId="108D9AD1">
      <w:pPr>
        <w:pStyle w:val="4"/>
        <w:bidi w:val="0"/>
      </w:pPr>
      <w:bookmarkStart w:id="80" w:name="_Toc1395640942"/>
      <w:bookmarkStart w:id="81" w:name="_Toc118280150"/>
      <w:r>
        <w:t>11.1 主要研究者（PI）</w:t>
      </w:r>
      <w:bookmarkEnd w:id="80"/>
      <w:bookmarkEnd w:id="81"/>
    </w:p>
    <w:p w14:paraId="4BF6D595">
      <w:pPr>
        <w:pageBreakBefore w:val="0"/>
        <w:numPr>
          <w:ilvl w:val="0"/>
          <w:numId w:val="41"/>
        </w:numPr>
        <w:wordWrap/>
        <w:spacing w:before="160" w:after="0"/>
        <w:ind w:left="440" w:right="0" w:hanging="440"/>
        <w:jc w:val="left"/>
        <w:textAlignment w:val="auto"/>
        <w:rPr>
          <w:sz w:val="24"/>
        </w:rPr>
      </w:pPr>
      <w:r>
        <w:rPr>
          <w:rFonts w:ascii="宋体" w:hAnsi="宋体" w:eastAsia="宋体" w:cs="宋体"/>
          <w:b w:val="0"/>
          <w:i w:val="0"/>
          <w:spacing w:val="0"/>
          <w:sz w:val="24"/>
        </w:rPr>
        <w:t>负责试验的整体实施和质量控制</w:t>
      </w:r>
    </w:p>
    <w:p w14:paraId="5B27C1BD">
      <w:pPr>
        <w:pageBreakBefore w:val="0"/>
        <w:numPr>
          <w:ilvl w:val="0"/>
          <w:numId w:val="41"/>
        </w:numPr>
        <w:wordWrap/>
        <w:spacing w:before="160" w:after="0"/>
        <w:ind w:left="440" w:right="0" w:hanging="440"/>
        <w:jc w:val="left"/>
        <w:textAlignment w:val="auto"/>
        <w:rPr>
          <w:sz w:val="24"/>
        </w:rPr>
      </w:pPr>
      <w:r>
        <w:rPr>
          <w:rFonts w:ascii="宋体" w:hAnsi="宋体" w:eastAsia="宋体" w:cs="宋体"/>
          <w:b w:val="0"/>
          <w:i w:val="0"/>
          <w:spacing w:val="0"/>
          <w:sz w:val="24"/>
        </w:rPr>
        <w:t>确保试验遵循GCP原则和方案要求</w:t>
      </w:r>
    </w:p>
    <w:p w14:paraId="62B8992A">
      <w:pPr>
        <w:pageBreakBefore w:val="0"/>
        <w:numPr>
          <w:ilvl w:val="0"/>
          <w:numId w:val="41"/>
        </w:numPr>
        <w:wordWrap/>
        <w:spacing w:before="160" w:after="0"/>
        <w:ind w:left="440" w:right="0" w:hanging="440"/>
        <w:jc w:val="left"/>
        <w:textAlignment w:val="auto"/>
        <w:rPr>
          <w:sz w:val="24"/>
        </w:rPr>
      </w:pPr>
      <w:r>
        <w:rPr>
          <w:rFonts w:ascii="宋体" w:hAnsi="宋体" w:eastAsia="宋体" w:cs="宋体"/>
          <w:b w:val="0"/>
          <w:i w:val="0"/>
          <w:spacing w:val="0"/>
          <w:sz w:val="24"/>
        </w:rPr>
        <w:t>负责患者筛选、入组和治疗</w:t>
      </w:r>
    </w:p>
    <w:p w14:paraId="5AF712C9">
      <w:pPr>
        <w:pageBreakBefore w:val="0"/>
        <w:numPr>
          <w:ilvl w:val="0"/>
          <w:numId w:val="41"/>
        </w:numPr>
        <w:wordWrap/>
        <w:spacing w:before="160" w:after="0"/>
        <w:ind w:left="440" w:right="0" w:hanging="440"/>
        <w:jc w:val="left"/>
        <w:textAlignment w:val="auto"/>
        <w:rPr>
          <w:sz w:val="24"/>
        </w:rPr>
      </w:pPr>
      <w:r>
        <w:rPr>
          <w:rFonts w:ascii="宋体" w:hAnsi="宋体" w:eastAsia="宋体" w:cs="宋体"/>
          <w:b w:val="0"/>
          <w:i w:val="0"/>
          <w:spacing w:val="0"/>
          <w:sz w:val="24"/>
        </w:rPr>
        <w:t>负责AE和SAE的评估和上报</w:t>
      </w:r>
    </w:p>
    <w:p w14:paraId="77407909">
      <w:pPr>
        <w:pageBreakBefore w:val="0"/>
        <w:numPr>
          <w:ilvl w:val="0"/>
          <w:numId w:val="41"/>
        </w:numPr>
        <w:wordWrap/>
        <w:spacing w:before="160" w:after="0"/>
        <w:ind w:left="440" w:right="0" w:hanging="440"/>
        <w:jc w:val="left"/>
        <w:textAlignment w:val="auto"/>
        <w:rPr>
          <w:sz w:val="24"/>
        </w:rPr>
      </w:pPr>
      <w:r>
        <w:rPr>
          <w:rFonts w:ascii="宋体" w:hAnsi="宋体" w:eastAsia="宋体" w:cs="宋体"/>
          <w:b w:val="0"/>
          <w:i w:val="0"/>
          <w:spacing w:val="0"/>
          <w:sz w:val="24"/>
        </w:rPr>
        <w:t>负责试验数据的收集和审核</w:t>
      </w:r>
    </w:p>
    <w:p w14:paraId="1C773767">
      <w:pPr>
        <w:pStyle w:val="4"/>
        <w:bidi w:val="0"/>
      </w:pPr>
      <w:bookmarkStart w:id="82" w:name="_Toc1720919660"/>
      <w:bookmarkStart w:id="83" w:name="_Toc1512107575"/>
      <w:r>
        <w:t>11.2 临床研究协调员（CRC）</w:t>
      </w:r>
      <w:bookmarkEnd w:id="82"/>
      <w:bookmarkEnd w:id="83"/>
    </w:p>
    <w:p w14:paraId="4CD2FC0B">
      <w:pPr>
        <w:pageBreakBefore w:val="0"/>
        <w:numPr>
          <w:ilvl w:val="0"/>
          <w:numId w:val="42"/>
        </w:numPr>
        <w:wordWrap/>
        <w:spacing w:before="160" w:after="0"/>
        <w:ind w:left="440" w:right="0" w:hanging="440"/>
        <w:jc w:val="left"/>
        <w:textAlignment w:val="auto"/>
        <w:rPr>
          <w:sz w:val="24"/>
        </w:rPr>
      </w:pPr>
      <w:r>
        <w:rPr>
          <w:rFonts w:ascii="宋体" w:hAnsi="宋体" w:eastAsia="宋体" w:cs="宋体"/>
          <w:b w:val="0"/>
          <w:i w:val="0"/>
          <w:spacing w:val="0"/>
          <w:sz w:val="24"/>
        </w:rPr>
        <w:t>负责试验日常操作和患者管理</w:t>
      </w:r>
    </w:p>
    <w:p w14:paraId="19012B7A">
      <w:pPr>
        <w:pageBreakBefore w:val="0"/>
        <w:numPr>
          <w:ilvl w:val="0"/>
          <w:numId w:val="42"/>
        </w:numPr>
        <w:wordWrap/>
        <w:spacing w:before="160" w:after="0"/>
        <w:ind w:left="440" w:right="0" w:hanging="440"/>
        <w:jc w:val="left"/>
        <w:textAlignment w:val="auto"/>
        <w:rPr>
          <w:sz w:val="24"/>
        </w:rPr>
      </w:pPr>
      <w:r>
        <w:rPr>
          <w:rFonts w:ascii="宋体" w:hAnsi="宋体" w:eastAsia="宋体" w:cs="宋体"/>
          <w:b w:val="0"/>
          <w:i w:val="0"/>
          <w:spacing w:val="0"/>
          <w:sz w:val="24"/>
        </w:rPr>
        <w:t>协助PI进行患者筛选和入组</w:t>
      </w:r>
    </w:p>
    <w:p w14:paraId="4B3E3654">
      <w:pPr>
        <w:pageBreakBefore w:val="0"/>
        <w:numPr>
          <w:ilvl w:val="0"/>
          <w:numId w:val="42"/>
        </w:numPr>
        <w:wordWrap/>
        <w:spacing w:before="160" w:after="0"/>
        <w:ind w:left="440" w:right="0" w:hanging="440"/>
        <w:jc w:val="left"/>
        <w:textAlignment w:val="auto"/>
        <w:rPr>
          <w:sz w:val="24"/>
        </w:rPr>
      </w:pPr>
      <w:r>
        <w:rPr>
          <w:rFonts w:ascii="宋体" w:hAnsi="宋体" w:eastAsia="宋体" w:cs="宋体"/>
          <w:b w:val="0"/>
          <w:i w:val="0"/>
          <w:spacing w:val="0"/>
          <w:sz w:val="24"/>
        </w:rPr>
        <w:t>负责CRF填写和数据收集</w:t>
      </w:r>
    </w:p>
    <w:p w14:paraId="42D71CA2">
      <w:pPr>
        <w:pageBreakBefore w:val="0"/>
        <w:numPr>
          <w:ilvl w:val="0"/>
          <w:numId w:val="42"/>
        </w:numPr>
        <w:wordWrap/>
        <w:spacing w:before="160" w:after="0"/>
        <w:ind w:left="440" w:right="0" w:hanging="440"/>
        <w:jc w:val="left"/>
        <w:textAlignment w:val="auto"/>
        <w:rPr>
          <w:sz w:val="24"/>
        </w:rPr>
      </w:pPr>
      <w:r>
        <w:rPr>
          <w:rFonts w:ascii="宋体" w:hAnsi="宋体" w:eastAsia="宋体" w:cs="宋体"/>
          <w:b w:val="0"/>
          <w:i w:val="0"/>
          <w:spacing w:val="0"/>
          <w:sz w:val="24"/>
        </w:rPr>
        <w:t>确保试验文件的完整性和可追溯性</w:t>
      </w:r>
    </w:p>
    <w:p w14:paraId="67AB28FF">
      <w:pPr>
        <w:pageBreakBefore w:val="0"/>
        <w:numPr>
          <w:ilvl w:val="0"/>
          <w:numId w:val="42"/>
        </w:numPr>
        <w:wordWrap/>
        <w:spacing w:before="160" w:after="0"/>
        <w:ind w:left="440" w:right="0" w:hanging="440"/>
        <w:jc w:val="left"/>
        <w:textAlignment w:val="auto"/>
        <w:rPr>
          <w:sz w:val="24"/>
        </w:rPr>
      </w:pPr>
      <w:r>
        <w:rPr>
          <w:rFonts w:ascii="宋体" w:hAnsi="宋体" w:eastAsia="宋体" w:cs="宋体"/>
          <w:b w:val="0"/>
          <w:i w:val="0"/>
          <w:spacing w:val="0"/>
          <w:sz w:val="24"/>
        </w:rPr>
        <w:t>协助生物样本的收集和处理</w:t>
      </w:r>
    </w:p>
    <w:p w14:paraId="4C285E67">
      <w:pPr>
        <w:pStyle w:val="4"/>
        <w:bidi w:val="0"/>
      </w:pPr>
      <w:bookmarkStart w:id="84" w:name="_Toc1186967824"/>
      <w:bookmarkStart w:id="85" w:name="_Toc670534427"/>
      <w:r>
        <w:t>11.3 临床监查员（CRA）</w:t>
      </w:r>
      <w:bookmarkEnd w:id="84"/>
      <w:bookmarkEnd w:id="85"/>
    </w:p>
    <w:p w14:paraId="047AD7FF">
      <w:pPr>
        <w:pageBreakBefore w:val="0"/>
        <w:numPr>
          <w:ilvl w:val="0"/>
          <w:numId w:val="43"/>
        </w:numPr>
        <w:wordWrap/>
        <w:spacing w:before="160" w:after="0"/>
        <w:ind w:left="440" w:right="0" w:hanging="440"/>
        <w:jc w:val="left"/>
        <w:textAlignment w:val="auto"/>
        <w:rPr>
          <w:sz w:val="24"/>
        </w:rPr>
      </w:pPr>
      <w:r>
        <w:rPr>
          <w:rFonts w:ascii="宋体" w:hAnsi="宋体" w:eastAsia="宋体" w:cs="宋体"/>
          <w:b w:val="0"/>
          <w:i w:val="0"/>
          <w:spacing w:val="0"/>
          <w:sz w:val="24"/>
        </w:rPr>
        <w:t>负责试验现场监查，确保数据准确性和完整性</w:t>
      </w:r>
    </w:p>
    <w:p w14:paraId="1F780FD1">
      <w:pPr>
        <w:pageBreakBefore w:val="0"/>
        <w:numPr>
          <w:ilvl w:val="0"/>
          <w:numId w:val="43"/>
        </w:numPr>
        <w:wordWrap/>
        <w:spacing w:before="160" w:after="0"/>
        <w:ind w:left="440" w:right="0" w:hanging="440"/>
        <w:jc w:val="left"/>
        <w:textAlignment w:val="auto"/>
        <w:rPr>
          <w:sz w:val="24"/>
        </w:rPr>
      </w:pPr>
      <w:r>
        <w:rPr>
          <w:rFonts w:ascii="宋体" w:hAnsi="宋体" w:eastAsia="宋体" w:cs="宋体"/>
          <w:b w:val="0"/>
          <w:i w:val="0"/>
          <w:spacing w:val="0"/>
          <w:sz w:val="24"/>
        </w:rPr>
        <w:t>定期访问研究中心，评估试验进展和问题</w:t>
      </w:r>
    </w:p>
    <w:p w14:paraId="09B444BE">
      <w:pPr>
        <w:pageBreakBefore w:val="0"/>
        <w:numPr>
          <w:ilvl w:val="0"/>
          <w:numId w:val="43"/>
        </w:numPr>
        <w:wordWrap/>
        <w:spacing w:before="160" w:after="0"/>
        <w:ind w:left="440" w:right="0" w:hanging="440"/>
        <w:jc w:val="left"/>
        <w:textAlignment w:val="auto"/>
        <w:rPr>
          <w:sz w:val="24"/>
        </w:rPr>
      </w:pPr>
      <w:r>
        <w:rPr>
          <w:rFonts w:ascii="宋体" w:hAnsi="宋体" w:eastAsia="宋体" w:cs="宋体"/>
          <w:b w:val="0"/>
          <w:i w:val="0"/>
          <w:spacing w:val="0"/>
          <w:sz w:val="24"/>
        </w:rPr>
        <w:t>负责试验文件的审核和归档</w:t>
      </w:r>
    </w:p>
    <w:p w14:paraId="37DB89D3">
      <w:pPr>
        <w:pageBreakBefore w:val="0"/>
        <w:numPr>
          <w:ilvl w:val="0"/>
          <w:numId w:val="43"/>
        </w:numPr>
        <w:wordWrap/>
        <w:spacing w:before="160" w:after="0"/>
        <w:ind w:left="440" w:right="0" w:hanging="440"/>
        <w:jc w:val="left"/>
        <w:textAlignment w:val="auto"/>
        <w:rPr>
          <w:sz w:val="24"/>
        </w:rPr>
      </w:pPr>
      <w:r>
        <w:rPr>
          <w:rFonts w:ascii="宋体" w:hAnsi="宋体" w:eastAsia="宋体" w:cs="宋体"/>
          <w:b w:val="0"/>
          <w:i w:val="0"/>
          <w:spacing w:val="0"/>
          <w:sz w:val="24"/>
        </w:rPr>
        <w:t>负责与PI和CRC的沟通和协调</w:t>
      </w:r>
    </w:p>
    <w:p w14:paraId="46D278E1">
      <w:pPr>
        <w:pageBreakBefore w:val="0"/>
        <w:numPr>
          <w:ilvl w:val="0"/>
          <w:numId w:val="43"/>
        </w:numPr>
        <w:wordWrap/>
        <w:spacing w:before="160" w:after="0"/>
        <w:ind w:left="440" w:right="0" w:hanging="440"/>
        <w:jc w:val="left"/>
        <w:textAlignment w:val="auto"/>
        <w:rPr>
          <w:sz w:val="24"/>
        </w:rPr>
      </w:pPr>
      <w:r>
        <w:rPr>
          <w:rFonts w:ascii="宋体" w:hAnsi="宋体" w:eastAsia="宋体" w:cs="宋体"/>
          <w:b w:val="0"/>
          <w:i w:val="0"/>
          <w:spacing w:val="0"/>
          <w:sz w:val="24"/>
        </w:rPr>
        <w:t>负责向申办方报告试验进展和问题</w:t>
      </w:r>
    </w:p>
    <w:p w14:paraId="739EB62A">
      <w:pPr>
        <w:pStyle w:val="4"/>
        <w:bidi w:val="0"/>
      </w:pPr>
      <w:bookmarkStart w:id="86" w:name="_Toc1392620985"/>
      <w:bookmarkStart w:id="87" w:name="_Toc1825418780"/>
      <w:r>
        <w:t>11.4 统计师</w:t>
      </w:r>
      <w:bookmarkEnd w:id="86"/>
      <w:bookmarkEnd w:id="87"/>
    </w:p>
    <w:p w14:paraId="3EA11165">
      <w:pPr>
        <w:pageBreakBefore w:val="0"/>
        <w:numPr>
          <w:ilvl w:val="0"/>
          <w:numId w:val="44"/>
        </w:numPr>
        <w:wordWrap/>
        <w:spacing w:before="160" w:after="0"/>
        <w:ind w:left="440" w:right="0" w:hanging="440"/>
        <w:jc w:val="left"/>
        <w:textAlignment w:val="auto"/>
        <w:rPr>
          <w:sz w:val="24"/>
        </w:rPr>
      </w:pPr>
      <w:r>
        <w:rPr>
          <w:rFonts w:ascii="宋体" w:hAnsi="宋体" w:eastAsia="宋体" w:cs="宋体"/>
          <w:b w:val="0"/>
          <w:i w:val="0"/>
          <w:spacing w:val="0"/>
          <w:sz w:val="24"/>
        </w:rPr>
        <w:t>负责统计分析计划（SAP）的制定</w:t>
      </w:r>
    </w:p>
    <w:p w14:paraId="2D6066C1">
      <w:pPr>
        <w:pageBreakBefore w:val="0"/>
        <w:numPr>
          <w:ilvl w:val="0"/>
          <w:numId w:val="44"/>
        </w:numPr>
        <w:wordWrap/>
        <w:spacing w:before="160" w:after="0"/>
        <w:ind w:left="440" w:right="0" w:hanging="440"/>
        <w:jc w:val="left"/>
        <w:textAlignment w:val="auto"/>
        <w:rPr>
          <w:sz w:val="24"/>
        </w:rPr>
      </w:pPr>
      <w:r>
        <w:rPr>
          <w:rFonts w:ascii="宋体" w:hAnsi="宋体" w:eastAsia="宋体" w:cs="宋体"/>
          <w:b w:val="0"/>
          <w:i w:val="0"/>
          <w:spacing w:val="0"/>
          <w:sz w:val="24"/>
        </w:rPr>
        <w:t>负责数据统计分析和结果解释</w:t>
      </w:r>
    </w:p>
    <w:p w14:paraId="0AF29DCA">
      <w:pPr>
        <w:pageBreakBefore w:val="0"/>
        <w:numPr>
          <w:ilvl w:val="0"/>
          <w:numId w:val="44"/>
        </w:numPr>
        <w:wordWrap/>
        <w:spacing w:before="160" w:after="0"/>
        <w:ind w:left="440" w:right="0" w:hanging="440"/>
        <w:jc w:val="left"/>
        <w:textAlignment w:val="auto"/>
        <w:rPr>
          <w:sz w:val="24"/>
        </w:rPr>
      </w:pPr>
      <w:r>
        <w:rPr>
          <w:rFonts w:ascii="宋体" w:hAnsi="宋体" w:eastAsia="宋体" w:cs="宋体"/>
          <w:b w:val="0"/>
          <w:i w:val="0"/>
          <w:spacing w:val="0"/>
          <w:sz w:val="24"/>
        </w:rPr>
        <w:t>负责与IDMC合作进行安全性数据审查</w:t>
      </w:r>
    </w:p>
    <w:p w14:paraId="4090D85C">
      <w:pPr>
        <w:pageBreakBefore w:val="0"/>
        <w:numPr>
          <w:ilvl w:val="0"/>
          <w:numId w:val="44"/>
        </w:numPr>
        <w:wordWrap/>
        <w:spacing w:before="160" w:after="0"/>
        <w:ind w:left="440" w:right="0" w:hanging="440"/>
        <w:jc w:val="left"/>
        <w:textAlignment w:val="auto"/>
        <w:rPr>
          <w:sz w:val="24"/>
        </w:rPr>
      </w:pPr>
      <w:r>
        <w:rPr>
          <w:rFonts w:ascii="宋体" w:hAnsi="宋体" w:eastAsia="宋体" w:cs="宋体"/>
          <w:b w:val="0"/>
          <w:i w:val="0"/>
          <w:spacing w:val="0"/>
          <w:sz w:val="24"/>
        </w:rPr>
        <w:t>负责撰写统计分析报告</w:t>
      </w:r>
    </w:p>
    <w:p w14:paraId="102FCFDA">
      <w:pPr>
        <w:pStyle w:val="4"/>
        <w:bidi w:val="0"/>
      </w:pPr>
      <w:bookmarkStart w:id="88" w:name="_Toc356626242"/>
      <w:bookmarkStart w:id="89" w:name="_Toc862054418"/>
      <w:r>
        <w:t>11.5 生物样本管理员</w:t>
      </w:r>
      <w:bookmarkEnd w:id="88"/>
      <w:bookmarkEnd w:id="89"/>
    </w:p>
    <w:p w14:paraId="335DEFA0">
      <w:pPr>
        <w:pageBreakBefore w:val="0"/>
        <w:numPr>
          <w:ilvl w:val="0"/>
          <w:numId w:val="45"/>
        </w:numPr>
        <w:wordWrap/>
        <w:spacing w:before="160" w:after="0"/>
        <w:ind w:left="440" w:right="0" w:hanging="440"/>
        <w:jc w:val="left"/>
        <w:textAlignment w:val="auto"/>
        <w:rPr>
          <w:sz w:val="24"/>
        </w:rPr>
      </w:pPr>
      <w:r>
        <w:rPr>
          <w:rFonts w:ascii="宋体" w:hAnsi="宋体" w:eastAsia="宋体" w:cs="宋体"/>
          <w:b w:val="0"/>
          <w:i w:val="0"/>
          <w:spacing w:val="0"/>
          <w:sz w:val="24"/>
        </w:rPr>
        <w:t>负责生物样本的收集、处理和储存</w:t>
      </w:r>
    </w:p>
    <w:p w14:paraId="1B553CCC">
      <w:pPr>
        <w:pageBreakBefore w:val="0"/>
        <w:numPr>
          <w:ilvl w:val="0"/>
          <w:numId w:val="45"/>
        </w:numPr>
        <w:wordWrap/>
        <w:spacing w:before="160" w:after="0"/>
        <w:ind w:left="440" w:right="0" w:hanging="440"/>
        <w:jc w:val="left"/>
        <w:textAlignment w:val="auto"/>
        <w:rPr>
          <w:sz w:val="24"/>
        </w:rPr>
      </w:pPr>
      <w:r>
        <w:rPr>
          <w:rFonts w:ascii="宋体" w:hAnsi="宋体" w:eastAsia="宋体" w:cs="宋体"/>
          <w:b w:val="0"/>
          <w:i w:val="0"/>
          <w:spacing w:val="0"/>
          <w:sz w:val="24"/>
        </w:rPr>
        <w:t>确保生物样本符合质量要求</w:t>
      </w:r>
    </w:p>
    <w:p w14:paraId="54F40005">
      <w:pPr>
        <w:pageBreakBefore w:val="0"/>
        <w:numPr>
          <w:ilvl w:val="0"/>
          <w:numId w:val="45"/>
        </w:numPr>
        <w:wordWrap/>
        <w:spacing w:before="160" w:after="0"/>
        <w:ind w:left="440" w:right="0" w:hanging="440"/>
        <w:jc w:val="left"/>
        <w:textAlignment w:val="auto"/>
        <w:rPr>
          <w:sz w:val="24"/>
        </w:rPr>
      </w:pPr>
      <w:r>
        <w:rPr>
          <w:rFonts w:ascii="宋体" w:hAnsi="宋体" w:eastAsia="宋体" w:cs="宋体"/>
          <w:b w:val="0"/>
          <w:i w:val="0"/>
          <w:spacing w:val="0"/>
          <w:sz w:val="24"/>
        </w:rPr>
        <w:t>负责生物样本的运输和管理</w:t>
      </w:r>
    </w:p>
    <w:p w14:paraId="44294C7C">
      <w:pPr>
        <w:pageBreakBefore w:val="0"/>
        <w:numPr>
          <w:ilvl w:val="0"/>
          <w:numId w:val="45"/>
        </w:numPr>
        <w:wordWrap/>
        <w:spacing w:before="160" w:after="0"/>
        <w:ind w:left="440" w:right="0" w:hanging="440"/>
        <w:jc w:val="left"/>
        <w:textAlignment w:val="auto"/>
        <w:rPr>
          <w:sz w:val="24"/>
        </w:rPr>
      </w:pPr>
      <w:r>
        <w:rPr>
          <w:rFonts w:ascii="宋体" w:hAnsi="宋体" w:eastAsia="宋体" w:cs="宋体"/>
          <w:b w:val="0"/>
          <w:i w:val="0"/>
          <w:spacing w:val="0"/>
          <w:sz w:val="24"/>
        </w:rPr>
        <w:t>与中心实验室协调生物样本检测</w:t>
      </w:r>
    </w:p>
    <w:p w14:paraId="4476D0FF">
      <w:pPr>
        <w:pStyle w:val="3"/>
        <w:bidi w:val="0"/>
      </w:pPr>
      <w:bookmarkStart w:id="90" w:name="_Toc190390517"/>
      <w:bookmarkStart w:id="91" w:name="_Toc1623920664"/>
      <w:r>
        <w:t>十二、知情同意流程</w:t>
      </w:r>
      <w:bookmarkEnd w:id="90"/>
      <w:bookmarkEnd w:id="91"/>
    </w:p>
    <w:p w14:paraId="7F80EA4A">
      <w:pPr>
        <w:pStyle w:val="4"/>
        <w:bidi w:val="0"/>
      </w:pPr>
      <w:bookmarkStart w:id="92" w:name="_Toc142785189"/>
      <w:bookmarkStart w:id="93" w:name="_Toc864930125"/>
      <w:r>
        <w:t>12.1 知情同意书内容</w:t>
      </w:r>
      <w:bookmarkEnd w:id="92"/>
      <w:bookmarkEnd w:id="93"/>
    </w:p>
    <w:p w14:paraId="5E75A94F">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试验目的、设计和方法</w:t>
      </w:r>
    </w:p>
    <w:p w14:paraId="639EB715">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试验药物的作用机制和潜在风险</w:t>
      </w:r>
    </w:p>
    <w:p w14:paraId="7699EEDC">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治疗方案和给药方式</w:t>
      </w:r>
    </w:p>
    <w:p w14:paraId="68EE1ED2">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可能的益处和风险</w:t>
      </w:r>
    </w:p>
    <w:p w14:paraId="49CADE52">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数据收集和隐私保护</w:t>
      </w:r>
    </w:p>
    <w:p w14:paraId="55889206">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退出试验的权利和程序</w:t>
      </w:r>
    </w:p>
    <w:p w14:paraId="13B1D692">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生物样本的二次使用条款</w:t>
      </w:r>
    </w:p>
    <w:p w14:paraId="36716555">
      <w:pPr>
        <w:pStyle w:val="4"/>
        <w:bidi w:val="0"/>
      </w:pPr>
      <w:bookmarkStart w:id="94" w:name="_Toc1051437824"/>
      <w:bookmarkStart w:id="95" w:name="_Toc563804332"/>
      <w:r>
        <w:t>12.2 知情同意流程</w:t>
      </w:r>
      <w:bookmarkEnd w:id="94"/>
      <w:bookmarkEnd w:id="95"/>
    </w:p>
    <w:p w14:paraId="04B12759">
      <w:pPr>
        <w:pageBreakBefore w:val="0"/>
        <w:numPr>
          <w:ilvl w:val="0"/>
          <w:numId w:val="47"/>
        </w:numPr>
        <w:wordWrap/>
        <w:spacing w:before="160" w:after="0"/>
        <w:ind w:left="440" w:right="0" w:hanging="440"/>
        <w:jc w:val="left"/>
        <w:textAlignment w:val="auto"/>
        <w:rPr>
          <w:sz w:val="24"/>
        </w:rPr>
      </w:pPr>
      <w:r>
        <w:rPr>
          <w:rFonts w:ascii="宋体" w:hAnsi="宋体" w:eastAsia="宋体" w:cs="宋体"/>
          <w:b/>
          <w:i w:val="0"/>
          <w:spacing w:val="0"/>
          <w:sz w:val="24"/>
        </w:rPr>
        <w:t>首次介绍</w:t>
      </w:r>
      <w:r>
        <w:rPr>
          <w:rFonts w:ascii="宋体" w:hAnsi="宋体" w:eastAsia="宋体" w:cs="宋体"/>
          <w:b w:val="0"/>
          <w:i w:val="0"/>
          <w:spacing w:val="0"/>
          <w:sz w:val="24"/>
        </w:rPr>
        <w:t>：由PI或授权的研究人员向潜在受试者介绍试验目的、设计和方法</w:t>
      </w:r>
    </w:p>
    <w:p w14:paraId="45C2D406">
      <w:pPr>
        <w:pageBreakBefore w:val="0"/>
        <w:numPr>
          <w:ilvl w:val="0"/>
          <w:numId w:val="47"/>
        </w:numPr>
        <w:wordWrap/>
        <w:spacing w:before="160" w:after="0"/>
        <w:ind w:left="440" w:right="0" w:hanging="440"/>
        <w:jc w:val="left"/>
        <w:textAlignment w:val="auto"/>
        <w:rPr>
          <w:sz w:val="24"/>
        </w:rPr>
      </w:pPr>
      <w:r>
        <w:rPr>
          <w:rFonts w:ascii="宋体" w:hAnsi="宋体" w:eastAsia="宋体" w:cs="宋体"/>
          <w:b/>
          <w:i w:val="0"/>
          <w:spacing w:val="0"/>
          <w:sz w:val="24"/>
        </w:rPr>
        <w:t>知情同意书签署</w:t>
      </w:r>
      <w:r>
        <w:rPr>
          <w:rFonts w:ascii="宋体" w:hAnsi="宋体" w:eastAsia="宋体" w:cs="宋体"/>
          <w:b w:val="0"/>
          <w:i w:val="0"/>
          <w:spacing w:val="0"/>
          <w:sz w:val="24"/>
        </w:rPr>
        <w:t>：</w:t>
      </w:r>
    </w:p>
    <w:p w14:paraId="410FC41F">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潜在受试者仔细阅读知情同意书</w:t>
      </w:r>
    </w:p>
    <w:p w14:paraId="4B8AF1B1">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研究人员回答潜在受试者的疑问</w:t>
      </w:r>
    </w:p>
    <w:p w14:paraId="53F359E4">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潜在受试者自愿签署知情同意书</w:t>
      </w:r>
    </w:p>
    <w:p w14:paraId="7EA2C226">
      <w:pPr>
        <w:pageBreakBefore w:val="0"/>
        <w:numPr>
          <w:ilvl w:val="0"/>
          <w:numId w:val="47"/>
        </w:numPr>
        <w:wordWrap/>
        <w:spacing w:before="160" w:after="0"/>
        <w:ind w:left="440" w:right="0" w:hanging="440"/>
        <w:jc w:val="left"/>
        <w:textAlignment w:val="auto"/>
        <w:rPr>
          <w:sz w:val="24"/>
        </w:rPr>
      </w:pPr>
      <w:r>
        <w:rPr>
          <w:rFonts w:ascii="宋体" w:hAnsi="宋体" w:eastAsia="宋体" w:cs="宋体"/>
          <w:b/>
          <w:i w:val="0"/>
          <w:spacing w:val="0"/>
          <w:sz w:val="24"/>
        </w:rPr>
        <w:t>知情同意书更新</w:t>
      </w:r>
      <w:r>
        <w:rPr>
          <w:rFonts w:ascii="宋体" w:hAnsi="宋体" w:eastAsia="宋体" w:cs="宋体"/>
          <w:b w:val="0"/>
          <w:i w:val="0"/>
          <w:spacing w:val="0"/>
          <w:sz w:val="24"/>
        </w:rPr>
        <w:t>：若试验方案有重大修改，需重新签署知情同意书</w:t>
      </w:r>
    </w:p>
    <w:p w14:paraId="53CB005A">
      <w:pPr>
        <w:pageBreakBefore w:val="0"/>
        <w:numPr>
          <w:ilvl w:val="0"/>
          <w:numId w:val="47"/>
        </w:numPr>
        <w:wordWrap/>
        <w:spacing w:before="160" w:after="0"/>
        <w:ind w:left="440" w:right="0" w:hanging="440"/>
        <w:jc w:val="left"/>
        <w:textAlignment w:val="auto"/>
        <w:rPr>
          <w:sz w:val="24"/>
        </w:rPr>
      </w:pPr>
      <w:r>
        <w:rPr>
          <w:rFonts w:ascii="宋体" w:hAnsi="宋体" w:eastAsia="宋体" w:cs="宋体"/>
          <w:b/>
          <w:i w:val="0"/>
          <w:spacing w:val="0"/>
          <w:sz w:val="24"/>
        </w:rPr>
        <w:t>知情同意书保存</w:t>
      </w:r>
      <w:r>
        <w:rPr>
          <w:rFonts w:ascii="宋体" w:hAnsi="宋体" w:eastAsia="宋体" w:cs="宋体"/>
          <w:b w:val="0"/>
          <w:i w:val="0"/>
          <w:spacing w:val="0"/>
          <w:sz w:val="24"/>
        </w:rPr>
        <w:t>：知情同意书由研究中心保存，并在试验结束后的规定时间内继续保存</w:t>
      </w:r>
    </w:p>
    <w:p w14:paraId="2AE9726B">
      <w:pPr>
        <w:pStyle w:val="3"/>
        <w:bidi w:val="0"/>
      </w:pPr>
      <w:bookmarkStart w:id="96" w:name="_Toc2020060452"/>
      <w:bookmarkStart w:id="97" w:name="_Toc1161557360"/>
      <w:r>
        <w:t>十三、伦理审批要求</w:t>
      </w:r>
      <w:bookmarkEnd w:id="96"/>
      <w:bookmarkEnd w:id="97"/>
    </w:p>
    <w:p w14:paraId="33E7BD8F">
      <w:pPr>
        <w:pStyle w:val="4"/>
        <w:bidi w:val="0"/>
      </w:pPr>
      <w:bookmarkStart w:id="98" w:name="_Toc1587041341"/>
      <w:bookmarkStart w:id="99" w:name="_Toc1668198290"/>
      <w:r>
        <w:t>13.1 伦理审批文件清单</w:t>
      </w:r>
      <w:bookmarkEnd w:id="98"/>
      <w:bookmarkEnd w:id="99"/>
    </w:p>
    <w:p w14:paraId="3159FBEC">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试验方案及修订版</w:t>
      </w:r>
    </w:p>
    <w:p w14:paraId="756994EB">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知情同意书及修订版</w:t>
      </w:r>
    </w:p>
    <w:p w14:paraId="341D5392">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统计分析计划（SAP）</w:t>
      </w:r>
    </w:p>
    <w:p w14:paraId="6118A484">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安全性监测计划</w:t>
      </w:r>
    </w:p>
    <w:p w14:paraId="1F84AE6A">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生物样本管理计划</w:t>
      </w:r>
    </w:p>
    <w:p w14:paraId="25DB5EA7">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病毒毒力评估报告</w:t>
      </w:r>
    </w:p>
    <w:p w14:paraId="671C1D30">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生物安全备案</w:t>
      </w:r>
    </w:p>
    <w:p w14:paraId="42CAC39B">
      <w:pPr>
        <w:pageBreakBefore w:val="0"/>
        <w:numPr>
          <w:ilvl w:val="0"/>
          <w:numId w:val="49"/>
        </w:numPr>
        <w:wordWrap/>
        <w:spacing w:before="160" w:after="0"/>
        <w:ind w:left="440" w:right="0" w:hanging="440"/>
        <w:jc w:val="left"/>
        <w:textAlignment w:val="auto"/>
        <w:rPr>
          <w:sz w:val="24"/>
        </w:rPr>
      </w:pPr>
      <w:r>
        <w:rPr>
          <w:rFonts w:ascii="宋体" w:hAnsi="宋体" w:eastAsia="宋体" w:cs="宋体"/>
          <w:b w:val="0"/>
          <w:i w:val="0"/>
          <w:spacing w:val="0"/>
          <w:sz w:val="24"/>
        </w:rPr>
        <w:t>CDE沟通记录</w:t>
      </w:r>
    </w:p>
    <w:p w14:paraId="514001E8">
      <w:pPr>
        <w:pStyle w:val="4"/>
        <w:bidi w:val="0"/>
      </w:pPr>
      <w:bookmarkStart w:id="100" w:name="_Toc1656922447"/>
      <w:bookmarkStart w:id="101" w:name="_Toc2009648445"/>
      <w:r>
        <w:t>13.2 多中心伦理审查</w:t>
      </w:r>
      <w:bookmarkEnd w:id="100"/>
      <w:bookmarkEnd w:id="101"/>
    </w:p>
    <w:p w14:paraId="566BB4B5">
      <w:pPr>
        <w:pageBreakBefore w:val="0"/>
        <w:numPr>
          <w:ilvl w:val="0"/>
          <w:numId w:val="50"/>
        </w:numPr>
        <w:wordWrap/>
        <w:spacing w:before="160" w:after="0"/>
        <w:ind w:left="440" w:right="0" w:hanging="440"/>
        <w:jc w:val="left"/>
        <w:textAlignment w:val="auto"/>
        <w:rPr>
          <w:sz w:val="24"/>
        </w:rPr>
      </w:pPr>
      <w:r>
        <w:rPr>
          <w:rFonts w:ascii="宋体" w:hAnsi="宋体" w:eastAsia="宋体" w:cs="宋体"/>
          <w:b w:val="0"/>
          <w:i w:val="0"/>
          <w:spacing w:val="0"/>
          <w:sz w:val="24"/>
        </w:rPr>
        <w:t>本试验为多中心研究，需由组长单位伦理委员会作为主审伦理委员会进行初始审查</w:t>
      </w:r>
    </w:p>
    <w:p w14:paraId="7CA925E4">
      <w:pPr>
        <w:pageBreakBefore w:val="0"/>
        <w:numPr>
          <w:ilvl w:val="0"/>
          <w:numId w:val="50"/>
        </w:numPr>
        <w:wordWrap/>
        <w:spacing w:before="160" w:after="0"/>
        <w:ind w:left="440" w:right="0" w:hanging="440"/>
        <w:jc w:val="left"/>
        <w:textAlignment w:val="auto"/>
        <w:rPr>
          <w:sz w:val="24"/>
        </w:rPr>
      </w:pPr>
      <w:r>
        <w:rPr>
          <w:rFonts w:ascii="宋体" w:hAnsi="宋体" w:eastAsia="宋体" w:cs="宋体"/>
          <w:b w:val="0"/>
          <w:i w:val="0"/>
          <w:spacing w:val="0"/>
          <w:sz w:val="24"/>
        </w:rPr>
        <w:t>其他参与中心的伦理委员会需在30天内提交伦理审查互认申请</w:t>
      </w:r>
    </w:p>
    <w:p w14:paraId="0407ACB0">
      <w:pPr>
        <w:pageBreakBefore w:val="0"/>
        <w:numPr>
          <w:ilvl w:val="0"/>
          <w:numId w:val="50"/>
        </w:numPr>
        <w:wordWrap/>
        <w:spacing w:before="160" w:after="0"/>
        <w:ind w:left="440" w:right="0" w:hanging="440"/>
        <w:jc w:val="left"/>
        <w:textAlignment w:val="auto"/>
        <w:rPr>
          <w:sz w:val="24"/>
        </w:rPr>
      </w:pPr>
      <w:r>
        <w:rPr>
          <w:rFonts w:ascii="宋体" w:hAnsi="宋体" w:eastAsia="宋体" w:cs="宋体"/>
          <w:b w:val="0"/>
          <w:i w:val="0"/>
          <w:spacing w:val="0"/>
          <w:sz w:val="24"/>
        </w:rPr>
        <w:t>所有伦理审查意见需在试验开始前完成并归档</w:t>
      </w:r>
    </w:p>
    <w:p w14:paraId="59A783A3">
      <w:pPr>
        <w:pageBreakBefore w:val="0"/>
        <w:numPr>
          <w:ilvl w:val="0"/>
          <w:numId w:val="50"/>
        </w:numPr>
        <w:wordWrap/>
        <w:spacing w:before="160" w:after="0"/>
        <w:ind w:left="440" w:right="0" w:hanging="440"/>
        <w:jc w:val="left"/>
        <w:textAlignment w:val="auto"/>
        <w:rPr>
          <w:sz w:val="24"/>
        </w:rPr>
      </w:pPr>
      <w:r>
        <w:rPr>
          <w:rFonts w:ascii="宋体" w:hAnsi="宋体" w:eastAsia="宋体" w:cs="宋体"/>
          <w:b w:val="0"/>
          <w:i w:val="0"/>
          <w:spacing w:val="0"/>
          <w:sz w:val="24"/>
        </w:rPr>
        <w:t>试验需在国家医学研究登记备案信息系统完成注册</w:t>
      </w:r>
    </w:p>
    <w:p w14:paraId="141C1B26">
      <w:pPr>
        <w:pStyle w:val="3"/>
        <w:bidi w:val="0"/>
      </w:pPr>
      <w:bookmarkStart w:id="102" w:name="_Toc1475116080"/>
      <w:bookmarkStart w:id="103" w:name="_Toc538615099"/>
      <w:r>
        <w:t>十四、试验时间表</w:t>
      </w:r>
      <w:bookmarkEnd w:id="102"/>
      <w:bookmarkEnd w:id="103"/>
    </w:p>
    <w:tbl>
      <w:tblPr>
        <w:tblStyle w:val="8"/>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760"/>
        <w:gridCol w:w="2760"/>
        <w:gridCol w:w="2760"/>
      </w:tblGrid>
      <w:tr w14:paraId="35E79DE0">
        <w:tc>
          <w:tcPr>
            <w:tcW w:w="2760" w:type="dxa"/>
            <w:shd w:val="clear" w:color="auto" w:fill="EEEEEE"/>
          </w:tcPr>
          <w:p w14:paraId="16A7911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时间点</w:t>
            </w:r>
          </w:p>
        </w:tc>
        <w:tc>
          <w:tcPr>
            <w:tcW w:w="2760" w:type="dxa"/>
            <w:shd w:val="clear" w:color="auto" w:fill="EEEEEE"/>
          </w:tcPr>
          <w:p w14:paraId="0D48010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试验组</w:t>
            </w:r>
          </w:p>
        </w:tc>
        <w:tc>
          <w:tcPr>
            <w:tcW w:w="2760" w:type="dxa"/>
            <w:shd w:val="clear" w:color="auto" w:fill="EEEEEE"/>
          </w:tcPr>
          <w:p w14:paraId="37C30DE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对照组</w:t>
            </w:r>
          </w:p>
        </w:tc>
      </w:tr>
      <w:tr w14:paraId="5C1F54BC">
        <w:tc>
          <w:tcPr>
            <w:tcW w:w="2760" w:type="dxa"/>
          </w:tcPr>
          <w:p w14:paraId="7EB95B7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w:t>
            </w:r>
          </w:p>
        </w:tc>
        <w:tc>
          <w:tcPr>
            <w:tcW w:w="2760" w:type="dxa"/>
          </w:tcPr>
          <w:p w14:paraId="67B8041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签署知情同意书基线评估随机化分组</w:t>
            </w:r>
          </w:p>
        </w:tc>
        <w:tc>
          <w:tcPr>
            <w:tcW w:w="2760" w:type="dxa"/>
          </w:tcPr>
          <w:p w14:paraId="4168BF3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签署知情同意书基线评估随机化分组</w:t>
            </w:r>
          </w:p>
        </w:tc>
      </w:tr>
      <w:tr w14:paraId="585BA136">
        <w:tc>
          <w:tcPr>
            <w:tcW w:w="2760" w:type="dxa"/>
          </w:tcPr>
          <w:p w14:paraId="2402D33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2-14</w:t>
            </w:r>
          </w:p>
        </w:tc>
        <w:tc>
          <w:tcPr>
            <w:tcW w:w="2760" w:type="dxa"/>
          </w:tcPr>
          <w:p w14:paraId="56DD46A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瘤内注射第1次特瑞普利单抗静脉输注</w:t>
            </w:r>
          </w:p>
        </w:tc>
        <w:tc>
          <w:tcPr>
            <w:tcW w:w="2760" w:type="dxa"/>
          </w:tcPr>
          <w:p w14:paraId="0CA8CD7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第1次特瑞普利单抗静脉输注</w:t>
            </w:r>
          </w:p>
        </w:tc>
      </w:tr>
      <w:tr w14:paraId="1B290C8D">
        <w:tc>
          <w:tcPr>
            <w:tcW w:w="2760" w:type="dxa"/>
          </w:tcPr>
          <w:p w14:paraId="4D87233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15-28</w:t>
            </w:r>
          </w:p>
        </w:tc>
        <w:tc>
          <w:tcPr>
            <w:tcW w:w="2760" w:type="dxa"/>
          </w:tcPr>
          <w:p w14:paraId="7A22D11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第2次特瑞普利单抗静脉输注</w:t>
            </w:r>
          </w:p>
        </w:tc>
        <w:tc>
          <w:tcPr>
            <w:tcW w:w="2760" w:type="dxa"/>
          </w:tcPr>
          <w:p w14:paraId="5963EF1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第2次特瑞普利单抗静脉输注</w:t>
            </w:r>
          </w:p>
        </w:tc>
      </w:tr>
      <w:tr w14:paraId="4F28A1A3">
        <w:tc>
          <w:tcPr>
            <w:tcW w:w="2760" w:type="dxa"/>
          </w:tcPr>
          <w:p w14:paraId="40B84EE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29-42</w:t>
            </w:r>
          </w:p>
        </w:tc>
        <w:tc>
          <w:tcPr>
            <w:tcW w:w="2760" w:type="dxa"/>
          </w:tcPr>
          <w:p w14:paraId="75F46D8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第2次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瘤内注射第3次特瑞普利单抗静脉输注</w:t>
            </w:r>
          </w:p>
        </w:tc>
        <w:tc>
          <w:tcPr>
            <w:tcW w:w="2760" w:type="dxa"/>
          </w:tcPr>
          <w:p w14:paraId="2CF0D24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第3次特瑞普利单抗静脉输注</w:t>
            </w:r>
          </w:p>
        </w:tc>
      </w:tr>
      <w:tr w14:paraId="7B8D7F7D">
        <w:tc>
          <w:tcPr>
            <w:tcW w:w="2760" w:type="dxa"/>
          </w:tcPr>
          <w:p w14:paraId="2D71A74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43-56</w:t>
            </w:r>
          </w:p>
        </w:tc>
        <w:tc>
          <w:tcPr>
            <w:tcW w:w="2760" w:type="dxa"/>
          </w:tcPr>
          <w:p w14:paraId="46C1227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第4次特瑞普利单抗静脉输注</w:t>
            </w:r>
          </w:p>
        </w:tc>
        <w:tc>
          <w:tcPr>
            <w:tcW w:w="2760" w:type="dxa"/>
          </w:tcPr>
          <w:p w14:paraId="60DDE5C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第4次特瑞普利单抗静脉输注</w:t>
            </w:r>
          </w:p>
        </w:tc>
      </w:tr>
      <w:tr w14:paraId="7FC7C963">
        <w:tc>
          <w:tcPr>
            <w:tcW w:w="2760" w:type="dxa"/>
          </w:tcPr>
          <w:p w14:paraId="659B682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57-70</w:t>
            </w:r>
          </w:p>
        </w:tc>
        <w:tc>
          <w:tcPr>
            <w:tcW w:w="2760" w:type="dxa"/>
          </w:tcPr>
          <w:p w14:paraId="5CBAB09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第3次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瘤内注射第5次特瑞普利单抗静脉输注</w:t>
            </w:r>
          </w:p>
        </w:tc>
        <w:tc>
          <w:tcPr>
            <w:tcW w:w="2760" w:type="dxa"/>
          </w:tcPr>
          <w:p w14:paraId="4E8AFF8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第5次特瑞普利单抗静脉输注</w:t>
            </w:r>
          </w:p>
        </w:tc>
      </w:tr>
      <w:tr w14:paraId="05D6DD2F">
        <w:tc>
          <w:tcPr>
            <w:tcW w:w="2760" w:type="dxa"/>
          </w:tcPr>
          <w:p w14:paraId="54F440A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71-84</w:t>
            </w:r>
          </w:p>
        </w:tc>
        <w:tc>
          <w:tcPr>
            <w:tcW w:w="2760" w:type="dxa"/>
          </w:tcPr>
          <w:p w14:paraId="38E4486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第6次特瑞普利单抗静脉输注</w:t>
            </w:r>
          </w:p>
        </w:tc>
        <w:tc>
          <w:tcPr>
            <w:tcW w:w="2760" w:type="dxa"/>
          </w:tcPr>
          <w:p w14:paraId="018B460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第6次特瑞普利单抗静脉输注</w:t>
            </w:r>
          </w:p>
        </w:tc>
      </w:tr>
      <w:tr w14:paraId="4017462A">
        <w:tc>
          <w:tcPr>
            <w:tcW w:w="2760" w:type="dxa"/>
          </w:tcPr>
          <w:p w14:paraId="196F99C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85-98</w:t>
            </w:r>
          </w:p>
        </w:tc>
        <w:tc>
          <w:tcPr>
            <w:tcW w:w="2760" w:type="dxa"/>
          </w:tcPr>
          <w:p w14:paraId="2E81FC0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第4次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瘤内注射第7次特瑞普利单抗静脉输注</w:t>
            </w:r>
          </w:p>
        </w:tc>
        <w:tc>
          <w:tcPr>
            <w:tcW w:w="2760" w:type="dxa"/>
          </w:tcPr>
          <w:p w14:paraId="5B15950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第7次特瑞普利单抗静脉输注</w:t>
            </w:r>
          </w:p>
        </w:tc>
      </w:tr>
      <w:tr w14:paraId="6A1A8FC6">
        <w:tc>
          <w:tcPr>
            <w:tcW w:w="2760" w:type="dxa"/>
          </w:tcPr>
          <w:p w14:paraId="4558903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99-112</w:t>
            </w:r>
          </w:p>
        </w:tc>
        <w:tc>
          <w:tcPr>
            <w:tcW w:w="2760" w:type="dxa"/>
          </w:tcPr>
          <w:p w14:paraId="766D555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第8次特瑞普利单抗静脉输注</w:t>
            </w:r>
          </w:p>
        </w:tc>
        <w:tc>
          <w:tcPr>
            <w:tcW w:w="2760" w:type="dxa"/>
          </w:tcPr>
          <w:p w14:paraId="32560F7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第8次特瑞普利单抗静脉输注</w:t>
            </w:r>
          </w:p>
        </w:tc>
      </w:tr>
      <w:tr w14:paraId="0DE25CC2">
        <w:tc>
          <w:tcPr>
            <w:tcW w:w="2760" w:type="dxa"/>
          </w:tcPr>
          <w:p w14:paraId="1894800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113-126</w:t>
            </w:r>
          </w:p>
        </w:tc>
        <w:tc>
          <w:tcPr>
            <w:tcW w:w="2760" w:type="dxa"/>
          </w:tcPr>
          <w:p w14:paraId="2FCB1A5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第5次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瘤内注射第9次特瑞普利单抗静脉输注</w:t>
            </w:r>
          </w:p>
        </w:tc>
        <w:tc>
          <w:tcPr>
            <w:tcW w:w="2760" w:type="dxa"/>
          </w:tcPr>
          <w:p w14:paraId="7071AFA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第9次特瑞普利单抗静脉输注</w:t>
            </w:r>
          </w:p>
        </w:tc>
      </w:tr>
      <w:tr w14:paraId="65E04F95">
        <w:tc>
          <w:tcPr>
            <w:tcW w:w="2760" w:type="dxa"/>
          </w:tcPr>
          <w:p w14:paraId="4ED7ADD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127-140</w:t>
            </w:r>
          </w:p>
        </w:tc>
        <w:tc>
          <w:tcPr>
            <w:tcW w:w="2760" w:type="dxa"/>
          </w:tcPr>
          <w:p w14:paraId="06E7DBF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第10次特瑞普利单抗静脉输注</w:t>
            </w:r>
          </w:p>
        </w:tc>
        <w:tc>
          <w:tcPr>
            <w:tcW w:w="2760" w:type="dxa"/>
          </w:tcPr>
          <w:p w14:paraId="0510DA2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第10次特瑞普利单抗静脉输注</w:t>
            </w:r>
          </w:p>
        </w:tc>
      </w:tr>
      <w:tr w14:paraId="02F0429D">
        <w:tc>
          <w:tcPr>
            <w:tcW w:w="2760" w:type="dxa"/>
          </w:tcPr>
          <w:p w14:paraId="40FC5F8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141-154</w:t>
            </w:r>
          </w:p>
        </w:tc>
        <w:tc>
          <w:tcPr>
            <w:tcW w:w="2760" w:type="dxa"/>
          </w:tcPr>
          <w:p w14:paraId="2AD0945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第6次</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瘤内注射第11次特瑞普利单抗静脉输注</w:t>
            </w:r>
          </w:p>
        </w:tc>
        <w:tc>
          <w:tcPr>
            <w:tcW w:w="2760" w:type="dxa"/>
          </w:tcPr>
          <w:p w14:paraId="159D4E5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第11次特瑞普利单抗静脉输注</w:t>
            </w:r>
          </w:p>
        </w:tc>
      </w:tr>
      <w:tr w14:paraId="07749C28">
        <w:tc>
          <w:tcPr>
            <w:tcW w:w="2760" w:type="dxa"/>
          </w:tcPr>
          <w:p w14:paraId="64DCF27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155-168</w:t>
            </w:r>
          </w:p>
        </w:tc>
        <w:tc>
          <w:tcPr>
            <w:tcW w:w="2760" w:type="dxa"/>
          </w:tcPr>
          <w:p w14:paraId="32FF449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第12次特瑞普利单抗静脉输注</w:t>
            </w:r>
          </w:p>
        </w:tc>
        <w:tc>
          <w:tcPr>
            <w:tcW w:w="2760" w:type="dxa"/>
          </w:tcPr>
          <w:p w14:paraId="74097E4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第12次特瑞普利单抗静脉输注</w:t>
            </w:r>
          </w:p>
        </w:tc>
      </w:tr>
      <w:tr w14:paraId="6615E01C">
        <w:tc>
          <w:tcPr>
            <w:tcW w:w="2760" w:type="dxa"/>
          </w:tcPr>
          <w:p w14:paraId="6068134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169-182</w:t>
            </w:r>
          </w:p>
        </w:tc>
        <w:tc>
          <w:tcPr>
            <w:tcW w:w="2760" w:type="dxa"/>
          </w:tcPr>
          <w:p w14:paraId="2EDA5C2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治疗结束后评估收集生物样本</w:t>
            </w:r>
          </w:p>
        </w:tc>
        <w:tc>
          <w:tcPr>
            <w:tcW w:w="2760" w:type="dxa"/>
          </w:tcPr>
          <w:p w14:paraId="7E222D3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治疗结束后评估收集生物样本</w:t>
            </w:r>
          </w:p>
        </w:tc>
      </w:tr>
      <w:tr w14:paraId="15418443">
        <w:tc>
          <w:tcPr>
            <w:tcW w:w="2760" w:type="dxa"/>
          </w:tcPr>
          <w:p w14:paraId="49AA611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Day 183-210</w:t>
            </w:r>
          </w:p>
        </w:tc>
        <w:tc>
          <w:tcPr>
            <w:tcW w:w="2760" w:type="dxa"/>
          </w:tcPr>
          <w:p w14:paraId="083969C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随访评估收集生存数据和生活质量数据</w:t>
            </w:r>
          </w:p>
        </w:tc>
        <w:tc>
          <w:tcPr>
            <w:tcW w:w="2760" w:type="dxa"/>
          </w:tcPr>
          <w:p w14:paraId="6226937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随访评估收集生存数据和生活质量数据</w:t>
            </w:r>
          </w:p>
        </w:tc>
      </w:tr>
      <w:tr w14:paraId="099D11A2">
        <w:tc>
          <w:tcPr>
            <w:tcW w:w="2760" w:type="dxa"/>
          </w:tcPr>
          <w:p w14:paraId="108EFFB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每3个月</w:t>
            </w:r>
          </w:p>
        </w:tc>
        <w:tc>
          <w:tcPr>
            <w:tcW w:w="2760" w:type="dxa"/>
          </w:tcPr>
          <w:p w14:paraId="6E45106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随访评估收集生存数据和生活质量数据</w:t>
            </w:r>
          </w:p>
        </w:tc>
        <w:tc>
          <w:tcPr>
            <w:tcW w:w="2760" w:type="dxa"/>
          </w:tcPr>
          <w:p w14:paraId="3A0D0EF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随访评估收集生存数据和生活质量数据</w:t>
            </w:r>
          </w:p>
        </w:tc>
      </w:tr>
      <w:tr w14:paraId="52CB1F23">
        <w:tc>
          <w:tcPr>
            <w:tcW w:w="2760" w:type="dxa"/>
          </w:tcPr>
          <w:p w14:paraId="0C5A628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至疾病进展或研究结束</w:t>
            </w:r>
          </w:p>
        </w:tc>
        <w:tc>
          <w:tcPr>
            <w:tcW w:w="2760" w:type="dxa"/>
          </w:tcPr>
          <w:p w14:paraId="373CA61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t>
            </w:r>
          </w:p>
        </w:tc>
        <w:tc>
          <w:tcPr>
            <w:tcW w:w="2760" w:type="dxa"/>
          </w:tcPr>
          <w:p w14:paraId="614A1A4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t>
            </w:r>
          </w:p>
        </w:tc>
      </w:tr>
    </w:tbl>
    <w:p w14:paraId="47EF8A93">
      <w:pPr>
        <w:pStyle w:val="3"/>
        <w:bidi w:val="0"/>
      </w:pPr>
      <w:bookmarkStart w:id="104" w:name="_Toc1724735592"/>
      <w:bookmarkStart w:id="105" w:name="_Toc860396788"/>
      <w:r>
        <w:t>十五、研究质量控制</w:t>
      </w:r>
      <w:bookmarkEnd w:id="104"/>
      <w:bookmarkEnd w:id="105"/>
    </w:p>
    <w:p w14:paraId="1B764A66">
      <w:pPr>
        <w:pStyle w:val="4"/>
        <w:bidi w:val="0"/>
      </w:pPr>
      <w:bookmarkStart w:id="106" w:name="_Toc896827538"/>
      <w:bookmarkStart w:id="107" w:name="_Toc1681420665"/>
      <w:r>
        <w:t>15.1 研究中心选择</w:t>
      </w:r>
      <w:bookmarkEnd w:id="106"/>
      <w:bookmarkEnd w:id="107"/>
    </w:p>
    <w:p w14:paraId="7FDC530B">
      <w:pPr>
        <w:pageBreakBefore w:val="0"/>
        <w:numPr>
          <w:ilvl w:val="0"/>
          <w:numId w:val="51"/>
        </w:numPr>
        <w:wordWrap/>
        <w:spacing w:before="160" w:after="0"/>
        <w:ind w:left="440" w:right="0" w:hanging="440"/>
        <w:jc w:val="left"/>
        <w:textAlignment w:val="auto"/>
        <w:rPr>
          <w:sz w:val="24"/>
        </w:rPr>
      </w:pPr>
      <w:r>
        <w:rPr>
          <w:rFonts w:ascii="宋体" w:hAnsi="宋体" w:eastAsia="宋体" w:cs="宋体"/>
          <w:b w:val="0"/>
          <w:i w:val="0"/>
          <w:spacing w:val="0"/>
          <w:sz w:val="24"/>
        </w:rPr>
        <w:t>选择具有头颈部肿瘤诊疗经验的三级甲等医院作为研究中心</w:t>
      </w:r>
    </w:p>
    <w:p w14:paraId="62C7DB14">
      <w:pPr>
        <w:pageBreakBefore w:val="0"/>
        <w:numPr>
          <w:ilvl w:val="0"/>
          <w:numId w:val="51"/>
        </w:numPr>
        <w:wordWrap/>
        <w:spacing w:before="160" w:after="0"/>
        <w:ind w:left="440" w:right="0" w:hanging="440"/>
        <w:jc w:val="left"/>
        <w:textAlignment w:val="auto"/>
        <w:rPr>
          <w:sz w:val="24"/>
        </w:rPr>
      </w:pPr>
      <w:r>
        <w:rPr>
          <w:rFonts w:ascii="宋体" w:hAnsi="宋体" w:eastAsia="宋体" w:cs="宋体"/>
          <w:b w:val="0"/>
          <w:i w:val="0"/>
          <w:spacing w:val="0"/>
          <w:sz w:val="24"/>
        </w:rPr>
        <w:t>中心需具备肿瘤组织活检和生物标志物检测能力</w:t>
      </w:r>
    </w:p>
    <w:p w14:paraId="3C08544A">
      <w:pPr>
        <w:pageBreakBefore w:val="0"/>
        <w:numPr>
          <w:ilvl w:val="0"/>
          <w:numId w:val="51"/>
        </w:numPr>
        <w:wordWrap/>
        <w:spacing w:before="160" w:after="0"/>
        <w:ind w:left="440" w:right="0" w:hanging="440"/>
        <w:jc w:val="left"/>
        <w:textAlignment w:val="auto"/>
        <w:rPr>
          <w:sz w:val="24"/>
        </w:rPr>
      </w:pPr>
      <w:r>
        <w:rPr>
          <w:rFonts w:ascii="宋体" w:hAnsi="宋体" w:eastAsia="宋体" w:cs="宋体"/>
          <w:b w:val="0"/>
          <w:i w:val="0"/>
          <w:spacing w:val="0"/>
          <w:sz w:val="24"/>
        </w:rPr>
        <w:t>中心需具备完善的临床试验管理体系和GCP资质</w:t>
      </w:r>
    </w:p>
    <w:p w14:paraId="1F0A7958">
      <w:pPr>
        <w:pStyle w:val="4"/>
        <w:bidi w:val="0"/>
      </w:pPr>
      <w:bookmarkStart w:id="108" w:name="_Toc1940196520"/>
      <w:bookmarkStart w:id="109" w:name="_Toc899805782"/>
      <w:r>
        <w:t>15.2 研究人员培训</w:t>
      </w:r>
      <w:bookmarkEnd w:id="108"/>
      <w:bookmarkEnd w:id="109"/>
    </w:p>
    <w:p w14:paraId="3E2EE98F">
      <w:pPr>
        <w:pageBreakBefore w:val="0"/>
        <w:numPr>
          <w:ilvl w:val="0"/>
          <w:numId w:val="52"/>
        </w:numPr>
        <w:wordWrap/>
        <w:spacing w:before="160" w:after="0"/>
        <w:ind w:left="440" w:right="0" w:hanging="440"/>
        <w:jc w:val="left"/>
        <w:textAlignment w:val="auto"/>
        <w:rPr>
          <w:sz w:val="24"/>
        </w:rPr>
      </w:pPr>
      <w:r>
        <w:rPr>
          <w:rFonts w:ascii="宋体" w:hAnsi="宋体" w:eastAsia="宋体" w:cs="宋体"/>
          <w:b w:val="0"/>
          <w:i w:val="0"/>
          <w:spacing w:val="0"/>
          <w:sz w:val="24"/>
        </w:rPr>
        <w:t>所有研究者和研究人员需接受GCP培训并通过考核</w:t>
      </w:r>
    </w:p>
    <w:p w14:paraId="700F7FC2">
      <w:pPr>
        <w:pageBreakBefore w:val="0"/>
        <w:numPr>
          <w:ilvl w:val="0"/>
          <w:numId w:val="52"/>
        </w:numPr>
        <w:wordWrap/>
        <w:spacing w:before="160" w:after="0"/>
        <w:ind w:left="440" w:right="0" w:hanging="440"/>
        <w:jc w:val="left"/>
        <w:textAlignment w:val="auto"/>
        <w:rPr>
          <w:sz w:val="24"/>
        </w:rPr>
      </w:pPr>
      <w:r>
        <w:rPr>
          <w:rFonts w:ascii="宋体" w:hAnsi="宋体" w:eastAsia="宋体" w:cs="宋体"/>
          <w:b w:val="0"/>
          <w:i w:val="0"/>
          <w:spacing w:val="0"/>
          <w:sz w:val="24"/>
        </w:rPr>
        <w:t>特定操作人员（如注射病毒的研究人员）需接受专门培训并通过考核</w:t>
      </w:r>
    </w:p>
    <w:p w14:paraId="7B003FCC">
      <w:pPr>
        <w:pageBreakBefore w:val="0"/>
        <w:numPr>
          <w:ilvl w:val="0"/>
          <w:numId w:val="52"/>
        </w:numPr>
        <w:wordWrap/>
        <w:spacing w:before="160" w:after="0"/>
        <w:ind w:left="440" w:right="0" w:hanging="440"/>
        <w:jc w:val="left"/>
        <w:textAlignment w:val="auto"/>
        <w:rPr>
          <w:sz w:val="24"/>
        </w:rPr>
      </w:pPr>
      <w:r>
        <w:rPr>
          <w:rFonts w:ascii="宋体" w:hAnsi="宋体" w:eastAsia="宋体" w:cs="宋体"/>
          <w:b w:val="0"/>
          <w:i w:val="0"/>
          <w:spacing w:val="0"/>
          <w:sz w:val="24"/>
        </w:rPr>
        <w:t>定期进行试验方案和操作流程的复习和培训</w:t>
      </w:r>
    </w:p>
    <w:p w14:paraId="19188A49">
      <w:pPr>
        <w:pStyle w:val="4"/>
        <w:bidi w:val="0"/>
      </w:pPr>
      <w:bookmarkStart w:id="110" w:name="_Toc1491215592"/>
      <w:bookmarkStart w:id="111" w:name="_Toc455935900"/>
      <w:r>
        <w:t>15.3 数据质量控制</w:t>
      </w:r>
      <w:bookmarkEnd w:id="110"/>
      <w:bookmarkEnd w:id="111"/>
    </w:p>
    <w:p w14:paraId="69B0D4A4">
      <w:pPr>
        <w:pageBreakBefore w:val="0"/>
        <w:numPr>
          <w:ilvl w:val="0"/>
          <w:numId w:val="53"/>
        </w:numPr>
        <w:wordWrap/>
        <w:spacing w:before="160" w:after="0"/>
        <w:ind w:left="440" w:right="0" w:hanging="440"/>
        <w:jc w:val="left"/>
        <w:textAlignment w:val="auto"/>
        <w:rPr>
          <w:sz w:val="24"/>
        </w:rPr>
      </w:pPr>
      <w:r>
        <w:rPr>
          <w:rFonts w:ascii="宋体" w:hAnsi="宋体" w:eastAsia="宋体" w:cs="宋体"/>
          <w:b w:val="0"/>
          <w:i w:val="0"/>
          <w:spacing w:val="0"/>
          <w:sz w:val="24"/>
        </w:rPr>
        <w:t>EDC系统设置逻辑检查和范围检查，确保数据准确性</w:t>
      </w:r>
    </w:p>
    <w:p w14:paraId="4CD3BA82">
      <w:pPr>
        <w:pageBreakBefore w:val="0"/>
        <w:numPr>
          <w:ilvl w:val="0"/>
          <w:numId w:val="53"/>
        </w:numPr>
        <w:wordWrap/>
        <w:spacing w:before="160" w:after="0"/>
        <w:ind w:left="440" w:right="0" w:hanging="440"/>
        <w:jc w:val="left"/>
        <w:textAlignment w:val="auto"/>
        <w:rPr>
          <w:sz w:val="24"/>
        </w:rPr>
      </w:pPr>
      <w:r>
        <w:rPr>
          <w:rFonts w:ascii="宋体" w:hAnsi="宋体" w:eastAsia="宋体" w:cs="宋体"/>
          <w:b w:val="0"/>
          <w:i w:val="0"/>
          <w:spacing w:val="0"/>
          <w:sz w:val="24"/>
        </w:rPr>
        <w:t>定期进行数据质疑和澄清，确保数据完整性</w:t>
      </w:r>
    </w:p>
    <w:p w14:paraId="7BE1501E">
      <w:pPr>
        <w:pageBreakBefore w:val="0"/>
        <w:numPr>
          <w:ilvl w:val="0"/>
          <w:numId w:val="53"/>
        </w:numPr>
        <w:wordWrap/>
        <w:spacing w:before="160" w:after="0"/>
        <w:ind w:left="440" w:right="0" w:hanging="440"/>
        <w:jc w:val="left"/>
        <w:textAlignment w:val="auto"/>
        <w:rPr>
          <w:sz w:val="24"/>
        </w:rPr>
      </w:pPr>
      <w:r>
        <w:rPr>
          <w:rFonts w:ascii="宋体" w:hAnsi="宋体" w:eastAsia="宋体" w:cs="宋体"/>
          <w:b w:val="0"/>
          <w:i w:val="0"/>
          <w:spacing w:val="0"/>
          <w:sz w:val="24"/>
        </w:rPr>
        <w:t>采用中心实验室进行生物标志物检测，确保结果一致性</w:t>
      </w:r>
    </w:p>
    <w:p w14:paraId="5FBDB0AA">
      <w:pPr>
        <w:pageBreakBefore w:val="0"/>
        <w:numPr>
          <w:ilvl w:val="0"/>
          <w:numId w:val="53"/>
        </w:numPr>
        <w:wordWrap/>
        <w:spacing w:before="160" w:after="0"/>
        <w:ind w:left="440" w:right="0" w:hanging="440"/>
        <w:jc w:val="left"/>
        <w:textAlignment w:val="auto"/>
        <w:rPr>
          <w:sz w:val="24"/>
        </w:rPr>
      </w:pPr>
      <w:r>
        <w:rPr>
          <w:rFonts w:ascii="宋体" w:hAnsi="宋体" w:eastAsia="宋体" w:cs="宋体"/>
          <w:b w:val="0"/>
          <w:i w:val="0"/>
          <w:spacing w:val="0"/>
          <w:sz w:val="24"/>
        </w:rPr>
        <w:t>BICR对疗效进行盲法评估，确保结果客观性</w:t>
      </w:r>
    </w:p>
    <w:p w14:paraId="12EF019C">
      <w:pPr>
        <w:pStyle w:val="3"/>
        <w:bidi w:val="0"/>
      </w:pPr>
      <w:bookmarkStart w:id="112" w:name="_Toc1726294254"/>
      <w:bookmarkStart w:id="113" w:name="_Toc693018804"/>
      <w:r>
        <w:t>十六、试验药物管理</w:t>
      </w:r>
      <w:bookmarkEnd w:id="112"/>
      <w:bookmarkEnd w:id="113"/>
    </w:p>
    <w:p w14:paraId="4CF2F5A0">
      <w:pPr>
        <w:pStyle w:val="4"/>
        <w:bidi w:val="0"/>
      </w:pPr>
      <w:bookmarkStart w:id="114" w:name="_Toc1323456008"/>
      <w:bookmarkStart w:id="115" w:name="_Toc1763221147"/>
      <w:r>
        <w:t>16.1 药物储存和分发</w:t>
      </w:r>
      <w:bookmarkEnd w:id="114"/>
      <w:bookmarkEnd w:id="115"/>
    </w:p>
    <w:p w14:paraId="58DE9020">
      <w:pPr>
        <w:pageBreakBefore w:val="0"/>
        <w:numPr>
          <w:ilvl w:val="0"/>
          <w:numId w:val="54"/>
        </w:numPr>
        <w:wordWrap/>
        <w:spacing w:before="160" w:after="0"/>
        <w:ind w:left="440" w:right="0" w:hanging="440"/>
        <w:jc w:val="left"/>
        <w:textAlignment w:val="auto"/>
        <w:rPr>
          <w:sz w:val="24"/>
        </w:rPr>
      </w:pP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：在-80℃条件下储存，运输需使用干冰</w:t>
      </w:r>
    </w:p>
    <w:p w14:paraId="2529F2FE">
      <w:pPr>
        <w:pageBreakBefore w:val="0"/>
        <w:numPr>
          <w:ilvl w:val="0"/>
          <w:numId w:val="54"/>
        </w:numPr>
        <w:wordWrap/>
        <w:spacing w:before="160" w:after="0"/>
        <w:ind w:left="440" w:right="0" w:hanging="440"/>
        <w:jc w:val="left"/>
        <w:textAlignment w:val="auto"/>
        <w:rPr>
          <w:sz w:val="24"/>
        </w:rPr>
      </w:pPr>
      <w:r>
        <w:rPr>
          <w:rFonts w:ascii="宋体" w:hAnsi="宋体" w:eastAsia="宋体" w:cs="宋体"/>
          <w:b w:val="0"/>
          <w:i w:val="0"/>
          <w:spacing w:val="0"/>
          <w:sz w:val="24"/>
        </w:rPr>
        <w:t>特瑞普利单抗：在2-8℃条件下储存，运输需使用冷链</w:t>
      </w:r>
    </w:p>
    <w:p w14:paraId="0126D01F">
      <w:pPr>
        <w:pageBreakBefore w:val="0"/>
        <w:numPr>
          <w:ilvl w:val="0"/>
          <w:numId w:val="54"/>
        </w:numPr>
        <w:wordWrap/>
        <w:spacing w:before="160" w:after="0"/>
        <w:ind w:left="440" w:right="0" w:hanging="440"/>
        <w:jc w:val="left"/>
        <w:textAlignment w:val="auto"/>
        <w:rPr>
          <w:sz w:val="24"/>
        </w:rPr>
      </w:pPr>
      <w:r>
        <w:rPr>
          <w:rFonts w:ascii="宋体" w:hAnsi="宋体" w:eastAsia="宋体" w:cs="宋体"/>
          <w:b w:val="0"/>
          <w:i w:val="0"/>
          <w:spacing w:val="0"/>
          <w:sz w:val="24"/>
        </w:rPr>
        <w:t>药物由申办方统一配送至各研究中心，由专门的药物管理员负责接收和储存</w:t>
      </w:r>
    </w:p>
    <w:p w14:paraId="364E3878">
      <w:pPr>
        <w:pageBreakBefore w:val="0"/>
        <w:numPr>
          <w:ilvl w:val="0"/>
          <w:numId w:val="54"/>
        </w:numPr>
        <w:wordWrap/>
        <w:spacing w:before="160" w:after="0"/>
        <w:ind w:left="440" w:right="0" w:hanging="440"/>
        <w:jc w:val="left"/>
        <w:textAlignment w:val="auto"/>
        <w:rPr>
          <w:sz w:val="24"/>
        </w:rPr>
      </w:pPr>
      <w:r>
        <w:rPr>
          <w:rFonts w:ascii="宋体" w:hAnsi="宋体" w:eastAsia="宋体" w:cs="宋体"/>
          <w:b w:val="0"/>
          <w:i w:val="0"/>
          <w:spacing w:val="0"/>
          <w:sz w:val="24"/>
        </w:rPr>
        <w:t>建立完整的药物接收、储存、使用和销毁记录</w:t>
      </w:r>
    </w:p>
    <w:p w14:paraId="39638346">
      <w:pPr>
        <w:pStyle w:val="4"/>
        <w:bidi w:val="0"/>
      </w:pPr>
      <w:bookmarkStart w:id="116" w:name="_Toc1836994477"/>
      <w:bookmarkStart w:id="117" w:name="_Toc1330972676"/>
      <w:r>
        <w:t>16.2 给药记录</w:t>
      </w:r>
      <w:bookmarkEnd w:id="116"/>
      <w:bookmarkEnd w:id="117"/>
    </w:p>
    <w:p w14:paraId="2D18BB86">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每次给药前需确认患者身份和分组信息</w:t>
      </w:r>
    </w:p>
    <w:p w14:paraId="0FBAC3C2">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详细记录给药时间、剂量、途径和部位</w:t>
      </w:r>
    </w:p>
    <w:p w14:paraId="7833F1BC">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记录药物使用情况（如剩余药物量、销毁时间等）</w:t>
      </w:r>
    </w:p>
    <w:p w14:paraId="3F87748D">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记录任何与给药相关的异常情况</w:t>
      </w:r>
    </w:p>
    <w:p w14:paraId="18BD7B3C">
      <w:pPr>
        <w:pStyle w:val="3"/>
        <w:bidi w:val="0"/>
      </w:pPr>
      <w:bookmarkStart w:id="118" w:name="_Toc2141265667"/>
      <w:bookmarkStart w:id="119" w:name="_Toc1468098380"/>
      <w:r>
        <w:t>十七、试验结果报告</w:t>
      </w:r>
      <w:bookmarkEnd w:id="118"/>
      <w:bookmarkEnd w:id="119"/>
    </w:p>
    <w:p w14:paraId="396318FF">
      <w:pPr>
        <w:pStyle w:val="4"/>
        <w:bidi w:val="0"/>
      </w:pPr>
      <w:bookmarkStart w:id="120" w:name="_Toc721108843"/>
      <w:bookmarkStart w:id="121" w:name="_Toc1889852277"/>
      <w:r>
        <w:t>17.1 研究报告</w:t>
      </w:r>
      <w:bookmarkEnd w:id="120"/>
      <w:bookmarkEnd w:id="121"/>
    </w:p>
    <w:p w14:paraId="01EA8F04">
      <w:pPr>
        <w:pageBreakBefore w:val="0"/>
        <w:numPr>
          <w:ilvl w:val="0"/>
          <w:numId w:val="56"/>
        </w:numPr>
        <w:wordWrap/>
        <w:spacing w:before="160" w:after="0"/>
        <w:ind w:left="440" w:right="0" w:hanging="440"/>
        <w:jc w:val="left"/>
        <w:textAlignment w:val="auto"/>
        <w:rPr>
          <w:sz w:val="24"/>
        </w:rPr>
      </w:pPr>
      <w:r>
        <w:rPr>
          <w:rFonts w:ascii="宋体" w:hAnsi="宋体" w:eastAsia="宋体" w:cs="宋体"/>
          <w:b/>
          <w:i w:val="0"/>
          <w:spacing w:val="0"/>
          <w:sz w:val="24"/>
        </w:rPr>
        <w:t>中期分析报告</w:t>
      </w:r>
      <w:r>
        <w:rPr>
          <w:rFonts w:ascii="宋体" w:hAnsi="宋体" w:eastAsia="宋体" w:cs="宋体"/>
          <w:b w:val="0"/>
          <w:i w:val="0"/>
          <w:spacing w:val="0"/>
          <w:sz w:val="24"/>
        </w:rPr>
        <w:t>：在第一阶段（60例患者）治疗结束后提交中期分析报告</w:t>
      </w:r>
    </w:p>
    <w:p w14:paraId="3E992694">
      <w:pPr>
        <w:pageBreakBefore w:val="0"/>
        <w:numPr>
          <w:ilvl w:val="0"/>
          <w:numId w:val="56"/>
        </w:numPr>
        <w:wordWrap/>
        <w:spacing w:before="160" w:after="0"/>
        <w:ind w:left="440" w:right="0" w:hanging="440"/>
        <w:jc w:val="left"/>
        <w:textAlignment w:val="auto"/>
        <w:rPr>
          <w:sz w:val="24"/>
        </w:rPr>
      </w:pPr>
      <w:r>
        <w:rPr>
          <w:rFonts w:ascii="宋体" w:hAnsi="宋体" w:eastAsia="宋体" w:cs="宋体"/>
          <w:b/>
          <w:i w:val="0"/>
          <w:spacing w:val="0"/>
          <w:sz w:val="24"/>
        </w:rPr>
        <w:t>最终分析报告</w:t>
      </w:r>
      <w:r>
        <w:rPr>
          <w:rFonts w:ascii="宋体" w:hAnsi="宋体" w:eastAsia="宋体" w:cs="宋体"/>
          <w:b w:val="0"/>
          <w:i w:val="0"/>
          <w:spacing w:val="0"/>
          <w:sz w:val="24"/>
        </w:rPr>
        <w:t>：在所有患者完成随访后提交最终分析报告</w:t>
      </w:r>
    </w:p>
    <w:p w14:paraId="20C1BE7A">
      <w:pPr>
        <w:pageBreakBefore w:val="0"/>
        <w:numPr>
          <w:ilvl w:val="0"/>
          <w:numId w:val="56"/>
        </w:numPr>
        <w:wordWrap/>
        <w:spacing w:before="160" w:after="0"/>
        <w:ind w:left="440" w:right="0" w:hanging="440"/>
        <w:jc w:val="left"/>
        <w:textAlignment w:val="auto"/>
        <w:rPr>
          <w:sz w:val="24"/>
        </w:rPr>
      </w:pPr>
      <w:r>
        <w:rPr>
          <w:rFonts w:ascii="宋体" w:hAnsi="宋体" w:eastAsia="宋体" w:cs="宋体"/>
          <w:b/>
          <w:i w:val="0"/>
          <w:spacing w:val="0"/>
          <w:sz w:val="24"/>
        </w:rPr>
        <w:t>安全性总结报告</w:t>
      </w:r>
      <w:r>
        <w:rPr>
          <w:rFonts w:ascii="宋体" w:hAnsi="宋体" w:eastAsia="宋体" w:cs="宋体"/>
          <w:b w:val="0"/>
          <w:i w:val="0"/>
          <w:spacing w:val="0"/>
          <w:sz w:val="24"/>
        </w:rPr>
        <w:t>：每3个月提交一次安全性总结报告</w:t>
      </w:r>
    </w:p>
    <w:p w14:paraId="6DD4E75B">
      <w:pPr>
        <w:pStyle w:val="4"/>
        <w:bidi w:val="0"/>
      </w:pPr>
      <w:bookmarkStart w:id="122" w:name="_Toc1426104280"/>
      <w:bookmarkStart w:id="123" w:name="_Toc1464080409"/>
      <w:r>
        <w:t>17.2 结果公布</w:t>
      </w:r>
      <w:bookmarkEnd w:id="122"/>
      <w:bookmarkEnd w:id="123"/>
    </w:p>
    <w:p w14:paraId="405A4C75">
      <w:pPr>
        <w:pageBreakBefore w:val="0"/>
        <w:numPr>
          <w:ilvl w:val="0"/>
          <w:numId w:val="57"/>
        </w:numPr>
        <w:wordWrap/>
        <w:spacing w:before="160" w:after="0"/>
        <w:ind w:left="440" w:right="0" w:hanging="440"/>
        <w:jc w:val="left"/>
        <w:textAlignment w:val="auto"/>
        <w:rPr>
          <w:sz w:val="24"/>
        </w:rPr>
      </w:pPr>
      <w:r>
        <w:rPr>
          <w:rFonts w:ascii="宋体" w:hAnsi="宋体" w:eastAsia="宋体" w:cs="宋体"/>
          <w:b w:val="0"/>
          <w:i w:val="0"/>
          <w:spacing w:val="0"/>
          <w:sz w:val="24"/>
        </w:rPr>
        <w:t>无论试验结果如何，均将在学术会议或同行评审期刊上发表研究结果</w:t>
      </w:r>
    </w:p>
    <w:p w14:paraId="7D9DA932">
      <w:pPr>
        <w:pageBreakBefore w:val="0"/>
        <w:numPr>
          <w:ilvl w:val="0"/>
          <w:numId w:val="57"/>
        </w:numPr>
        <w:wordWrap/>
        <w:spacing w:before="160" w:after="0"/>
        <w:ind w:left="440" w:right="0" w:hanging="440"/>
        <w:jc w:val="left"/>
        <w:textAlignment w:val="auto"/>
        <w:rPr>
          <w:sz w:val="24"/>
        </w:rPr>
      </w:pPr>
      <w:r>
        <w:rPr>
          <w:rFonts w:ascii="宋体" w:hAnsi="宋体" w:eastAsia="宋体" w:cs="宋体"/>
          <w:b w:val="0"/>
          <w:i w:val="0"/>
          <w:spacing w:val="0"/>
          <w:sz w:val="24"/>
        </w:rPr>
        <w:t>试验数据将按照相关规定进行公开和共享</w:t>
      </w:r>
    </w:p>
    <w:p w14:paraId="56DD0BDF">
      <w:pPr>
        <w:pageBreakBefore w:val="0"/>
        <w:numPr>
          <w:ilvl w:val="0"/>
          <w:numId w:val="57"/>
        </w:numPr>
        <w:wordWrap/>
        <w:spacing w:before="160" w:after="0"/>
        <w:ind w:left="440" w:right="0" w:hanging="440"/>
        <w:jc w:val="left"/>
        <w:textAlignment w:val="auto"/>
        <w:rPr>
          <w:sz w:val="24"/>
        </w:rPr>
      </w:pPr>
      <w:r>
        <w:rPr>
          <w:rFonts w:ascii="宋体" w:hAnsi="宋体" w:eastAsia="宋体" w:cs="宋体"/>
          <w:b w:val="0"/>
          <w:i w:val="0"/>
          <w:spacing w:val="0"/>
          <w:sz w:val="24"/>
        </w:rPr>
        <w:t>研究结果将作为后续临床试验设计和监管申请的重要依据</w:t>
      </w:r>
    </w:p>
    <w:p w14:paraId="2C7E4369">
      <w:pPr>
        <w:pStyle w:val="3"/>
        <w:bidi w:val="0"/>
      </w:pPr>
      <w:bookmarkStart w:id="124" w:name="_Toc469649793"/>
      <w:bookmarkStart w:id="125" w:name="_Toc931806737"/>
      <w:r>
        <w:t>十八、试验组织结构</w:t>
      </w:r>
      <w:bookmarkEnd w:id="124"/>
      <w:bookmarkEnd w:id="125"/>
    </w:p>
    <w:p w14:paraId="18F1FDDB">
      <w:pPr>
        <w:pStyle w:val="4"/>
        <w:bidi w:val="0"/>
      </w:pPr>
      <w:bookmarkStart w:id="126" w:name="_Toc1401668226"/>
      <w:bookmarkStart w:id="127" w:name="_Toc1425074835"/>
      <w:r>
        <w:t>18.1 研究组织</w:t>
      </w:r>
      <w:bookmarkEnd w:id="126"/>
      <w:bookmarkEnd w:id="127"/>
    </w:p>
    <w:p w14:paraId="2D9C550D">
      <w:pPr>
        <w:pageBreakBefore w:val="0"/>
        <w:numPr>
          <w:ilvl w:val="0"/>
          <w:numId w:val="58"/>
        </w:numPr>
        <w:wordWrap/>
        <w:spacing w:before="160" w:after="0"/>
        <w:ind w:left="440" w:right="0" w:hanging="440"/>
        <w:jc w:val="left"/>
        <w:textAlignment w:val="auto"/>
        <w:rPr>
          <w:sz w:val="24"/>
        </w:rPr>
      </w:pPr>
      <w:r>
        <w:rPr>
          <w:rFonts w:ascii="宋体" w:hAnsi="宋体" w:eastAsia="宋体" w:cs="宋体"/>
          <w:b/>
          <w:i w:val="0"/>
          <w:spacing w:val="0"/>
          <w:sz w:val="24"/>
        </w:rPr>
        <w:t>申办方</w:t>
      </w:r>
      <w:r>
        <w:rPr>
          <w:rFonts w:ascii="宋体" w:hAnsi="宋体" w:eastAsia="宋体" w:cs="宋体"/>
          <w:b w:val="0"/>
          <w:i w:val="0"/>
          <w:spacing w:val="0"/>
          <w:sz w:val="24"/>
        </w:rPr>
        <w:t>：[申办方名称]</w:t>
      </w:r>
    </w:p>
    <w:p w14:paraId="49587EB8">
      <w:pPr>
        <w:pageBreakBefore w:val="0"/>
        <w:numPr>
          <w:ilvl w:val="0"/>
          <w:numId w:val="58"/>
        </w:numPr>
        <w:wordWrap/>
        <w:spacing w:before="160" w:after="0"/>
        <w:ind w:left="440" w:right="0" w:hanging="440"/>
        <w:jc w:val="left"/>
        <w:textAlignment w:val="auto"/>
        <w:rPr>
          <w:sz w:val="24"/>
        </w:rPr>
      </w:pPr>
      <w:r>
        <w:rPr>
          <w:rFonts w:ascii="宋体" w:hAnsi="宋体" w:eastAsia="宋体" w:cs="宋体"/>
          <w:b/>
          <w:i w:val="0"/>
          <w:spacing w:val="0"/>
          <w:sz w:val="24"/>
        </w:rPr>
        <w:t>CRO</w:t>
      </w:r>
      <w:r>
        <w:rPr>
          <w:rFonts w:ascii="宋体" w:hAnsi="宋体" w:eastAsia="宋体" w:cs="宋体"/>
          <w:b w:val="0"/>
          <w:i w:val="0"/>
          <w:spacing w:val="0"/>
          <w:sz w:val="24"/>
        </w:rPr>
        <w:t>：[CRO名称]</w:t>
      </w:r>
    </w:p>
    <w:p w14:paraId="0C32D865">
      <w:pPr>
        <w:pageBreakBefore w:val="0"/>
        <w:numPr>
          <w:ilvl w:val="0"/>
          <w:numId w:val="58"/>
        </w:numPr>
        <w:wordWrap/>
        <w:spacing w:before="160" w:after="0"/>
        <w:ind w:left="440" w:right="0" w:hanging="440"/>
        <w:jc w:val="left"/>
        <w:textAlignment w:val="auto"/>
        <w:rPr>
          <w:sz w:val="24"/>
        </w:rPr>
      </w:pPr>
      <w:r>
        <w:rPr>
          <w:rFonts w:ascii="宋体" w:hAnsi="宋体" w:eastAsia="宋体" w:cs="宋体"/>
          <w:b/>
          <w:i w:val="0"/>
          <w:spacing w:val="0"/>
          <w:sz w:val="24"/>
        </w:rPr>
        <w:t>研究中心</w:t>
      </w:r>
      <w:r>
        <w:rPr>
          <w:rFonts w:ascii="宋体" w:hAnsi="宋体" w:eastAsia="宋体" w:cs="宋体"/>
          <w:b w:val="0"/>
          <w:i w:val="0"/>
          <w:spacing w:val="0"/>
          <w:sz w:val="24"/>
        </w:rPr>
        <w:t>：[研究中心列表]</w:t>
      </w:r>
    </w:p>
    <w:p w14:paraId="1CB34529">
      <w:pPr>
        <w:pageBreakBefore w:val="0"/>
        <w:numPr>
          <w:ilvl w:val="0"/>
          <w:numId w:val="58"/>
        </w:numPr>
        <w:wordWrap/>
        <w:spacing w:before="160" w:after="0"/>
        <w:ind w:left="440" w:right="0" w:hanging="440"/>
        <w:jc w:val="left"/>
        <w:textAlignment w:val="auto"/>
        <w:rPr>
          <w:sz w:val="24"/>
        </w:rPr>
      </w:pPr>
      <w:r>
        <w:rPr>
          <w:rFonts w:ascii="宋体" w:hAnsi="宋体" w:eastAsia="宋体" w:cs="宋体"/>
          <w:b/>
          <w:i w:val="0"/>
          <w:spacing w:val="0"/>
          <w:sz w:val="24"/>
        </w:rPr>
        <w:t>统计分析单位</w:t>
      </w:r>
      <w:r>
        <w:rPr>
          <w:rFonts w:ascii="宋体" w:hAnsi="宋体" w:eastAsia="宋体" w:cs="宋体"/>
          <w:b w:val="0"/>
          <w:i w:val="0"/>
          <w:spacing w:val="0"/>
          <w:sz w:val="24"/>
        </w:rPr>
        <w:t>：[统计分析单位名称]</w:t>
      </w:r>
    </w:p>
    <w:p w14:paraId="7AEE4383">
      <w:pPr>
        <w:pageBreakBefore w:val="0"/>
        <w:numPr>
          <w:ilvl w:val="0"/>
          <w:numId w:val="58"/>
        </w:numPr>
        <w:wordWrap/>
        <w:spacing w:before="160" w:after="0"/>
        <w:ind w:left="440" w:right="0" w:hanging="440"/>
        <w:jc w:val="left"/>
        <w:textAlignment w:val="auto"/>
        <w:rPr>
          <w:sz w:val="24"/>
        </w:rPr>
      </w:pPr>
      <w:r>
        <w:rPr>
          <w:rFonts w:ascii="宋体" w:hAnsi="宋体" w:eastAsia="宋体" w:cs="宋体"/>
          <w:b/>
          <w:i w:val="0"/>
          <w:spacing w:val="0"/>
          <w:sz w:val="24"/>
        </w:rPr>
        <w:t>生物样本中心实验室</w:t>
      </w:r>
      <w:r>
        <w:rPr>
          <w:rFonts w:ascii="宋体" w:hAnsi="宋体" w:eastAsia="宋体" w:cs="宋体"/>
          <w:b w:val="0"/>
          <w:i w:val="0"/>
          <w:spacing w:val="0"/>
          <w:sz w:val="24"/>
        </w:rPr>
        <w:t>：[中心实验室名称]</w:t>
      </w:r>
    </w:p>
    <w:p w14:paraId="35334EF9">
      <w:pPr>
        <w:pStyle w:val="4"/>
        <w:bidi w:val="0"/>
      </w:pPr>
      <w:bookmarkStart w:id="128" w:name="_Toc2089750439"/>
      <w:bookmarkStart w:id="129" w:name="_Toc347636854"/>
      <w:r>
        <w:t>18.2 试验协调</w:t>
      </w:r>
      <w:bookmarkEnd w:id="128"/>
      <w:bookmarkEnd w:id="129"/>
    </w:p>
    <w:p w14:paraId="5E0E7C4D">
      <w:pPr>
        <w:pageBreakBefore w:val="0"/>
        <w:numPr>
          <w:ilvl w:val="0"/>
          <w:numId w:val="59"/>
        </w:numPr>
        <w:wordWrap/>
        <w:spacing w:before="160" w:after="0"/>
        <w:ind w:left="440" w:right="0" w:hanging="440"/>
        <w:jc w:val="left"/>
        <w:textAlignment w:val="auto"/>
        <w:rPr>
          <w:sz w:val="24"/>
        </w:rPr>
      </w:pPr>
      <w:r>
        <w:rPr>
          <w:rFonts w:ascii="宋体" w:hAnsi="宋体" w:eastAsia="宋体" w:cs="宋体"/>
          <w:b/>
          <w:i w:val="0"/>
          <w:spacing w:val="0"/>
          <w:sz w:val="24"/>
        </w:rPr>
        <w:t>试验管理委员会（TMC）</w:t>
      </w:r>
      <w:r>
        <w:rPr>
          <w:rFonts w:ascii="宋体" w:hAnsi="宋体" w:eastAsia="宋体" w:cs="宋体"/>
          <w:b w:val="0"/>
          <w:i w:val="0"/>
          <w:spacing w:val="0"/>
          <w:sz w:val="24"/>
        </w:rPr>
        <w:t>：由申办方、CRO和PI组成，负责试验的整体管理和决策</w:t>
      </w:r>
    </w:p>
    <w:p w14:paraId="01504EDB">
      <w:pPr>
        <w:pageBreakBefore w:val="0"/>
        <w:numPr>
          <w:ilvl w:val="0"/>
          <w:numId w:val="59"/>
        </w:numPr>
        <w:wordWrap/>
        <w:spacing w:before="160" w:after="0"/>
        <w:ind w:left="440" w:right="0" w:hanging="440"/>
        <w:jc w:val="left"/>
        <w:textAlignment w:val="auto"/>
        <w:rPr>
          <w:sz w:val="24"/>
        </w:rPr>
      </w:pPr>
      <w:r>
        <w:rPr>
          <w:rFonts w:ascii="宋体" w:hAnsi="宋体" w:eastAsia="宋体" w:cs="宋体"/>
          <w:b/>
          <w:i w:val="0"/>
          <w:spacing w:val="0"/>
          <w:sz w:val="24"/>
        </w:rPr>
        <w:t>独立数据监查委员会（IDMC）</w:t>
      </w:r>
      <w:r>
        <w:rPr>
          <w:rFonts w:ascii="宋体" w:hAnsi="宋体" w:eastAsia="宋体" w:cs="宋体"/>
          <w:b w:val="0"/>
          <w:i w:val="0"/>
          <w:spacing w:val="0"/>
          <w:sz w:val="24"/>
        </w:rPr>
        <w:t>：由独立专家组成，负责安全性数据和疗效数据的审查</w:t>
      </w:r>
    </w:p>
    <w:p w14:paraId="5D2F0066">
      <w:pPr>
        <w:pageBreakBefore w:val="0"/>
        <w:numPr>
          <w:ilvl w:val="0"/>
          <w:numId w:val="59"/>
        </w:numPr>
        <w:wordWrap/>
        <w:spacing w:before="160" w:after="0"/>
        <w:ind w:left="440" w:right="0" w:hanging="440"/>
        <w:jc w:val="left"/>
        <w:textAlignment w:val="auto"/>
        <w:rPr>
          <w:sz w:val="24"/>
        </w:rPr>
      </w:pPr>
      <w:r>
        <w:rPr>
          <w:rFonts w:ascii="宋体" w:hAnsi="宋体" w:eastAsia="宋体" w:cs="宋体"/>
          <w:b/>
          <w:i w:val="0"/>
          <w:spacing w:val="0"/>
          <w:sz w:val="24"/>
        </w:rPr>
        <w:t>研究中心协调会</w:t>
      </w:r>
      <w:r>
        <w:rPr>
          <w:rFonts w:ascii="宋体" w:hAnsi="宋体" w:eastAsia="宋体" w:cs="宋体"/>
          <w:b w:val="0"/>
          <w:i w:val="0"/>
          <w:spacing w:val="0"/>
          <w:sz w:val="24"/>
        </w:rPr>
        <w:t>：每季度召开一次，讨论试验进展和问题</w:t>
      </w:r>
    </w:p>
    <w:p w14:paraId="2B7315B9">
      <w:pPr>
        <w:pStyle w:val="3"/>
        <w:bidi w:val="0"/>
      </w:pPr>
      <w:bookmarkStart w:id="130" w:name="_Toc340581588"/>
      <w:bookmarkStart w:id="131" w:name="_Toc1577085338"/>
      <w:r>
        <w:t>十九、试验经费和资源</w:t>
      </w:r>
      <w:bookmarkEnd w:id="130"/>
      <w:bookmarkEnd w:id="131"/>
    </w:p>
    <w:p w14:paraId="3B7FDF07">
      <w:pPr>
        <w:pStyle w:val="4"/>
        <w:bidi w:val="0"/>
      </w:pPr>
      <w:bookmarkStart w:id="132" w:name="_Toc1110830261"/>
      <w:bookmarkStart w:id="133" w:name="_Toc1830104492"/>
      <w:r>
        <w:t>19.1 试验经费</w:t>
      </w:r>
      <w:bookmarkEnd w:id="132"/>
      <w:bookmarkEnd w:id="133"/>
    </w:p>
    <w:p w14:paraId="5F98F4F3">
      <w:pPr>
        <w:pageBreakBefore w:val="0"/>
        <w:numPr>
          <w:ilvl w:val="0"/>
          <w:numId w:val="60"/>
        </w:numPr>
        <w:wordWrap/>
        <w:spacing w:before="160" w:after="0"/>
        <w:ind w:left="440" w:right="0" w:hanging="440"/>
        <w:jc w:val="left"/>
        <w:textAlignment w:val="auto"/>
        <w:rPr>
          <w:sz w:val="24"/>
        </w:rPr>
      </w:pPr>
      <w:r>
        <w:rPr>
          <w:rFonts w:ascii="宋体" w:hAnsi="宋体" w:eastAsia="宋体" w:cs="宋体"/>
          <w:b/>
          <w:i w:val="0"/>
          <w:spacing w:val="0"/>
          <w:sz w:val="24"/>
        </w:rPr>
        <w:t>总预算</w:t>
      </w:r>
      <w:r>
        <w:rPr>
          <w:rFonts w:ascii="宋体" w:hAnsi="宋体" w:eastAsia="宋体" w:cs="宋体"/>
          <w:b w:val="0"/>
          <w:i w:val="0"/>
          <w:spacing w:val="0"/>
          <w:sz w:val="24"/>
        </w:rPr>
        <w:t>：[总预算金额]</w:t>
      </w:r>
    </w:p>
    <w:p w14:paraId="070173AA">
      <w:pPr>
        <w:pageBreakBefore w:val="0"/>
        <w:numPr>
          <w:ilvl w:val="0"/>
          <w:numId w:val="60"/>
        </w:numPr>
        <w:wordWrap/>
        <w:spacing w:before="160" w:after="0"/>
        <w:ind w:left="440" w:right="0" w:hanging="440"/>
        <w:jc w:val="left"/>
        <w:textAlignment w:val="auto"/>
        <w:rPr>
          <w:sz w:val="24"/>
        </w:rPr>
      </w:pPr>
      <w:r>
        <w:rPr>
          <w:rFonts w:ascii="宋体" w:hAnsi="宋体" w:eastAsia="宋体" w:cs="宋体"/>
          <w:b/>
          <w:i w:val="0"/>
          <w:spacing w:val="0"/>
          <w:sz w:val="24"/>
        </w:rPr>
        <w:t>经费来源</w:t>
      </w:r>
      <w:r>
        <w:rPr>
          <w:rFonts w:ascii="宋体" w:hAnsi="宋体" w:eastAsia="宋体" w:cs="宋体"/>
          <w:b w:val="0"/>
          <w:i w:val="0"/>
          <w:spacing w:val="0"/>
          <w:sz w:val="24"/>
        </w:rPr>
        <w:t>：[经费来源说明]</w:t>
      </w:r>
    </w:p>
    <w:p w14:paraId="0C7F0C7A">
      <w:pPr>
        <w:pageBreakBefore w:val="0"/>
        <w:numPr>
          <w:ilvl w:val="0"/>
          <w:numId w:val="60"/>
        </w:numPr>
        <w:wordWrap/>
        <w:spacing w:before="160" w:after="0"/>
        <w:ind w:left="440" w:right="0" w:hanging="440"/>
        <w:jc w:val="left"/>
        <w:textAlignment w:val="auto"/>
        <w:rPr>
          <w:sz w:val="24"/>
        </w:rPr>
      </w:pPr>
      <w:r>
        <w:rPr>
          <w:rFonts w:ascii="宋体" w:hAnsi="宋体" w:eastAsia="宋体" w:cs="宋体"/>
          <w:b/>
          <w:i w:val="0"/>
          <w:spacing w:val="0"/>
          <w:sz w:val="24"/>
        </w:rPr>
        <w:t>经费分配</w:t>
      </w:r>
      <w:r>
        <w:rPr>
          <w:rFonts w:ascii="宋体" w:hAnsi="宋体" w:eastAsia="宋体" w:cs="宋体"/>
          <w:b w:val="0"/>
          <w:i w:val="0"/>
          <w:spacing w:val="0"/>
          <w:sz w:val="24"/>
        </w:rPr>
        <w:t>：</w:t>
      </w:r>
    </w:p>
    <w:p w14:paraId="58EC798A">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试验药物成本：[百分比]</w:t>
      </w:r>
    </w:p>
    <w:p w14:paraId="7CCAD2DE">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临床研究费用：[百分比]</w:t>
      </w:r>
    </w:p>
    <w:p w14:paraId="30FADD33">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数据管理与统计分析费用：[百分比]</w:t>
      </w:r>
    </w:p>
    <w:p w14:paraId="036BE5C9">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安全性监测费用：[百分比]</w:t>
      </w:r>
    </w:p>
    <w:p w14:paraId="71D07DE0">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伦理审查费用：[百分比]</w:t>
      </w:r>
    </w:p>
    <w:p w14:paraId="419FC865">
      <w:pPr>
        <w:pageBreakBefore w:val="0"/>
        <w:numPr>
          <w:ilvl w:val="1"/>
          <w:numId w:val="61"/>
        </w:numPr>
        <w:wordWrap/>
        <w:spacing w:before="160" w:after="0"/>
        <w:ind w:left="880" w:right="0" w:hanging="440"/>
        <w:jc w:val="left"/>
        <w:textAlignment w:val="auto"/>
        <w:rPr>
          <w:sz w:val="24"/>
        </w:rPr>
      </w:pPr>
      <w:r>
        <w:rPr>
          <w:rFonts w:ascii="宋体" w:hAnsi="宋体" w:eastAsia="宋体" w:cs="宋体"/>
          <w:b w:val="0"/>
          <w:i w:val="0"/>
          <w:spacing w:val="0"/>
          <w:sz w:val="24"/>
        </w:rPr>
        <w:t>其他费用：[百分比]</w:t>
      </w:r>
    </w:p>
    <w:p w14:paraId="4498B7A8">
      <w:pPr>
        <w:pStyle w:val="4"/>
        <w:bidi w:val="0"/>
      </w:pPr>
      <w:bookmarkStart w:id="134" w:name="_Toc1648853256"/>
      <w:bookmarkStart w:id="135" w:name="_Toc157921063"/>
      <w:r>
        <w:t>19.2 试验资源</w:t>
      </w:r>
      <w:bookmarkEnd w:id="134"/>
      <w:bookmarkEnd w:id="135"/>
    </w:p>
    <w:p w14:paraId="22777F1D">
      <w:pPr>
        <w:pageBreakBefore w:val="0"/>
        <w:numPr>
          <w:ilvl w:val="0"/>
          <w:numId w:val="62"/>
        </w:numPr>
        <w:wordWrap/>
        <w:spacing w:before="160" w:after="0"/>
        <w:ind w:left="440" w:right="0" w:hanging="440"/>
        <w:jc w:val="left"/>
        <w:textAlignment w:val="auto"/>
        <w:rPr>
          <w:sz w:val="24"/>
        </w:rPr>
      </w:pPr>
      <w:r>
        <w:rPr>
          <w:rFonts w:ascii="宋体" w:hAnsi="宋体" w:eastAsia="宋体" w:cs="宋体"/>
          <w:b/>
          <w:i w:val="0"/>
          <w:spacing w:val="0"/>
          <w:sz w:val="24"/>
        </w:rPr>
        <w:t>人力资源</w:t>
      </w:r>
      <w:r>
        <w:rPr>
          <w:rFonts w:ascii="宋体" w:hAnsi="宋体" w:eastAsia="宋体" w:cs="宋体"/>
          <w:b w:val="0"/>
          <w:i w:val="0"/>
          <w:spacing w:val="0"/>
          <w:sz w:val="24"/>
        </w:rPr>
        <w:t>：[各研究中心研究人员数量]</w:t>
      </w:r>
    </w:p>
    <w:p w14:paraId="43534D45">
      <w:pPr>
        <w:pageBreakBefore w:val="0"/>
        <w:numPr>
          <w:ilvl w:val="0"/>
          <w:numId w:val="62"/>
        </w:numPr>
        <w:wordWrap/>
        <w:spacing w:before="160" w:after="0"/>
        <w:ind w:left="440" w:right="0" w:hanging="440"/>
        <w:jc w:val="left"/>
        <w:textAlignment w:val="auto"/>
        <w:rPr>
          <w:sz w:val="24"/>
        </w:rPr>
      </w:pPr>
      <w:r>
        <w:rPr>
          <w:rFonts w:ascii="宋体" w:hAnsi="宋体" w:eastAsia="宋体" w:cs="宋体"/>
          <w:b/>
          <w:i w:val="0"/>
          <w:spacing w:val="0"/>
          <w:sz w:val="24"/>
        </w:rPr>
        <w:t>设备资源</w:t>
      </w:r>
      <w:r>
        <w:rPr>
          <w:rFonts w:ascii="宋体" w:hAnsi="宋体" w:eastAsia="宋体" w:cs="宋体"/>
          <w:b w:val="0"/>
          <w:i w:val="0"/>
          <w:spacing w:val="0"/>
          <w:sz w:val="24"/>
        </w:rPr>
        <w:t>：[研究中心设备清单]</w:t>
      </w:r>
    </w:p>
    <w:p w14:paraId="531F83AA">
      <w:pPr>
        <w:pageBreakBefore w:val="0"/>
        <w:numPr>
          <w:ilvl w:val="0"/>
          <w:numId w:val="62"/>
        </w:numPr>
        <w:wordWrap/>
        <w:spacing w:before="160" w:after="0"/>
        <w:ind w:left="440" w:right="0" w:hanging="440"/>
        <w:jc w:val="left"/>
        <w:textAlignment w:val="auto"/>
        <w:rPr>
          <w:sz w:val="24"/>
        </w:rPr>
      </w:pPr>
      <w:r>
        <w:rPr>
          <w:rFonts w:ascii="宋体" w:hAnsi="宋体" w:eastAsia="宋体" w:cs="宋体"/>
          <w:b/>
          <w:i w:val="0"/>
          <w:spacing w:val="0"/>
          <w:sz w:val="24"/>
        </w:rPr>
        <w:t>信息资源</w:t>
      </w:r>
      <w:r>
        <w:rPr>
          <w:rFonts w:ascii="宋体" w:hAnsi="宋体" w:eastAsia="宋体" w:cs="宋体"/>
          <w:b w:val="0"/>
          <w:i w:val="0"/>
          <w:spacing w:val="0"/>
          <w:sz w:val="24"/>
        </w:rPr>
        <w:t>：[EDC系统和统计分析软件]</w:t>
      </w:r>
    </w:p>
    <w:p w14:paraId="654AFFD0">
      <w:pPr>
        <w:pStyle w:val="3"/>
        <w:bidi w:val="0"/>
      </w:pPr>
      <w:bookmarkStart w:id="136" w:name="_Toc1147692704"/>
      <w:bookmarkStart w:id="137" w:name="_Toc2037001796"/>
      <w:r>
        <w:t>二十、试验风险与应对措施</w:t>
      </w:r>
      <w:bookmarkEnd w:id="136"/>
      <w:bookmarkEnd w:id="137"/>
    </w:p>
    <w:p w14:paraId="54BF5E32">
      <w:pPr>
        <w:pStyle w:val="4"/>
        <w:bidi w:val="0"/>
      </w:pPr>
      <w:bookmarkStart w:id="138" w:name="_Toc573158774"/>
      <w:bookmarkStart w:id="139" w:name="_Toc704884898"/>
      <w:r>
        <w:t>20.1 潜在风险</w:t>
      </w:r>
      <w:bookmarkEnd w:id="138"/>
      <w:bookmarkEnd w:id="139"/>
    </w:p>
    <w:p w14:paraId="1A0F6D5A">
      <w:pPr>
        <w:pageBreakBefore w:val="0"/>
        <w:numPr>
          <w:ilvl w:val="0"/>
          <w:numId w:val="63"/>
        </w:numPr>
        <w:wordWrap/>
        <w:spacing w:before="160" w:after="0"/>
        <w:ind w:left="440" w:right="0" w:hanging="440"/>
        <w:jc w:val="left"/>
        <w:textAlignment w:val="auto"/>
        <w:rPr>
          <w:sz w:val="24"/>
        </w:rPr>
      </w:pPr>
      <w:r>
        <w:rPr>
          <w:rFonts w:ascii="宋体" w:hAnsi="宋体" w:eastAsia="宋体" w:cs="宋体"/>
          <w:b/>
          <w:i w:val="0"/>
          <w:spacing w:val="0"/>
          <w:sz w:val="24"/>
        </w:rPr>
        <w:t>溶瘤病毒相关风险</w:t>
      </w:r>
      <w:r>
        <w:rPr>
          <w:rFonts w:ascii="宋体" w:hAnsi="宋体" w:eastAsia="宋体" w:cs="宋体"/>
          <w:b w:val="0"/>
          <w:i w:val="0"/>
          <w:spacing w:val="0"/>
          <w:sz w:val="24"/>
        </w:rPr>
        <w:t>：</w:t>
      </w:r>
    </w:p>
    <w:p w14:paraId="7DE2F86E">
      <w:pPr>
        <w:pageBreakBefore w:val="0"/>
        <w:numPr>
          <w:ilvl w:val="1"/>
          <w:numId w:val="64"/>
        </w:numPr>
        <w:wordWrap/>
        <w:spacing w:before="160" w:after="0"/>
        <w:ind w:left="880" w:right="0" w:hanging="440"/>
        <w:jc w:val="left"/>
        <w:textAlignment w:val="auto"/>
        <w:rPr>
          <w:sz w:val="24"/>
        </w:rPr>
      </w:pPr>
      <w:r>
        <w:rPr>
          <w:rFonts w:ascii="宋体" w:hAnsi="宋体" w:eastAsia="宋体" w:cs="宋体"/>
          <w:b w:val="0"/>
          <w:i w:val="0"/>
          <w:spacing w:val="0"/>
          <w:sz w:val="24"/>
        </w:rPr>
        <w:t>病毒扩散至正常组织（如中枢神经系统）</w:t>
      </w:r>
    </w:p>
    <w:p w14:paraId="12BE8DE9">
      <w:pPr>
        <w:pageBreakBefore w:val="0"/>
        <w:numPr>
          <w:ilvl w:val="1"/>
          <w:numId w:val="64"/>
        </w:numPr>
        <w:wordWrap/>
        <w:spacing w:before="160" w:after="0"/>
        <w:ind w:left="880" w:right="0" w:hanging="440"/>
        <w:jc w:val="left"/>
        <w:textAlignment w:val="auto"/>
        <w:rPr>
          <w:sz w:val="24"/>
        </w:rPr>
      </w:pPr>
      <w:r>
        <w:rPr>
          <w:rFonts w:ascii="宋体" w:hAnsi="宋体" w:eastAsia="宋体" w:cs="宋体"/>
          <w:b w:val="0"/>
          <w:i w:val="0"/>
          <w:spacing w:val="0"/>
          <w:sz w:val="24"/>
        </w:rPr>
        <w:t>免疫相关不良反应（如免疫风暴）</w:t>
      </w:r>
    </w:p>
    <w:p w14:paraId="4CB275E8">
      <w:pPr>
        <w:pageBreakBefore w:val="0"/>
        <w:numPr>
          <w:ilvl w:val="1"/>
          <w:numId w:val="64"/>
        </w:numPr>
        <w:wordWrap/>
        <w:spacing w:before="160" w:after="0"/>
        <w:ind w:left="880" w:right="0" w:hanging="440"/>
        <w:jc w:val="left"/>
        <w:textAlignment w:val="auto"/>
        <w:rPr>
          <w:sz w:val="24"/>
        </w:rPr>
      </w:pPr>
      <w:r>
        <w:rPr>
          <w:rFonts w:ascii="宋体" w:hAnsi="宋体" w:eastAsia="宋体" w:cs="宋体"/>
          <w:b w:val="0"/>
          <w:i w:val="0"/>
          <w:spacing w:val="0"/>
          <w:sz w:val="24"/>
        </w:rPr>
        <w:t>注射部位反应（如疼痛、红肿、溃疡）</w:t>
      </w:r>
    </w:p>
    <w:p w14:paraId="4C58AE6B">
      <w:pPr>
        <w:pageBreakBefore w:val="0"/>
        <w:numPr>
          <w:ilvl w:val="0"/>
          <w:numId w:val="63"/>
        </w:numPr>
        <w:wordWrap/>
        <w:spacing w:before="160" w:after="0"/>
        <w:ind w:left="440" w:right="0" w:hanging="440"/>
        <w:jc w:val="left"/>
        <w:textAlignment w:val="auto"/>
        <w:rPr>
          <w:sz w:val="24"/>
        </w:rPr>
      </w:pPr>
      <w:r>
        <w:rPr>
          <w:rFonts w:ascii="宋体" w:hAnsi="宋体" w:eastAsia="宋体" w:cs="宋体"/>
          <w:b/>
          <w:i w:val="0"/>
          <w:spacing w:val="0"/>
          <w:sz w:val="24"/>
        </w:rPr>
        <w:t>PD-1抗体相关风险</w:t>
      </w:r>
      <w:r>
        <w:rPr>
          <w:rFonts w:ascii="宋体" w:hAnsi="宋体" w:eastAsia="宋体" w:cs="宋体"/>
          <w:b w:val="0"/>
          <w:i w:val="0"/>
          <w:spacing w:val="0"/>
          <w:sz w:val="24"/>
        </w:rPr>
        <w:t>：</w:t>
      </w:r>
    </w:p>
    <w:p w14:paraId="2FF87209">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免疫相关不良反应（如肺炎、结肠炎、甲状腺炎）</w:t>
      </w:r>
    </w:p>
    <w:p w14:paraId="06EFC6D2">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免疫治疗失败后的疾病进展</w:t>
      </w:r>
    </w:p>
    <w:p w14:paraId="4BFE390D">
      <w:pPr>
        <w:pageBreakBefore w:val="0"/>
        <w:numPr>
          <w:ilvl w:val="0"/>
          <w:numId w:val="63"/>
        </w:numPr>
        <w:wordWrap/>
        <w:spacing w:before="160" w:after="0"/>
        <w:ind w:left="440" w:right="0" w:hanging="440"/>
        <w:jc w:val="left"/>
        <w:textAlignment w:val="auto"/>
        <w:rPr>
          <w:sz w:val="24"/>
        </w:rPr>
      </w:pPr>
      <w:r>
        <w:rPr>
          <w:rFonts w:ascii="宋体" w:hAnsi="宋体" w:eastAsia="宋体" w:cs="宋体"/>
          <w:b/>
          <w:i w:val="0"/>
          <w:spacing w:val="0"/>
          <w:sz w:val="24"/>
        </w:rPr>
        <w:t>联合治疗相关风险</w:t>
      </w:r>
      <w:r>
        <w:rPr>
          <w:rFonts w:ascii="宋体" w:hAnsi="宋体" w:eastAsia="宋体" w:cs="宋体"/>
          <w:b w:val="0"/>
          <w:i w:val="0"/>
          <w:spacing w:val="0"/>
          <w:sz w:val="24"/>
        </w:rPr>
        <w:t>：</w:t>
      </w:r>
    </w:p>
    <w:p w14:paraId="35481895">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免疫相关不良反应的叠加效应</w:t>
      </w:r>
    </w:p>
    <w:p w14:paraId="5793C206">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病毒复制与免疫治疗的相互作用</w:t>
      </w:r>
    </w:p>
    <w:p w14:paraId="7C2C93D6">
      <w:pPr>
        <w:pStyle w:val="4"/>
        <w:bidi w:val="0"/>
      </w:pPr>
      <w:bookmarkStart w:id="140" w:name="_Toc1615357823"/>
      <w:bookmarkStart w:id="141" w:name="_Toc1480683834"/>
      <w:r>
        <w:t>20.2 风险最小化措施</w:t>
      </w:r>
      <w:bookmarkEnd w:id="140"/>
      <w:bookmarkEnd w:id="141"/>
    </w:p>
    <w:p w14:paraId="0F2331C6">
      <w:pPr>
        <w:pageBreakBefore w:val="0"/>
        <w:numPr>
          <w:ilvl w:val="0"/>
          <w:numId w:val="67"/>
        </w:numPr>
        <w:wordWrap/>
        <w:spacing w:before="160" w:after="0"/>
        <w:ind w:left="440" w:right="0" w:hanging="440"/>
        <w:jc w:val="left"/>
        <w:textAlignment w:val="auto"/>
        <w:rPr>
          <w:sz w:val="24"/>
        </w:rPr>
      </w:pPr>
      <w:r>
        <w:rPr>
          <w:rFonts w:ascii="宋体" w:hAnsi="宋体" w:eastAsia="宋体" w:cs="宋体"/>
          <w:b/>
          <w:i w:val="0"/>
          <w:spacing w:val="0"/>
          <w:sz w:val="24"/>
        </w:rPr>
        <w:t>入组前评估</w:t>
      </w:r>
      <w:r>
        <w:rPr>
          <w:rFonts w:ascii="宋体" w:hAnsi="宋体" w:eastAsia="宋体" w:cs="宋体"/>
          <w:b w:val="0"/>
          <w:i w:val="0"/>
          <w:spacing w:val="0"/>
          <w:sz w:val="24"/>
        </w:rPr>
        <w:t>：</w:t>
      </w:r>
    </w:p>
    <w:p w14:paraId="45F54271">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确认患者无中枢神经系统转移或转移已稳定</w:t>
      </w:r>
    </w:p>
    <w:p w14:paraId="33F8DF4E">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确认患者无活动性感染或感染已控制</w:t>
      </w:r>
    </w:p>
    <w:p w14:paraId="784B31B1">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确认患者无严重免疫抑制状态</w:t>
      </w:r>
    </w:p>
    <w:p w14:paraId="710746C4">
      <w:pPr>
        <w:pageBreakBefore w:val="0"/>
        <w:numPr>
          <w:ilvl w:val="0"/>
          <w:numId w:val="67"/>
        </w:numPr>
        <w:wordWrap/>
        <w:spacing w:before="160" w:after="0"/>
        <w:ind w:left="440" w:right="0" w:hanging="440"/>
        <w:jc w:val="left"/>
        <w:textAlignment w:val="auto"/>
        <w:rPr>
          <w:sz w:val="24"/>
        </w:rPr>
      </w:pPr>
      <w:r>
        <w:rPr>
          <w:rFonts w:ascii="宋体" w:hAnsi="宋体" w:eastAsia="宋体" w:cs="宋体"/>
          <w:b/>
          <w:i w:val="0"/>
          <w:spacing w:val="0"/>
          <w:sz w:val="24"/>
        </w:rPr>
        <w:t>治疗期间监测</w:t>
      </w:r>
      <w:r>
        <w:rPr>
          <w:rFonts w:ascii="宋体" w:hAnsi="宋体" w:eastAsia="宋体" w:cs="宋体"/>
          <w:b w:val="0"/>
          <w:i w:val="0"/>
          <w:spacing w:val="0"/>
          <w:sz w:val="24"/>
        </w:rPr>
        <w:t>：</w:t>
      </w:r>
    </w:p>
    <w:p w14:paraId="0284D3E0">
      <w:pPr>
        <w:pageBreakBefore w:val="0"/>
        <w:numPr>
          <w:ilvl w:val="1"/>
          <w:numId w:val="69"/>
        </w:numPr>
        <w:wordWrap/>
        <w:spacing w:before="160" w:after="0"/>
        <w:ind w:left="880" w:right="0" w:hanging="440"/>
        <w:jc w:val="left"/>
        <w:textAlignment w:val="auto"/>
        <w:rPr>
          <w:sz w:val="24"/>
        </w:rPr>
      </w:pPr>
      <w:r>
        <w:rPr>
          <w:rFonts w:ascii="宋体" w:hAnsi="宋体" w:eastAsia="宋体" w:cs="宋体"/>
          <w:b w:val="0"/>
          <w:i w:val="0"/>
          <w:spacing w:val="0"/>
          <w:sz w:val="24"/>
        </w:rPr>
        <w:t>密切监测体温、生命体征和实验室指标</w:t>
      </w:r>
    </w:p>
    <w:p w14:paraId="2E0926D6">
      <w:pPr>
        <w:pageBreakBefore w:val="0"/>
        <w:numPr>
          <w:ilvl w:val="1"/>
          <w:numId w:val="69"/>
        </w:numPr>
        <w:wordWrap/>
        <w:spacing w:before="160" w:after="0"/>
        <w:ind w:left="880" w:right="0" w:hanging="440"/>
        <w:jc w:val="left"/>
        <w:textAlignment w:val="auto"/>
        <w:rPr>
          <w:sz w:val="24"/>
        </w:rPr>
      </w:pPr>
      <w:r>
        <w:rPr>
          <w:rFonts w:ascii="宋体" w:hAnsi="宋体" w:eastAsia="宋体" w:cs="宋体"/>
          <w:b w:val="0"/>
          <w:i w:val="0"/>
          <w:spacing w:val="0"/>
          <w:sz w:val="24"/>
        </w:rPr>
        <w:t>定期进行神经系统检查</w:t>
      </w:r>
    </w:p>
    <w:p w14:paraId="5C6BEF47">
      <w:pPr>
        <w:pageBreakBefore w:val="0"/>
        <w:numPr>
          <w:ilvl w:val="1"/>
          <w:numId w:val="69"/>
        </w:numPr>
        <w:wordWrap/>
        <w:spacing w:before="160" w:after="0"/>
        <w:ind w:left="880" w:right="0" w:hanging="440"/>
        <w:jc w:val="left"/>
        <w:textAlignment w:val="auto"/>
        <w:rPr>
          <w:sz w:val="24"/>
        </w:rPr>
      </w:pPr>
      <w:r>
        <w:rPr>
          <w:rFonts w:ascii="宋体" w:hAnsi="宋体" w:eastAsia="宋体" w:cs="宋体"/>
          <w:b w:val="0"/>
          <w:i w:val="0"/>
          <w:spacing w:val="0"/>
          <w:sz w:val="24"/>
        </w:rPr>
        <w:t>及时识别和处理免疫相关不良反应</w:t>
      </w:r>
    </w:p>
    <w:p w14:paraId="67600923">
      <w:pPr>
        <w:pageBreakBefore w:val="0"/>
        <w:numPr>
          <w:ilvl w:val="0"/>
          <w:numId w:val="67"/>
        </w:numPr>
        <w:wordWrap/>
        <w:spacing w:before="160" w:after="0"/>
        <w:ind w:left="440" w:right="0" w:hanging="440"/>
        <w:jc w:val="left"/>
        <w:textAlignment w:val="auto"/>
        <w:rPr>
          <w:sz w:val="24"/>
        </w:rPr>
      </w:pPr>
      <w:r>
        <w:rPr>
          <w:rFonts w:ascii="宋体" w:hAnsi="宋体" w:eastAsia="宋体" w:cs="宋体"/>
          <w:b/>
          <w:i w:val="0"/>
          <w:spacing w:val="0"/>
          <w:sz w:val="24"/>
        </w:rPr>
        <w:t>不良反应管理</w:t>
      </w:r>
      <w:r>
        <w:rPr>
          <w:rFonts w:ascii="宋体" w:hAnsi="宋体" w:eastAsia="宋体" w:cs="宋体"/>
          <w:b w:val="0"/>
          <w:i w:val="0"/>
          <w:spacing w:val="0"/>
          <w:sz w:val="24"/>
        </w:rPr>
        <w:t>：</w:t>
      </w:r>
    </w:p>
    <w:p w14:paraId="2FD0F948">
      <w:pPr>
        <w:pageBreakBefore w:val="0"/>
        <w:numPr>
          <w:ilvl w:val="1"/>
          <w:numId w:val="70"/>
        </w:numPr>
        <w:wordWrap/>
        <w:spacing w:before="160" w:after="0"/>
        <w:ind w:left="880" w:right="0" w:hanging="440"/>
        <w:jc w:val="left"/>
        <w:textAlignment w:val="auto"/>
        <w:rPr>
          <w:sz w:val="24"/>
        </w:rPr>
      </w:pPr>
      <w:r>
        <w:rPr>
          <w:rFonts w:ascii="宋体" w:hAnsi="宋体" w:eastAsia="宋体" w:cs="宋体"/>
          <w:b w:val="0"/>
          <w:i w:val="0"/>
          <w:spacing w:val="0"/>
          <w:sz w:val="24"/>
        </w:rPr>
        <w:t>建立明确的AE分级和处理流程</w:t>
      </w:r>
    </w:p>
    <w:p w14:paraId="35784E36">
      <w:pPr>
        <w:pageBreakBefore w:val="0"/>
        <w:numPr>
          <w:ilvl w:val="1"/>
          <w:numId w:val="70"/>
        </w:numPr>
        <w:wordWrap/>
        <w:spacing w:before="160" w:after="0"/>
        <w:ind w:left="880" w:right="0" w:hanging="440"/>
        <w:jc w:val="left"/>
        <w:textAlignment w:val="auto"/>
        <w:rPr>
          <w:sz w:val="24"/>
        </w:rPr>
      </w:pPr>
      <w:r>
        <w:rPr>
          <w:rFonts w:ascii="宋体" w:hAnsi="宋体" w:eastAsia="宋体" w:cs="宋体"/>
          <w:b w:val="0"/>
          <w:i w:val="0"/>
          <w:spacing w:val="0"/>
          <w:sz w:val="24"/>
        </w:rPr>
        <w:t>对3级以上AE进行及时干预和上报</w:t>
      </w:r>
    </w:p>
    <w:p w14:paraId="7A0DB22D">
      <w:pPr>
        <w:pageBreakBefore w:val="0"/>
        <w:numPr>
          <w:ilvl w:val="1"/>
          <w:numId w:val="70"/>
        </w:numPr>
        <w:wordWrap/>
        <w:spacing w:before="160" w:after="0"/>
        <w:ind w:left="880" w:right="0" w:hanging="440"/>
        <w:jc w:val="left"/>
        <w:textAlignment w:val="auto"/>
        <w:rPr>
          <w:sz w:val="24"/>
        </w:rPr>
      </w:pPr>
      <w:r>
        <w:rPr>
          <w:rFonts w:ascii="宋体" w:hAnsi="宋体" w:eastAsia="宋体" w:cs="宋体"/>
          <w:b w:val="0"/>
          <w:i w:val="0"/>
          <w:spacing w:val="0"/>
          <w:sz w:val="24"/>
        </w:rPr>
        <w:t>对SAE进行深入分析和报告</w:t>
      </w:r>
    </w:p>
    <w:p w14:paraId="1E2F097C">
      <w:pPr>
        <w:pStyle w:val="3"/>
        <w:bidi w:val="0"/>
      </w:pPr>
      <w:bookmarkStart w:id="142" w:name="_Toc830665787"/>
      <w:bookmarkStart w:id="143" w:name="_Toc812696602"/>
      <w:r>
        <w:t>二十一、试验终止标准</w:t>
      </w:r>
      <w:bookmarkEnd w:id="142"/>
      <w:bookmarkEnd w:id="143"/>
    </w:p>
    <w:p w14:paraId="0EB0DC39">
      <w:pPr>
        <w:pStyle w:val="4"/>
        <w:bidi w:val="0"/>
      </w:pPr>
      <w:bookmarkStart w:id="144" w:name="_Toc208692962"/>
      <w:bookmarkStart w:id="145" w:name="_Toc995794894"/>
      <w:r>
        <w:t>21.1 试验组个体患者终止标准</w:t>
      </w:r>
      <w:bookmarkEnd w:id="144"/>
      <w:bookmarkEnd w:id="145"/>
    </w:p>
    <w:p w14:paraId="211323C8">
      <w:pPr>
        <w:pageBreakBefore w:val="0"/>
        <w:numPr>
          <w:ilvl w:val="0"/>
          <w:numId w:val="71"/>
        </w:numPr>
        <w:wordWrap/>
        <w:spacing w:before="160" w:after="0"/>
        <w:ind w:left="440" w:right="0" w:hanging="440"/>
        <w:jc w:val="left"/>
        <w:textAlignment w:val="auto"/>
        <w:rPr>
          <w:sz w:val="24"/>
        </w:rPr>
      </w:pPr>
      <w:r>
        <w:rPr>
          <w:rFonts w:ascii="宋体" w:hAnsi="宋体" w:eastAsia="宋体" w:cs="宋体"/>
          <w:b w:val="0"/>
          <w:i w:val="0"/>
          <w:spacing w:val="0"/>
          <w:sz w:val="24"/>
        </w:rPr>
        <w:t>患者出现不可耐受的AE</w:t>
      </w:r>
    </w:p>
    <w:p w14:paraId="762F6E8D">
      <w:pPr>
        <w:pageBreakBefore w:val="0"/>
        <w:numPr>
          <w:ilvl w:val="0"/>
          <w:numId w:val="71"/>
        </w:numPr>
        <w:wordWrap/>
        <w:spacing w:before="160" w:after="0"/>
        <w:ind w:left="440" w:right="0" w:hanging="440"/>
        <w:jc w:val="left"/>
        <w:textAlignment w:val="auto"/>
        <w:rPr>
          <w:sz w:val="24"/>
        </w:rPr>
      </w:pPr>
      <w:r>
        <w:rPr>
          <w:rFonts w:ascii="宋体" w:hAnsi="宋体" w:eastAsia="宋体" w:cs="宋体"/>
          <w:b w:val="0"/>
          <w:i w:val="0"/>
          <w:spacing w:val="0"/>
          <w:sz w:val="24"/>
        </w:rPr>
        <w:t>患者出现疾病进展</w:t>
      </w:r>
    </w:p>
    <w:p w14:paraId="1C8BFB8E">
      <w:pPr>
        <w:pageBreakBefore w:val="0"/>
        <w:numPr>
          <w:ilvl w:val="0"/>
          <w:numId w:val="71"/>
        </w:numPr>
        <w:wordWrap/>
        <w:spacing w:before="160" w:after="0"/>
        <w:ind w:left="440" w:right="0" w:hanging="440"/>
        <w:jc w:val="left"/>
        <w:textAlignment w:val="auto"/>
        <w:rPr>
          <w:sz w:val="24"/>
        </w:rPr>
      </w:pPr>
      <w:r>
        <w:rPr>
          <w:rFonts w:ascii="宋体" w:hAnsi="宋体" w:eastAsia="宋体" w:cs="宋体"/>
          <w:b w:val="0"/>
          <w:i w:val="0"/>
          <w:spacing w:val="0"/>
          <w:sz w:val="24"/>
        </w:rPr>
        <w:t>患者自愿退出试验</w:t>
      </w:r>
    </w:p>
    <w:p w14:paraId="065838BC">
      <w:pPr>
        <w:pageBreakBefore w:val="0"/>
        <w:numPr>
          <w:ilvl w:val="0"/>
          <w:numId w:val="71"/>
        </w:numPr>
        <w:wordWrap/>
        <w:spacing w:before="160" w:after="0"/>
        <w:ind w:left="440" w:right="0" w:hanging="440"/>
        <w:jc w:val="left"/>
        <w:textAlignment w:val="auto"/>
        <w:rPr>
          <w:sz w:val="24"/>
        </w:rPr>
      </w:pPr>
      <w:r>
        <w:rPr>
          <w:rFonts w:ascii="宋体" w:hAnsi="宋体" w:eastAsia="宋体" w:cs="宋体"/>
          <w:b w:val="0"/>
          <w:i w:val="0"/>
          <w:spacing w:val="0"/>
          <w:sz w:val="24"/>
        </w:rPr>
        <w:t>研究者判断患者不适合继续接受试验治疗</w:t>
      </w:r>
    </w:p>
    <w:p w14:paraId="2B2008E5">
      <w:pPr>
        <w:pStyle w:val="4"/>
        <w:bidi w:val="0"/>
      </w:pPr>
      <w:bookmarkStart w:id="146" w:name="_Toc661816783"/>
      <w:bookmarkStart w:id="147" w:name="_Toc984722387"/>
      <w:r>
        <w:t>21.2 整体试验终止标准</w:t>
      </w:r>
      <w:bookmarkEnd w:id="146"/>
      <w:bookmarkEnd w:id="147"/>
    </w:p>
    <w:p w14:paraId="1CBD377A">
      <w:pPr>
        <w:pageBreakBefore w:val="0"/>
        <w:numPr>
          <w:ilvl w:val="0"/>
          <w:numId w:val="72"/>
        </w:numPr>
        <w:wordWrap/>
        <w:spacing w:before="160" w:after="0"/>
        <w:ind w:left="440" w:right="0" w:hanging="440"/>
        <w:jc w:val="left"/>
        <w:textAlignment w:val="auto"/>
        <w:rPr>
          <w:sz w:val="24"/>
        </w:rPr>
      </w:pPr>
      <w:r>
        <w:rPr>
          <w:rFonts w:ascii="宋体" w:hAnsi="宋体" w:eastAsia="宋体" w:cs="宋体"/>
          <w:b w:val="0"/>
          <w:i w:val="0"/>
          <w:spacing w:val="0"/>
          <w:sz w:val="24"/>
        </w:rPr>
        <w:t>达到预设的样本量</w:t>
      </w:r>
    </w:p>
    <w:p w14:paraId="316E8C6E">
      <w:pPr>
        <w:pageBreakBefore w:val="0"/>
        <w:numPr>
          <w:ilvl w:val="0"/>
          <w:numId w:val="72"/>
        </w:numPr>
        <w:wordWrap/>
        <w:spacing w:before="160" w:after="0"/>
        <w:ind w:left="440" w:right="0" w:hanging="440"/>
        <w:jc w:val="left"/>
        <w:textAlignment w:val="auto"/>
        <w:rPr>
          <w:sz w:val="24"/>
        </w:rPr>
      </w:pPr>
      <w:r>
        <w:rPr>
          <w:rFonts w:ascii="宋体" w:hAnsi="宋体" w:eastAsia="宋体" w:cs="宋体"/>
          <w:b w:val="0"/>
          <w:i w:val="0"/>
          <w:spacing w:val="0"/>
          <w:sz w:val="24"/>
        </w:rPr>
        <w:t>IDMC建议终止试验</w:t>
      </w:r>
    </w:p>
    <w:p w14:paraId="6BF3052F">
      <w:pPr>
        <w:pageBreakBefore w:val="0"/>
        <w:numPr>
          <w:ilvl w:val="0"/>
          <w:numId w:val="72"/>
        </w:numPr>
        <w:wordWrap/>
        <w:spacing w:before="160" w:after="0"/>
        <w:ind w:left="440" w:right="0" w:hanging="440"/>
        <w:jc w:val="left"/>
        <w:textAlignment w:val="auto"/>
        <w:rPr>
          <w:sz w:val="24"/>
        </w:rPr>
      </w:pPr>
      <w:r>
        <w:rPr>
          <w:rFonts w:ascii="宋体" w:hAnsi="宋体" w:eastAsia="宋体" w:cs="宋体"/>
          <w:b w:val="0"/>
          <w:i w:val="0"/>
          <w:spacing w:val="0"/>
          <w:sz w:val="24"/>
        </w:rPr>
        <w:t>申办方决定终止试验</w:t>
      </w:r>
    </w:p>
    <w:p w14:paraId="3E6C7E84">
      <w:pPr>
        <w:pageBreakBefore w:val="0"/>
        <w:numPr>
          <w:ilvl w:val="0"/>
          <w:numId w:val="72"/>
        </w:numPr>
        <w:wordWrap/>
        <w:spacing w:before="160" w:after="0"/>
        <w:ind w:left="440" w:right="0" w:hanging="440"/>
        <w:jc w:val="left"/>
        <w:textAlignment w:val="auto"/>
        <w:rPr>
          <w:sz w:val="24"/>
        </w:rPr>
      </w:pPr>
      <w:r>
        <w:rPr>
          <w:rFonts w:ascii="宋体" w:hAnsi="宋体" w:eastAsia="宋体" w:cs="宋体"/>
          <w:b w:val="0"/>
          <w:i w:val="0"/>
          <w:spacing w:val="0"/>
          <w:sz w:val="24"/>
        </w:rPr>
        <w:t>伦理委员会要求终止试验</w:t>
      </w:r>
    </w:p>
    <w:p w14:paraId="6B3C4757">
      <w:pPr>
        <w:pageBreakBefore w:val="0"/>
        <w:numPr>
          <w:ilvl w:val="0"/>
          <w:numId w:val="72"/>
        </w:numPr>
        <w:wordWrap/>
        <w:spacing w:before="160" w:after="0"/>
        <w:ind w:left="440" w:right="0" w:hanging="440"/>
        <w:jc w:val="left"/>
        <w:textAlignment w:val="auto"/>
        <w:rPr>
          <w:sz w:val="24"/>
        </w:rPr>
      </w:pPr>
      <w:r>
        <w:rPr>
          <w:rFonts w:ascii="宋体" w:hAnsi="宋体" w:eastAsia="宋体" w:cs="宋体"/>
          <w:b w:val="0"/>
          <w:i w:val="0"/>
          <w:spacing w:val="0"/>
          <w:sz w:val="24"/>
        </w:rPr>
        <w:t>监管机构要求终止试验</w:t>
      </w:r>
    </w:p>
    <w:p w14:paraId="4AF9CCF6">
      <w:pPr>
        <w:pStyle w:val="3"/>
        <w:bidi w:val="0"/>
      </w:pPr>
      <w:bookmarkStart w:id="148" w:name="_Toc1336864068"/>
      <w:bookmarkStart w:id="149" w:name="_Toc1720174527"/>
      <w:r>
        <w:t>二十二、试验药物研发背景</w:t>
      </w:r>
      <w:bookmarkEnd w:id="148"/>
      <w:bookmarkEnd w:id="149"/>
    </w:p>
    <w:p w14:paraId="386C1DF6">
      <w:pPr>
        <w:pageBreakBefore w:val="0"/>
        <w:wordWrap/>
        <w:spacing w:before="160" w:after="0"/>
        <w:ind w:left="0" w:right="0"/>
        <w:jc w:val="left"/>
        <w:textAlignment w:val="auto"/>
        <w:rPr>
          <w:sz w:val="24"/>
        </w:rPr>
      </w:pP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是一种基于野生型疱疹病毒基因工程改造的溶瘤病毒，具有独特的肿瘤特异性复制和免疫激活双重功能。前期研究显示，</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在多种肿瘤模型中表现出良好的抗肿瘤活性，包括头颈部鳞癌、黑色素瘤、肝细胞癌等。在I期临床试验中，</w:t>
      </w:r>
      <w:r>
        <w:rPr>
          <w:rFonts w:hint="eastAsia" w:ascii="宋体" w:hAnsi="宋体" w:eastAsia="宋体" w:cs="宋体"/>
          <w:b w:val="0"/>
          <w:i w:val="0"/>
          <w:spacing w:val="0"/>
          <w:sz w:val="24"/>
          <w:lang w:eastAsia="zh-CN"/>
        </w:rPr>
        <w:t>AAA-001</w:t>
      </w:r>
      <w:r>
        <w:rPr>
          <w:rFonts w:ascii="宋体" w:hAnsi="宋体" w:eastAsia="宋体" w:cs="宋体"/>
          <w:b w:val="0"/>
          <w:i w:val="0"/>
          <w:spacing w:val="0"/>
          <w:sz w:val="24"/>
        </w:rPr>
        <w:t>在头颈部鳞癌患者中显示出良好的安全性和初步疗效，为本II期试验奠定了基础。</w:t>
      </w:r>
    </w:p>
    <w:p w14:paraId="6C4E1B23">
      <w:pPr>
        <w:pStyle w:val="3"/>
        <w:bidi w:val="0"/>
      </w:pPr>
      <w:bookmarkStart w:id="150" w:name="_Toc1700475962"/>
      <w:bookmarkStart w:id="151" w:name="_Toc1548419375"/>
      <w:r>
        <w:t>二十三、参考文献</w:t>
      </w:r>
      <w:bookmarkEnd w:id="150"/>
      <w:bookmarkEnd w:id="151"/>
    </w:p>
    <w:p w14:paraId="5DB5C627">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中国临床肿瘤学会头颈肿瘤专家委员会. (2024). 复发／转移性头颈部鳞癌免疫检查点抑制剂治疗专家共识（2024年版）. 丁香园.</w:t>
      </w:r>
    </w:p>
    <w:p w14:paraId="5252EF9B">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朱思宇, 等. (2025). 一项评估VT1093疱疹病毒注射液联合PD-1抗体治疗复发/转移性头颈部癌的I期临床试验. PubMed.</w:t>
      </w:r>
    </w:p>
    <w:p w14:paraId="000AA375">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国家药监局. (2016). 涉及人的生物医学研究伦理审查办法. 百度百科.</w:t>
      </w:r>
    </w:p>
    <w:p w14:paraId="05800616">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国际头颈部肿瘤研究组. (2023). Oncolytic Virotherapy for Head and Neck Cancer. MDPI.</w:t>
      </w:r>
    </w:p>
    <w:p w14:paraId="006CBB39">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药物临床试验质量管理规范（GCP，2020版）. 国家药监局.</w:t>
      </w:r>
    </w:p>
    <w:p w14:paraId="038346A7">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中国国家癌症中心. (2025). 局晚期头颈部鳞癌指南更新. 微信公众号.</w:t>
      </w:r>
    </w:p>
    <w:p w14:paraId="43490D30">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肿瘤免疫治疗统计分析计划模板. (2025). InfinixBio.</w:t>
      </w:r>
    </w:p>
    <w:p w14:paraId="6127B07C">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肿瘤免疫治疗患者知情同意书模板. (2026). 人人文库.</w:t>
      </w:r>
    </w:p>
    <w:p w14:paraId="17F78B08">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中国临床肿瘤学会头颈肿瘤专家委员会. (2025). 局部晚期头颈部鳞癌放化疗联合帕博利珠单抗同步与序贯治疗的随机 Ⅱ 期研究. 生物通.</w:t>
      </w:r>
    </w:p>
    <w:p w14:paraId="78E55783">
      <w:pPr>
        <w:pageBreakBefore w:val="0"/>
        <w:numPr>
          <w:ilvl w:val="0"/>
          <w:numId w:val="73"/>
        </w:numPr>
        <w:wordWrap/>
        <w:spacing w:before="160" w:after="0"/>
        <w:ind w:left="440" w:right="0" w:hanging="440"/>
        <w:jc w:val="left"/>
        <w:textAlignment w:val="auto"/>
        <w:rPr>
          <w:sz w:val="24"/>
        </w:rPr>
      </w:pPr>
      <w:r>
        <w:rPr>
          <w:rFonts w:ascii="宋体" w:hAnsi="宋体" w:eastAsia="宋体" w:cs="宋体"/>
          <w:b w:val="0"/>
          <w:i w:val="0"/>
          <w:spacing w:val="0"/>
          <w:sz w:val="24"/>
        </w:rPr>
        <w:t>南方医科大学. (2025). 溶瘤病毒临床试验设计考量要点中国专家共识(2025版). 百度文库.</w:t>
      </w:r>
    </w:p>
    <w:p w14:paraId="78FF50A3">
      <w:pPr>
        <w:pStyle w:val="3"/>
        <w:bidi w:val="0"/>
      </w:pPr>
      <w:bookmarkStart w:id="152" w:name="_Toc1187119058"/>
      <w:bookmarkStart w:id="153" w:name="_Toc1077601279"/>
      <w:r>
        <w:t>二十三、附录</w:t>
      </w:r>
      <w:bookmarkEnd w:id="152"/>
      <w:bookmarkEnd w:id="153"/>
    </w:p>
    <w:p w14:paraId="621C9E5D">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知情同意书模板</w:t>
      </w:r>
    </w:p>
    <w:p w14:paraId="014FA527">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病例报告表（CRF）模板</w:t>
      </w:r>
    </w:p>
    <w:p w14:paraId="68A6D450">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统计分析计划（SAP）模板</w:t>
      </w:r>
    </w:p>
    <w:p w14:paraId="01BB00C0">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安全性监测计划模板</w:t>
      </w:r>
    </w:p>
    <w:p w14:paraId="2DE46D47">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生物样本管理计划模板</w:t>
      </w:r>
    </w:p>
    <w:p w14:paraId="2B2C5D14">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病毒毒力评估报告模板</w:t>
      </w:r>
    </w:p>
    <w:p w14:paraId="67BBB6FB">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生物安全备案模板</w:t>
      </w:r>
    </w:p>
    <w:p w14:paraId="554C38BF">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CDE沟通记录模板</w:t>
      </w:r>
    </w:p>
    <w:p w14:paraId="7181EAF1">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试验药物储存和分发SOP</w:t>
      </w:r>
    </w:p>
    <w:p w14:paraId="24922914">
      <w:pPr>
        <w:pageBreakBefore w:val="0"/>
        <w:numPr>
          <w:ilvl w:val="0"/>
          <w:numId w:val="74"/>
        </w:numPr>
        <w:wordWrap/>
        <w:spacing w:before="160" w:after="0"/>
        <w:ind w:left="440" w:right="0" w:hanging="440"/>
        <w:jc w:val="left"/>
        <w:textAlignment w:val="auto"/>
        <w:rPr>
          <w:sz w:val="24"/>
        </w:rPr>
      </w:pPr>
      <w:r>
        <w:rPr>
          <w:rFonts w:ascii="宋体" w:hAnsi="宋体" w:eastAsia="宋体" w:cs="宋体"/>
          <w:b w:val="0"/>
          <w:i w:val="0"/>
          <w:spacing w:val="0"/>
          <w:sz w:val="24"/>
        </w:rPr>
        <w:t>给药操作SOP</w:t>
      </w:r>
    </w:p>
    <w:p w14:paraId="4B2DCA18">
      <w:pPr>
        <w:pStyle w:val="3"/>
        <w:bidi w:val="0"/>
      </w:pPr>
      <w:bookmarkStart w:id="154" w:name="_Toc1786927176"/>
      <w:bookmarkStart w:id="155" w:name="_Toc1515101002"/>
      <w:r>
        <w:t>参考来源</w:t>
      </w:r>
      <w:bookmarkEnd w:id="154"/>
      <w:bookmarkEnd w:id="155"/>
    </w:p>
    <w:p w14:paraId="05E6E7E6">
      <w:pPr>
        <w:pageBreakBefore w:val="0"/>
        <w:wordWrap/>
        <w:spacing w:before="160" w:after="0"/>
        <w:ind w:left="0" w:right="0"/>
        <w:jc w:val="left"/>
        <w:textAlignment w:val="auto"/>
        <w:rPr>
          <w:sz w:val="24"/>
        </w:rPr>
      </w:pPr>
      <w:r>
        <w:rPr>
          <w:rFonts w:ascii="宋体" w:hAnsi="宋体" w:eastAsia="宋体" w:cs="宋体"/>
          <w:b w:val="0"/>
          <w:i w:val="0"/>
          <w:spacing w:val="0"/>
          <w:sz w:val="24"/>
        </w:rPr>
        <w:t>[1]医药产品临床试验方案范本.docx - 人人文库</w:t>
      </w:r>
    </w:p>
    <w:p w14:paraId="337BDC7F">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https://m.renrendoc.com/renrendoc_v1/UrlTransfer/book.html?id=452790764&amp;source=detail_similar</w:t>
      </w:r>
    </w:p>
    <w:p w14:paraId="565ED007">
      <w:pPr>
        <w:pageBreakBefore w:val="0"/>
        <w:wordWrap/>
        <w:spacing w:before="160" w:after="0"/>
        <w:ind w:left="0" w:right="0"/>
        <w:jc w:val="left"/>
        <w:textAlignment w:val="auto"/>
        <w:rPr>
          <w:sz w:val="24"/>
        </w:rPr>
      </w:pPr>
      <w:r>
        <w:rPr>
          <w:rFonts w:ascii="宋体" w:hAnsi="宋体" w:eastAsia="宋体" w:cs="宋体"/>
          <w:b w:val="0"/>
          <w:i w:val="0"/>
          <w:spacing w:val="0"/>
          <w:sz w:val="24"/>
        </w:rPr>
        <w:t>[2]怎么制定临床试验方案?</w:t>
      </w:r>
    </w:p>
    <w:p w14:paraId="63471776">
      <w:pPr>
        <w:pageBreakBefore w:val="0"/>
        <w:wordWrap/>
        <w:spacing w:before="160" w:after="0"/>
        <w:ind w:left="0" w:right="0"/>
        <w:jc w:val="left"/>
        <w:textAlignment w:val="auto"/>
        <w:rPr>
          <w:sz w:val="24"/>
        </w:rPr>
      </w:pPr>
      <w:r>
        <w:rPr>
          <w:rFonts w:ascii="宋体" w:hAnsi="宋体" w:eastAsia="宋体" w:cs="宋体"/>
          <w:b w:val="0"/>
          <w:i w:val="0"/>
          <w:spacing w:val="0"/>
          <w:sz w:val="24"/>
        </w:rPr>
        <w:t>https://m.11467.com/product/d45095609.htm</w:t>
      </w:r>
    </w:p>
    <w:p w14:paraId="632DB621">
      <w:pPr>
        <w:pageBreakBefore w:val="0"/>
        <w:wordWrap/>
        <w:spacing w:before="160" w:after="0"/>
        <w:ind w:left="0" w:right="0"/>
        <w:jc w:val="left"/>
        <w:textAlignment w:val="auto"/>
        <w:rPr>
          <w:sz w:val="24"/>
        </w:rPr>
      </w:pPr>
      <w:r>
        <w:rPr>
          <w:rFonts w:ascii="宋体" w:hAnsi="宋体" w:eastAsia="宋体" w:cs="宋体"/>
          <w:b w:val="0"/>
          <w:i w:val="0"/>
          <w:spacing w:val="0"/>
          <w:sz w:val="24"/>
        </w:rPr>
        <w:t>[3]应用研究-上海交通大学运动健康中心</w:t>
      </w:r>
    </w:p>
    <w:p w14:paraId="57F9EBB1">
      <w:pPr>
        <w:pageBreakBefore w:val="0"/>
        <w:wordWrap/>
        <w:spacing w:before="160" w:after="0"/>
        <w:ind w:left="0" w:right="0"/>
        <w:jc w:val="left"/>
        <w:textAlignment w:val="auto"/>
        <w:rPr>
          <w:sz w:val="24"/>
        </w:rPr>
      </w:pPr>
      <w:r>
        <w:rPr>
          <w:rFonts w:ascii="宋体" w:hAnsi="宋体" w:eastAsia="宋体" w:cs="宋体"/>
          <w:b w:val="0"/>
          <w:i w:val="0"/>
          <w:spacing w:val="0"/>
          <w:sz w:val="24"/>
        </w:rPr>
        <w:t>http://eht.sjtu.edu.cn/yj/yyyj.htm</w:t>
      </w:r>
    </w:p>
    <w:p w14:paraId="49966133">
      <w:pPr>
        <w:pageBreakBefore w:val="0"/>
        <w:wordWrap/>
        <w:spacing w:before="160" w:after="0"/>
        <w:ind w:left="0" w:right="0"/>
        <w:jc w:val="left"/>
        <w:textAlignment w:val="auto"/>
        <w:rPr>
          <w:sz w:val="24"/>
        </w:rPr>
      </w:pPr>
      <w:r>
        <w:rPr>
          <w:rFonts w:ascii="宋体" w:hAnsi="宋体" w:eastAsia="宋体" w:cs="宋体"/>
          <w:b w:val="0"/>
          <w:i w:val="0"/>
          <w:spacing w:val="0"/>
          <w:sz w:val="24"/>
        </w:rPr>
        <w:t>[4]Study Details | NCT07178184 | Evaluating the Efficacy and Safety of Modified Qing-Zao-Jiu-Fei Decoction on Pneumoconiosis Patients | ClinicalTrials.gov</w:t>
      </w:r>
    </w:p>
    <w:p w14:paraId="50E1EC95">
      <w:pPr>
        <w:pageBreakBefore w:val="0"/>
        <w:wordWrap/>
        <w:spacing w:before="160" w:after="0"/>
        <w:ind w:left="0" w:right="0"/>
        <w:jc w:val="left"/>
        <w:textAlignment w:val="auto"/>
        <w:rPr>
          <w:sz w:val="24"/>
        </w:rPr>
      </w:pPr>
      <w:r>
        <w:rPr>
          <w:rFonts w:ascii="宋体" w:hAnsi="宋体" w:eastAsia="宋体" w:cs="宋体"/>
          <w:b w:val="0"/>
          <w:i w:val="0"/>
          <w:spacing w:val="0"/>
          <w:sz w:val="24"/>
        </w:rPr>
        <w:t>https://clinicaltrials.gov/study/NCT07178184?aggFilters=status:not%20rec&amp;cond=%22Pneumoconiosis%22&amp;rank=1</w:t>
      </w:r>
    </w:p>
    <w:p w14:paraId="64BCB184">
      <w:pPr>
        <w:pageBreakBefore w:val="0"/>
        <w:wordWrap/>
        <w:spacing w:before="160" w:after="0"/>
        <w:ind w:left="0" w:right="0"/>
        <w:jc w:val="left"/>
        <w:textAlignment w:val="auto"/>
        <w:rPr>
          <w:sz w:val="24"/>
        </w:rPr>
      </w:pPr>
      <w:r>
        <w:rPr>
          <w:rFonts w:ascii="宋体" w:hAnsi="宋体" w:eastAsia="宋体" w:cs="宋体"/>
          <w:b w:val="0"/>
          <w:i w:val="0"/>
          <w:spacing w:val="0"/>
          <w:sz w:val="24"/>
        </w:rPr>
        <w:t>[5]How to Write an Effective Clinical Study Protocol</w:t>
      </w:r>
    </w:p>
    <w:p w14:paraId="2CF9A397">
      <w:pPr>
        <w:pageBreakBefore w:val="0"/>
        <w:wordWrap/>
        <w:spacing w:before="160" w:after="0"/>
        <w:ind w:left="0" w:right="0"/>
        <w:jc w:val="left"/>
        <w:textAlignment w:val="auto"/>
        <w:rPr>
          <w:sz w:val="24"/>
        </w:rPr>
      </w:pPr>
      <w:r>
        <w:rPr>
          <w:rFonts w:ascii="宋体" w:hAnsi="宋体" w:eastAsia="宋体" w:cs="宋体"/>
          <w:b w:val="0"/>
          <w:i w:val="0"/>
          <w:spacing w:val="0"/>
          <w:sz w:val="24"/>
        </w:rPr>
        <w:t>https://preludeedc.com/resource/how-to-write-a-protocol-to-encompass-an-edc/</w:t>
      </w:r>
    </w:p>
    <w:p w14:paraId="02719887">
      <w:pPr>
        <w:pageBreakBefore w:val="0"/>
        <w:wordWrap/>
        <w:spacing w:before="160" w:after="0"/>
        <w:ind w:left="0" w:right="0"/>
        <w:jc w:val="left"/>
        <w:textAlignment w:val="auto"/>
        <w:rPr>
          <w:sz w:val="24"/>
        </w:rPr>
      </w:pPr>
      <w:r>
        <w:rPr>
          <w:rFonts w:ascii="宋体" w:hAnsi="宋体" w:eastAsia="宋体" w:cs="宋体"/>
          <w:b w:val="0"/>
          <w:i w:val="0"/>
          <w:spacing w:val="0"/>
          <w:sz w:val="24"/>
        </w:rPr>
        <w:t>[6]八、研究者发起的临床研究方案模板选择指引</w:t>
      </w:r>
    </w:p>
    <w:p w14:paraId="1F2417EE">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https://mp.weixin.qq.com/s?new=1&amp;signature=nf1ygrQadGLv2G8ZejZYzP6AoJqqCJLi5lFL12I09HncxS1sXL5b7Ohd-qL6xYArda-CV2BWZY1sAv2t-Ge4KEzqe3Knt8*HdK5dNhehOx55fzXXtGXvpRcoHcV2Y*Rb&amp;src=11&amp;timestamp=1758185124&amp;ver=6243</w:t>
      </w:r>
    </w:p>
    <w:p w14:paraId="0AA966A4">
      <w:pPr>
        <w:pageBreakBefore w:val="0"/>
        <w:wordWrap/>
        <w:spacing w:before="160" w:after="0"/>
        <w:ind w:left="0" w:right="0"/>
        <w:jc w:val="left"/>
        <w:textAlignment w:val="auto"/>
        <w:rPr>
          <w:sz w:val="24"/>
        </w:rPr>
      </w:pPr>
      <w:r>
        <w:rPr>
          <w:rFonts w:ascii="宋体" w:hAnsi="宋体" w:eastAsia="宋体" w:cs="宋体"/>
          <w:b w:val="0"/>
          <w:i w:val="0"/>
          <w:spacing w:val="0"/>
          <w:sz w:val="24"/>
        </w:rPr>
        <w:t>[7]A Randomized, Double-blind, Placebo-controlled, Dose-escalation Phase I Clinical Trial to Evaluate the Safety, Tolerability, Pharmacokinetics, Immunogenicity, and Preliminary Efficacy of AK152 in Healthy Volunteers and Patients With Alzheimer' s Disease | PatLynk</w:t>
      </w:r>
    </w:p>
    <w:p w14:paraId="4BAEF5C0">
      <w:pPr>
        <w:pageBreakBefore w:val="0"/>
        <w:wordWrap/>
        <w:spacing w:before="160" w:after="0"/>
        <w:ind w:left="0" w:right="0"/>
        <w:jc w:val="left"/>
        <w:textAlignment w:val="auto"/>
        <w:rPr>
          <w:sz w:val="24"/>
        </w:rPr>
      </w:pPr>
      <w:r>
        <w:rPr>
          <w:rFonts w:ascii="宋体" w:hAnsi="宋体" w:eastAsia="宋体" w:cs="宋体"/>
          <w:b w:val="0"/>
          <w:i w:val="0"/>
          <w:spacing w:val="0"/>
          <w:sz w:val="24"/>
        </w:rPr>
        <w:t>https://www.patlynk.com/es/trial/NCT07301502</w:t>
      </w:r>
    </w:p>
    <w:p w14:paraId="3582A1A5">
      <w:pPr>
        <w:pageBreakBefore w:val="0"/>
        <w:wordWrap/>
        <w:spacing w:before="160" w:after="0"/>
        <w:ind w:left="0" w:right="0"/>
        <w:jc w:val="left"/>
        <w:textAlignment w:val="auto"/>
        <w:rPr>
          <w:sz w:val="24"/>
        </w:rPr>
      </w:pPr>
      <w:r>
        <w:rPr>
          <w:rFonts w:ascii="宋体" w:hAnsi="宋体" w:eastAsia="宋体" w:cs="宋体"/>
          <w:b w:val="0"/>
          <w:i w:val="0"/>
          <w:spacing w:val="0"/>
          <w:sz w:val="24"/>
        </w:rPr>
        <w:t>[8]2024.04+复发／转移性头颈部鳞癌免疫检查点抑制剂治疗专家共识（2024年版）</w:t>
      </w:r>
    </w:p>
    <w:p w14:paraId="6923C186">
      <w:pPr>
        <w:pageBreakBefore w:val="0"/>
        <w:wordWrap/>
        <w:spacing w:before="160" w:after="0"/>
        <w:ind w:left="0" w:right="0"/>
        <w:jc w:val="left"/>
        <w:textAlignment w:val="auto"/>
        <w:rPr>
          <w:sz w:val="24"/>
        </w:rPr>
      </w:pPr>
      <w:r>
        <w:rPr>
          <w:rFonts w:ascii="宋体" w:hAnsi="宋体" w:eastAsia="宋体" w:cs="宋体"/>
          <w:b w:val="0"/>
          <w:i w:val="0"/>
          <w:spacing w:val="0"/>
          <w:sz w:val="24"/>
        </w:rPr>
        <w:t>https://www.dxy.cn/bbs/newweb/pc/post/51882744</w:t>
      </w:r>
    </w:p>
    <w:p w14:paraId="6C13A58C">
      <w:pPr>
        <w:pageBreakBefore w:val="0"/>
        <w:wordWrap/>
        <w:spacing w:before="160" w:after="0"/>
        <w:ind w:left="0" w:right="0"/>
        <w:jc w:val="left"/>
        <w:textAlignment w:val="auto"/>
        <w:rPr>
          <w:sz w:val="24"/>
        </w:rPr>
      </w:pPr>
      <w:r>
        <w:rPr>
          <w:rFonts w:ascii="宋体" w:hAnsi="宋体" w:eastAsia="宋体" w:cs="宋体"/>
          <w:b w:val="0"/>
          <w:i w:val="0"/>
          <w:spacing w:val="0"/>
          <w:sz w:val="24"/>
        </w:rPr>
        <w:t>[9]Clinical Advances and Future Directions of Oncolytic Virotherapy for Head and Neck Cancer</w:t>
      </w:r>
    </w:p>
    <w:p w14:paraId="01EBECC1">
      <w:pPr>
        <w:pageBreakBefore w:val="0"/>
        <w:wordWrap/>
        <w:spacing w:before="160" w:after="0"/>
        <w:ind w:left="0" w:right="0"/>
        <w:jc w:val="left"/>
        <w:textAlignment w:val="auto"/>
        <w:rPr>
          <w:sz w:val="24"/>
        </w:rPr>
      </w:pPr>
      <w:r>
        <w:rPr>
          <w:rFonts w:ascii="宋体" w:hAnsi="宋体" w:eastAsia="宋体" w:cs="宋体"/>
          <w:b w:val="0"/>
          <w:i w:val="0"/>
          <w:spacing w:val="0"/>
          <w:sz w:val="24"/>
        </w:rPr>
        <w:t>https://www.mdpi.com/2072-6694/15/21/5291/xml</w:t>
      </w:r>
    </w:p>
    <w:p w14:paraId="25CD5F2B">
      <w:pPr>
        <w:pageBreakBefore w:val="0"/>
        <w:wordWrap/>
        <w:spacing w:before="160" w:after="0"/>
        <w:ind w:left="0" w:right="0"/>
        <w:jc w:val="left"/>
        <w:textAlignment w:val="auto"/>
        <w:rPr>
          <w:sz w:val="24"/>
        </w:rPr>
      </w:pPr>
      <w:r>
        <w:rPr>
          <w:rFonts w:ascii="宋体" w:hAnsi="宋体" w:eastAsia="宋体" w:cs="宋体"/>
          <w:b w:val="0"/>
          <w:i w:val="0"/>
          <w:spacing w:val="0"/>
          <w:sz w:val="24"/>
        </w:rPr>
        <w:t>[10]综述：溶瘤病毒在头颈癌中的临床应用及治疗潜力 - 生物通</w:t>
      </w:r>
    </w:p>
    <w:p w14:paraId="48C0F053">
      <w:pPr>
        <w:pageBreakBefore w:val="0"/>
        <w:wordWrap/>
        <w:spacing w:before="160" w:after="0"/>
        <w:ind w:left="0" w:right="0"/>
        <w:jc w:val="left"/>
        <w:textAlignment w:val="auto"/>
        <w:rPr>
          <w:sz w:val="24"/>
        </w:rPr>
      </w:pPr>
      <w:r>
        <w:rPr>
          <w:rFonts w:ascii="宋体" w:hAnsi="宋体" w:eastAsia="宋体" w:cs="宋体"/>
          <w:b w:val="0"/>
          <w:i w:val="0"/>
          <w:spacing w:val="0"/>
          <w:sz w:val="24"/>
        </w:rPr>
        <w:t>https://www.ebiotrade.com/newsf/2025-8/20250814001546955.htm</w:t>
      </w:r>
    </w:p>
    <w:p w14:paraId="36DDC06C">
      <w:pPr>
        <w:pageBreakBefore w:val="0"/>
        <w:wordWrap/>
        <w:spacing w:before="160" w:after="0"/>
        <w:ind w:left="0" w:right="0"/>
        <w:jc w:val="left"/>
        <w:textAlignment w:val="auto"/>
        <w:rPr>
          <w:sz w:val="24"/>
        </w:rPr>
      </w:pPr>
      <w:r>
        <w:rPr>
          <w:rFonts w:ascii="宋体" w:hAnsi="宋体" w:eastAsia="宋体" w:cs="宋体"/>
          <w:b w:val="0"/>
          <w:i w:val="0"/>
          <w:spacing w:val="0"/>
          <w:sz w:val="24"/>
        </w:rPr>
        <w:t>[11]局部晚期头颈部鳞状细胞癌免疫治疗MDT专家共识（2025年版）_临床指南</w:t>
      </w:r>
    </w:p>
    <w:p w14:paraId="53B79235">
      <w:pPr>
        <w:pageBreakBefore w:val="0"/>
        <w:wordWrap/>
        <w:spacing w:before="160" w:after="0"/>
        <w:ind w:left="0" w:right="0"/>
        <w:jc w:val="left"/>
        <w:textAlignment w:val="auto"/>
        <w:rPr>
          <w:sz w:val="24"/>
        </w:rPr>
      </w:pPr>
      <w:r>
        <w:rPr>
          <w:rFonts w:ascii="宋体" w:hAnsi="宋体" w:eastAsia="宋体" w:cs="宋体"/>
          <w:b w:val="0"/>
          <w:i w:val="0"/>
          <w:spacing w:val="0"/>
          <w:sz w:val="24"/>
        </w:rPr>
        <w:t>https://guide.medlive.cn/guideline/37201</w:t>
      </w:r>
    </w:p>
    <w:p w14:paraId="68DE0D9A">
      <w:pPr>
        <w:pageBreakBefore w:val="0"/>
        <w:wordWrap/>
        <w:spacing w:before="160" w:after="0"/>
        <w:ind w:left="0" w:right="0"/>
        <w:jc w:val="left"/>
        <w:textAlignment w:val="auto"/>
        <w:rPr>
          <w:sz w:val="24"/>
        </w:rPr>
      </w:pPr>
      <w:r>
        <w:rPr>
          <w:rFonts w:ascii="宋体" w:hAnsi="宋体" w:eastAsia="宋体" w:cs="宋体"/>
          <w:b w:val="0"/>
          <w:i w:val="0"/>
          <w:spacing w:val="0"/>
          <w:sz w:val="24"/>
        </w:rPr>
        <w:t>[12]Oncolytic Virotherapy for Head and Neck Cancer | Encyclopedia MDPI</w:t>
      </w:r>
    </w:p>
    <w:p w14:paraId="2A6ED15B">
      <w:pPr>
        <w:pageBreakBefore w:val="0"/>
        <w:wordWrap/>
        <w:spacing w:before="160" w:after="0"/>
        <w:ind w:left="0" w:right="0"/>
        <w:jc w:val="left"/>
        <w:textAlignment w:val="auto"/>
        <w:rPr>
          <w:sz w:val="24"/>
        </w:rPr>
      </w:pPr>
      <w:r>
        <w:rPr>
          <w:rFonts w:ascii="宋体" w:hAnsi="宋体" w:eastAsia="宋体" w:cs="宋体"/>
          <w:b w:val="0"/>
          <w:i w:val="0"/>
          <w:spacing w:val="0"/>
          <w:sz w:val="24"/>
        </w:rPr>
        <w:t>https://encyclopedia.pub/entry/51183</w:t>
      </w:r>
    </w:p>
    <w:p w14:paraId="6DCEA88D">
      <w:pPr>
        <w:pageBreakBefore w:val="0"/>
        <w:wordWrap/>
        <w:spacing w:before="160" w:after="0"/>
        <w:ind w:left="0" w:right="0"/>
        <w:jc w:val="left"/>
        <w:textAlignment w:val="auto"/>
        <w:rPr>
          <w:sz w:val="24"/>
        </w:rPr>
      </w:pPr>
      <w:r>
        <w:rPr>
          <w:rFonts w:ascii="宋体" w:hAnsi="宋体" w:eastAsia="宋体" w:cs="宋体"/>
          <w:b w:val="0"/>
          <w:i w:val="0"/>
          <w:spacing w:val="0"/>
          <w:sz w:val="24"/>
        </w:rPr>
        <w:t>[13]NCCN临床实践指南：头颈部肿瘤（2026.V1）</w:t>
      </w:r>
    </w:p>
    <w:p w14:paraId="4DE768BA">
      <w:pPr>
        <w:pageBreakBefore w:val="0"/>
        <w:wordWrap/>
        <w:spacing w:before="160" w:after="0"/>
        <w:ind w:left="0" w:right="0"/>
        <w:jc w:val="left"/>
        <w:textAlignment w:val="auto"/>
        <w:rPr>
          <w:sz w:val="24"/>
        </w:rPr>
      </w:pPr>
      <w:r>
        <w:rPr>
          <w:rFonts w:ascii="宋体" w:hAnsi="宋体" w:eastAsia="宋体" w:cs="宋体"/>
          <w:b w:val="0"/>
          <w:i w:val="0"/>
          <w:spacing w:val="0"/>
          <w:sz w:val="24"/>
        </w:rPr>
        <w:t>https://guide.medlive.cn/guide_v2/1/37295</w:t>
      </w:r>
    </w:p>
    <w:p w14:paraId="57265CB7">
      <w:pPr>
        <w:pageBreakBefore w:val="0"/>
        <w:wordWrap/>
        <w:spacing w:before="160" w:after="0"/>
        <w:ind w:left="0" w:right="0"/>
        <w:jc w:val="left"/>
        <w:textAlignment w:val="auto"/>
        <w:rPr>
          <w:sz w:val="24"/>
        </w:rPr>
      </w:pPr>
      <w:r>
        <w:rPr>
          <w:rFonts w:ascii="宋体" w:hAnsi="宋体" w:eastAsia="宋体" w:cs="宋体"/>
          <w:b w:val="0"/>
          <w:i w:val="0"/>
          <w:spacing w:val="0"/>
          <w:sz w:val="24"/>
        </w:rPr>
        <w:t>[14]公司动态|华津医药就溶瘤细菌桑美威克®用于晚期头颈部鳞状细胞癌（HNSCC)的治疗于中国境内启动II期临床试验</w:t>
      </w:r>
    </w:p>
    <w:p w14:paraId="2CBB121B">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https://mp.weixin.qq.com/s?__biz=MzkwNzI2MjExMg==&amp;idx=1&amp;mid=2247484747&amp;sn=49e51ca0f647bc8ad80bad145d1cdfdf</w:t>
      </w:r>
    </w:p>
    <w:p w14:paraId="0F210C54">
      <w:pPr>
        <w:pageBreakBefore w:val="0"/>
        <w:wordWrap/>
        <w:spacing w:before="160" w:after="0"/>
        <w:ind w:left="0" w:right="0"/>
        <w:jc w:val="left"/>
        <w:textAlignment w:val="auto"/>
        <w:rPr>
          <w:sz w:val="24"/>
        </w:rPr>
      </w:pPr>
      <w:r>
        <w:rPr>
          <w:rFonts w:ascii="宋体" w:hAnsi="宋体" w:eastAsia="宋体" w:cs="宋体"/>
          <w:b w:val="0"/>
          <w:i w:val="0"/>
          <w:spacing w:val="0"/>
          <w:sz w:val="24"/>
        </w:rPr>
        <w:t>[15]2024 CSCO指南年会丨头颈部肿瘤诊疗指南更新亮点</w:t>
      </w:r>
    </w:p>
    <w:p w14:paraId="1BF02AFC">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https://mp.weixin.qq.com/s?__biz=MzA5NjY1MzkxNQ==&amp;idx=3&amp;mid=2651981807&amp;sn=c8bdfaaa99fcd8964f01b13214a62d12</w:t>
      </w:r>
    </w:p>
    <w:p w14:paraId="44854195">
      <w:pPr>
        <w:pageBreakBefore w:val="0"/>
        <w:wordWrap/>
        <w:spacing w:before="160" w:after="0"/>
        <w:ind w:left="0" w:right="0"/>
        <w:jc w:val="left"/>
        <w:textAlignment w:val="auto"/>
        <w:rPr>
          <w:sz w:val="24"/>
        </w:rPr>
      </w:pPr>
      <w:r>
        <w:rPr>
          <w:rFonts w:ascii="宋体" w:hAnsi="宋体" w:eastAsia="宋体" w:cs="宋体"/>
          <w:b w:val="0"/>
          <w:i w:val="0"/>
          <w:spacing w:val="0"/>
          <w:sz w:val="24"/>
        </w:rPr>
        <w:t>[16]以毒攻毒！疱疹病毒“变身”癌症克星—新闻—科学网</w:t>
      </w:r>
    </w:p>
    <w:p w14:paraId="4AAF7B80">
      <w:pPr>
        <w:pageBreakBefore w:val="0"/>
        <w:wordWrap/>
        <w:spacing w:before="160" w:after="0"/>
        <w:ind w:left="0" w:right="0"/>
        <w:jc w:val="left"/>
        <w:textAlignment w:val="auto"/>
        <w:rPr>
          <w:sz w:val="24"/>
        </w:rPr>
      </w:pPr>
      <w:r>
        <w:rPr>
          <w:rFonts w:ascii="宋体" w:hAnsi="宋体" w:eastAsia="宋体" w:cs="宋体"/>
          <w:b w:val="0"/>
          <w:i w:val="0"/>
          <w:spacing w:val="0"/>
          <w:sz w:val="24"/>
        </w:rPr>
        <w:t>https://news.sciencenet.cn/htmlnews/2022/9/486934.shtm</w:t>
      </w:r>
    </w:p>
    <w:p w14:paraId="5EB98C3A">
      <w:pPr>
        <w:pageBreakBefore w:val="0"/>
        <w:wordWrap/>
        <w:spacing w:before="160" w:after="0"/>
        <w:ind w:left="0" w:right="0"/>
        <w:jc w:val="left"/>
        <w:textAlignment w:val="auto"/>
        <w:rPr>
          <w:sz w:val="24"/>
        </w:rPr>
      </w:pPr>
      <w:r>
        <w:rPr>
          <w:rFonts w:ascii="宋体" w:hAnsi="宋体" w:eastAsia="宋体" w:cs="宋体"/>
          <w:b w:val="0"/>
          <w:i w:val="0"/>
          <w:spacing w:val="0"/>
          <w:sz w:val="24"/>
        </w:rPr>
        <w:t>[17]A simplified guide to randomized controlled trials</w:t>
      </w:r>
    </w:p>
    <w:p w14:paraId="607D33CB">
      <w:pPr>
        <w:pageBreakBefore w:val="0"/>
        <w:wordWrap/>
        <w:spacing w:before="160" w:after="0"/>
        <w:ind w:left="0" w:right="0"/>
        <w:jc w:val="left"/>
        <w:textAlignment w:val="auto"/>
        <w:rPr>
          <w:sz w:val="24"/>
        </w:rPr>
      </w:pPr>
      <w:r>
        <w:rPr>
          <w:rFonts w:ascii="宋体" w:hAnsi="宋体" w:eastAsia="宋体" w:cs="宋体"/>
          <w:b w:val="0"/>
          <w:i w:val="0"/>
          <w:spacing w:val="0"/>
          <w:sz w:val="24"/>
        </w:rPr>
        <w:t>https://core.ac.uk/download/pdf/151173052.pdf</w:t>
      </w:r>
    </w:p>
    <w:p w14:paraId="612DBB39">
      <w:pPr>
        <w:pageBreakBefore w:val="0"/>
        <w:wordWrap/>
        <w:spacing w:before="160" w:after="0"/>
        <w:ind w:left="0" w:right="0"/>
        <w:jc w:val="left"/>
        <w:textAlignment w:val="auto"/>
        <w:rPr>
          <w:sz w:val="24"/>
        </w:rPr>
      </w:pPr>
      <w:r>
        <w:rPr>
          <w:rFonts w:ascii="宋体" w:hAnsi="宋体" w:eastAsia="宋体" w:cs="宋体"/>
          <w:b w:val="0"/>
          <w:i w:val="0"/>
          <w:spacing w:val="0"/>
          <w:sz w:val="24"/>
        </w:rPr>
        <w:t>[18]Epidology and Demographics of the Head and Neck Cancer Population</w:t>
      </w:r>
    </w:p>
    <w:p w14:paraId="4C1B9795">
      <w:pPr>
        <w:pageBreakBefore w:val="0"/>
        <w:wordWrap/>
        <w:spacing w:before="160" w:after="0"/>
        <w:ind w:left="0" w:right="0"/>
        <w:jc w:val="left"/>
        <w:textAlignment w:val="auto"/>
        <w:rPr>
          <w:sz w:val="24"/>
        </w:rPr>
      </w:pPr>
      <w:r>
        <w:rPr>
          <w:rFonts w:ascii="宋体" w:hAnsi="宋体" w:eastAsia="宋体" w:cs="宋体"/>
          <w:b w:val="0"/>
          <w:i w:val="0"/>
          <w:spacing w:val="0"/>
          <w:sz w:val="24"/>
        </w:rPr>
        <w:t>https://www.oralmaxsurgery.theclinics.com/article/S1042-3699(18)30053-0/pdf</w:t>
      </w:r>
    </w:p>
    <w:p w14:paraId="0ACD51A3">
      <w:pPr>
        <w:pageBreakBefore w:val="0"/>
        <w:wordWrap/>
        <w:spacing w:before="160" w:after="0"/>
        <w:ind w:left="0" w:right="0"/>
        <w:jc w:val="left"/>
        <w:textAlignment w:val="auto"/>
        <w:rPr>
          <w:sz w:val="24"/>
        </w:rPr>
      </w:pPr>
      <w:r>
        <w:rPr>
          <w:rFonts w:ascii="宋体" w:hAnsi="宋体" w:eastAsia="宋体" w:cs="宋体"/>
          <w:b w:val="0"/>
          <w:i w:val="0"/>
          <w:spacing w:val="0"/>
          <w:sz w:val="24"/>
        </w:rPr>
        <w:t>[19]Enhanced Therapeutic Efficacy of a Novel Oncology Herpes Simplex Virus Type 2 Encoding an Antibody Against Programmed Cell Death 1</w:t>
      </w:r>
    </w:p>
    <w:p w14:paraId="43369A41">
      <w:pPr>
        <w:pageBreakBefore w:val="0"/>
        <w:wordWrap/>
        <w:spacing w:before="160" w:after="0"/>
        <w:ind w:left="0" w:right="0"/>
        <w:jc w:val="left"/>
        <w:textAlignment w:val="auto"/>
        <w:rPr>
          <w:sz w:val="24"/>
        </w:rPr>
      </w:pPr>
      <w:r>
        <w:rPr>
          <w:rFonts w:ascii="宋体" w:hAnsi="宋体" w:eastAsia="宋体" w:cs="宋体"/>
          <w:b w:val="0"/>
          <w:i w:val="0"/>
          <w:spacing w:val="0"/>
          <w:sz w:val="24"/>
        </w:rPr>
        <w:t>https://www.cell.com/cms/10.1016/j.omto.2019.10.003/attachment/2810dc23-3089-4395-bdd3-cb1b9ad72616/mmc1</w:t>
      </w:r>
    </w:p>
    <w:p w14:paraId="4D09F4D9">
      <w:pPr>
        <w:pageBreakBefore w:val="0"/>
        <w:wordWrap/>
        <w:spacing w:before="160" w:after="0"/>
        <w:ind w:left="0" w:right="0"/>
        <w:jc w:val="left"/>
        <w:textAlignment w:val="auto"/>
        <w:rPr>
          <w:sz w:val="24"/>
        </w:rPr>
      </w:pPr>
      <w:r>
        <w:rPr>
          <w:rFonts w:ascii="宋体" w:hAnsi="宋体" w:eastAsia="宋体" w:cs="宋体"/>
          <w:b w:val="0"/>
          <w:i w:val="0"/>
          <w:spacing w:val="0"/>
          <w:sz w:val="24"/>
        </w:rPr>
        <w:t>[20]Phase II Clinical Trials: A Comprehensive Guide</w:t>
      </w:r>
    </w:p>
    <w:p w14:paraId="69E4E1EB">
      <w:pPr>
        <w:pageBreakBefore w:val="0"/>
        <w:wordWrap/>
        <w:spacing w:before="160" w:after="0"/>
        <w:ind w:left="0" w:right="0"/>
        <w:jc w:val="left"/>
        <w:textAlignment w:val="auto"/>
        <w:rPr>
          <w:sz w:val="24"/>
        </w:rPr>
      </w:pPr>
      <w:r>
        <w:rPr>
          <w:rFonts w:ascii="宋体" w:hAnsi="宋体" w:eastAsia="宋体" w:cs="宋体"/>
          <w:b w:val="0"/>
          <w:i w:val="0"/>
          <w:spacing w:val="0"/>
          <w:sz w:val="24"/>
        </w:rPr>
        <w:t>https://www.numberanalytics.com/blog/phase-ii-clinical-trials-epidemiology-guide</w:t>
      </w:r>
    </w:p>
    <w:p w14:paraId="76C899DF">
      <w:pPr>
        <w:pageBreakBefore w:val="0"/>
        <w:wordWrap/>
        <w:spacing w:before="160" w:after="0"/>
        <w:ind w:left="0" w:right="0"/>
        <w:jc w:val="left"/>
        <w:textAlignment w:val="auto"/>
        <w:rPr>
          <w:sz w:val="24"/>
        </w:rPr>
      </w:pPr>
      <w:r>
        <w:rPr>
          <w:rFonts w:ascii="宋体" w:hAnsi="宋体" w:eastAsia="宋体" w:cs="宋体"/>
          <w:b w:val="0"/>
          <w:i w:val="0"/>
          <w:spacing w:val="0"/>
          <w:sz w:val="24"/>
        </w:rPr>
        <w:t>[21]Head and neck cancer 3</w:t>
      </w:r>
    </w:p>
    <w:p w14:paraId="12CFC870">
      <w:pPr>
        <w:pageBreakBefore w:val="0"/>
        <w:wordWrap/>
        <w:spacing w:before="160" w:after="0"/>
        <w:ind w:left="0" w:right="0"/>
        <w:jc w:val="left"/>
        <w:textAlignment w:val="auto"/>
        <w:rPr>
          <w:sz w:val="24"/>
        </w:rPr>
      </w:pPr>
      <w:r>
        <w:rPr>
          <w:rFonts w:ascii="宋体" w:hAnsi="宋体" w:eastAsia="宋体" w:cs="宋体"/>
          <w:b w:val="0"/>
          <w:i w:val="0"/>
          <w:spacing w:val="0"/>
          <w:sz w:val="24"/>
        </w:rPr>
        <w:t>https://www.thelancet.com/pdfs/journals/lanonc/PIIS1470-2045(17)30229-2.pdf</w:t>
      </w:r>
    </w:p>
    <w:p w14:paraId="4CA87717">
      <w:pPr>
        <w:pageBreakBefore w:val="0"/>
        <w:wordWrap/>
        <w:spacing w:before="160" w:after="0"/>
        <w:ind w:left="0" w:right="0"/>
        <w:jc w:val="left"/>
        <w:textAlignment w:val="auto"/>
        <w:rPr>
          <w:sz w:val="24"/>
        </w:rPr>
      </w:pPr>
      <w:r>
        <w:rPr>
          <w:rFonts w:ascii="宋体" w:hAnsi="宋体" w:eastAsia="宋体" w:cs="宋体"/>
          <w:b w:val="0"/>
          <w:i w:val="0"/>
          <w:spacing w:val="0"/>
          <w:sz w:val="24"/>
        </w:rPr>
        <w:t>[22]Rational combination of oncolytic vaccinia virus and PD-L1 blockade works synergistically to enhance therapeutic efficacy</w:t>
      </w:r>
    </w:p>
    <w:p w14:paraId="0170FF27">
      <w:pPr>
        <w:pageBreakBefore w:val="0"/>
        <w:wordWrap/>
        <w:spacing w:before="160" w:after="0"/>
        <w:ind w:left="0" w:right="0"/>
        <w:jc w:val="left"/>
        <w:textAlignment w:val="auto"/>
        <w:rPr>
          <w:sz w:val="24"/>
        </w:rPr>
      </w:pPr>
      <w:r>
        <w:rPr>
          <w:rFonts w:ascii="宋体" w:hAnsi="宋体" w:eastAsia="宋体" w:cs="宋体"/>
          <w:b w:val="0"/>
          <w:i w:val="0"/>
          <w:spacing w:val="0"/>
          <w:sz w:val="24"/>
        </w:rPr>
        <w:t>https://www.nature.com/articles/ncomms14754.pdf</w:t>
      </w:r>
    </w:p>
    <w:p w14:paraId="7FD2B396">
      <w:pPr>
        <w:pageBreakBefore w:val="0"/>
        <w:wordWrap/>
        <w:spacing w:before="160" w:after="0"/>
        <w:ind w:left="0" w:right="0"/>
        <w:jc w:val="left"/>
        <w:textAlignment w:val="auto"/>
        <w:rPr>
          <w:sz w:val="24"/>
        </w:rPr>
      </w:pPr>
      <w:r>
        <w:rPr>
          <w:rFonts w:ascii="宋体" w:hAnsi="宋体" w:eastAsia="宋体" w:cs="宋体"/>
          <w:b w:val="0"/>
          <w:i w:val="0"/>
          <w:spacing w:val="0"/>
          <w:sz w:val="24"/>
        </w:rPr>
        <w:t>[23]Phase II Clinical Trials: Goals, Examples, and Real-Life Insights</w:t>
      </w:r>
    </w:p>
    <w:p w14:paraId="7BD62A43">
      <w:pPr>
        <w:pageBreakBefore w:val="0"/>
        <w:wordWrap/>
        <w:spacing w:before="160" w:after="0"/>
        <w:ind w:left="0" w:right="0"/>
        <w:jc w:val="left"/>
        <w:textAlignment w:val="auto"/>
        <w:rPr>
          <w:sz w:val="24"/>
        </w:rPr>
      </w:pPr>
      <w:r>
        <w:rPr>
          <w:rFonts w:ascii="宋体" w:hAnsi="宋体" w:eastAsia="宋体" w:cs="宋体"/>
          <w:b w:val="0"/>
          <w:i w:val="0"/>
          <w:spacing w:val="0"/>
          <w:sz w:val="24"/>
        </w:rPr>
        <w:t>https://ccrps.org/clinical-research-blog/phase-ii-clinical-trials-goals-examples-and-real-life-insights</w:t>
      </w:r>
    </w:p>
    <w:p w14:paraId="71843411">
      <w:pPr>
        <w:pageBreakBefore w:val="0"/>
        <w:wordWrap/>
        <w:spacing w:before="160" w:after="0"/>
        <w:ind w:left="0" w:right="0"/>
        <w:jc w:val="left"/>
        <w:textAlignment w:val="auto"/>
        <w:rPr>
          <w:sz w:val="24"/>
        </w:rPr>
      </w:pPr>
      <w:r>
        <w:rPr>
          <w:rFonts w:ascii="宋体" w:hAnsi="宋体" w:eastAsia="宋体" w:cs="宋体"/>
          <w:b w:val="0"/>
          <w:i w:val="0"/>
          <w:spacing w:val="0"/>
          <w:sz w:val="24"/>
        </w:rPr>
        <w:t>[24]Frontiers | Global burden of head and neck cancer: Epidemiological transitions, inequities, and projections to 2050</w:t>
      </w:r>
    </w:p>
    <w:p w14:paraId="4CA5FDA0">
      <w:pPr>
        <w:pageBreakBefore w:val="0"/>
        <w:wordWrap/>
        <w:spacing w:before="160" w:after="0"/>
        <w:ind w:left="0" w:right="0"/>
        <w:jc w:val="left"/>
        <w:textAlignment w:val="auto"/>
        <w:rPr>
          <w:sz w:val="24"/>
        </w:rPr>
      </w:pPr>
      <w:r>
        <w:rPr>
          <w:rFonts w:ascii="宋体" w:hAnsi="宋体" w:eastAsia="宋体" w:cs="宋体"/>
          <w:b w:val="0"/>
          <w:i w:val="0"/>
          <w:spacing w:val="0"/>
          <w:sz w:val="24"/>
        </w:rPr>
        <w:t>https://www.frontiersin.org/journals/oncology/articles/10.3389/fonc.2025.1665019/full</w:t>
      </w:r>
    </w:p>
    <w:p w14:paraId="7A6A97DF">
      <w:pPr>
        <w:pageBreakBefore w:val="0"/>
        <w:wordWrap/>
        <w:spacing w:before="160" w:after="0"/>
        <w:ind w:left="0" w:right="0"/>
        <w:jc w:val="left"/>
        <w:textAlignment w:val="auto"/>
        <w:rPr>
          <w:sz w:val="24"/>
        </w:rPr>
      </w:pPr>
      <w:r>
        <w:rPr>
          <w:rFonts w:ascii="宋体" w:hAnsi="宋体" w:eastAsia="宋体" w:cs="宋体"/>
          <w:b w:val="0"/>
          <w:i w:val="0"/>
          <w:spacing w:val="0"/>
          <w:sz w:val="24"/>
        </w:rPr>
        <w:t>[25]Cooperation of Oncolytic Herpes Virology and PD-1 Blockade in Murine Rhabdomyosarcoma Models</w:t>
      </w:r>
    </w:p>
    <w:p w14:paraId="3EF2AD21">
      <w:pPr>
        <w:pageBreakBefore w:val="0"/>
        <w:wordWrap/>
        <w:spacing w:before="160" w:after="0"/>
        <w:ind w:left="0" w:right="0"/>
        <w:jc w:val="left"/>
        <w:textAlignment w:val="auto"/>
        <w:rPr>
          <w:sz w:val="24"/>
        </w:rPr>
      </w:pPr>
      <w:r>
        <w:rPr>
          <w:rFonts w:ascii="宋体" w:hAnsi="宋体" w:eastAsia="宋体" w:cs="宋体"/>
          <w:b w:val="0"/>
          <w:i w:val="0"/>
          <w:spacing w:val="0"/>
          <w:sz w:val="24"/>
        </w:rPr>
        <w:t>https://www.nature.com/articles/s41598-017-02503-8.pdf</w:t>
      </w:r>
    </w:p>
    <w:p w14:paraId="755E68C2">
      <w:pPr>
        <w:pageBreakBefore w:val="0"/>
        <w:wordWrap/>
        <w:spacing w:before="160" w:after="0"/>
        <w:ind w:left="0" w:right="0"/>
        <w:jc w:val="left"/>
        <w:textAlignment w:val="auto"/>
        <w:rPr>
          <w:sz w:val="24"/>
        </w:rPr>
      </w:pPr>
      <w:r>
        <w:rPr>
          <w:rFonts w:ascii="宋体" w:hAnsi="宋体" w:eastAsia="宋体" w:cs="宋体"/>
          <w:b w:val="0"/>
          <w:i w:val="0"/>
          <w:spacing w:val="0"/>
          <w:sz w:val="24"/>
        </w:rPr>
        <w:t>[26]Cross-ancestral GWAS identifies 29 variants across head and neck cancer subsites - PMC</w:t>
      </w:r>
    </w:p>
    <w:p w14:paraId="112BF5D5">
      <w:pPr>
        <w:pageBreakBefore w:val="0"/>
        <w:wordWrap/>
        <w:spacing w:before="160" w:after="0"/>
        <w:ind w:left="0" w:right="0"/>
        <w:jc w:val="left"/>
        <w:textAlignment w:val="auto"/>
        <w:rPr>
          <w:sz w:val="24"/>
        </w:rPr>
      </w:pPr>
      <w:r>
        <w:rPr>
          <w:rFonts w:ascii="宋体" w:hAnsi="宋体" w:eastAsia="宋体" w:cs="宋体"/>
          <w:b w:val="0"/>
          <w:i w:val="0"/>
          <w:spacing w:val="0"/>
          <w:sz w:val="24"/>
        </w:rPr>
        <w:t>https://ui.adsabs.harvard.edu/link_gateway/2025NatCo..16.8787E/PMC_HTML</w:t>
      </w:r>
    </w:p>
    <w:p w14:paraId="63337B5E">
      <w:pPr>
        <w:pageBreakBefore w:val="0"/>
        <w:wordWrap/>
        <w:spacing w:before="160" w:after="0"/>
        <w:ind w:left="0" w:right="0"/>
        <w:jc w:val="left"/>
        <w:textAlignment w:val="auto"/>
        <w:rPr>
          <w:sz w:val="24"/>
        </w:rPr>
      </w:pPr>
      <w:r>
        <w:rPr>
          <w:rFonts w:ascii="宋体" w:hAnsi="宋体" w:eastAsia="宋体" w:cs="宋体"/>
          <w:b w:val="0"/>
          <w:i w:val="0"/>
          <w:spacing w:val="0"/>
          <w:sz w:val="24"/>
        </w:rPr>
        <w:t>[27]Phase I clinical trial of a recombinant oncolytic virus injection combined with PD-1 antibody-based gene therapy for recurrent head and neck cancer in China: An open-label study - PubMed</w:t>
      </w:r>
    </w:p>
    <w:p w14:paraId="1D0530FC">
      <w:pPr>
        <w:pageBreakBefore w:val="0"/>
        <w:wordWrap/>
        <w:spacing w:before="160" w:after="0"/>
        <w:ind w:left="0" w:right="0"/>
        <w:jc w:val="left"/>
        <w:textAlignment w:val="auto"/>
        <w:rPr>
          <w:sz w:val="24"/>
        </w:rPr>
      </w:pPr>
      <w:r>
        <w:rPr>
          <w:rFonts w:ascii="宋体" w:hAnsi="宋体" w:eastAsia="宋体" w:cs="宋体"/>
          <w:b w:val="0"/>
          <w:i w:val="0"/>
          <w:spacing w:val="0"/>
          <w:sz w:val="24"/>
        </w:rPr>
        <w:t>https://pubmed.ncbi.nlm.nih.gov/41072665/</w:t>
      </w:r>
    </w:p>
    <w:p w14:paraId="35ACB139">
      <w:pPr>
        <w:pageBreakBefore w:val="0"/>
        <w:wordWrap/>
        <w:spacing w:before="160" w:after="0"/>
        <w:ind w:left="0" w:right="0"/>
        <w:jc w:val="left"/>
        <w:textAlignment w:val="auto"/>
        <w:rPr>
          <w:sz w:val="24"/>
        </w:rPr>
      </w:pPr>
      <w:r>
        <w:rPr>
          <w:rFonts w:ascii="宋体" w:hAnsi="宋体" w:eastAsia="宋体" w:cs="宋体"/>
          <w:b w:val="0"/>
          <w:i w:val="0"/>
          <w:spacing w:val="0"/>
          <w:sz w:val="24"/>
        </w:rPr>
        <w:t>[28]Expression Profile and Clinical Relevance of ADAR Family Genes in Head and Neck Squamous Cell Carcinoma</w:t>
      </w:r>
    </w:p>
    <w:p w14:paraId="4F5EF32D">
      <w:pPr>
        <w:pageBreakBefore w:val="0"/>
        <w:wordWrap/>
        <w:spacing w:before="160" w:after="0"/>
        <w:ind w:left="0" w:right="0"/>
        <w:jc w:val="left"/>
        <w:textAlignment w:val="auto"/>
        <w:rPr>
          <w:sz w:val="24"/>
        </w:rPr>
      </w:pPr>
      <w:r>
        <w:rPr>
          <w:rFonts w:ascii="宋体" w:hAnsi="宋体" w:eastAsia="宋体" w:cs="宋体"/>
          <w:b w:val="0"/>
          <w:i w:val="0"/>
          <w:spacing w:val="0"/>
          <w:sz w:val="24"/>
        </w:rPr>
        <w:t>https://www.mdpi.com/2073-4425/16/11/1316</w:t>
      </w:r>
    </w:p>
    <w:p w14:paraId="2309D46F">
      <w:pPr>
        <w:pageBreakBefore w:val="0"/>
        <w:wordWrap/>
        <w:spacing w:before="160" w:after="0"/>
        <w:ind w:left="0" w:right="0"/>
        <w:jc w:val="left"/>
        <w:textAlignment w:val="auto"/>
        <w:rPr>
          <w:sz w:val="24"/>
        </w:rPr>
      </w:pPr>
      <w:r>
        <w:rPr>
          <w:rFonts w:ascii="宋体" w:hAnsi="宋体" w:eastAsia="宋体" w:cs="宋体"/>
          <w:b w:val="0"/>
          <w:i w:val="0"/>
          <w:spacing w:val="0"/>
          <w:sz w:val="24"/>
        </w:rPr>
        <w:t>[29]FDA Fast Tracks ImmVira's Oncolytic Herpes Simplex Virus Therapy for Head and Neck Squamous Cell Cancer | PharmExec</w:t>
      </w:r>
    </w:p>
    <w:p w14:paraId="237D5DFC">
      <w:pPr>
        <w:pageBreakBefore w:val="0"/>
        <w:wordWrap/>
        <w:spacing w:before="160" w:after="0"/>
        <w:ind w:left="0" w:right="0"/>
        <w:jc w:val="left"/>
        <w:textAlignment w:val="auto"/>
        <w:rPr>
          <w:sz w:val="24"/>
        </w:rPr>
      </w:pPr>
      <w:r>
        <w:rPr>
          <w:rFonts w:ascii="宋体" w:hAnsi="宋体" w:eastAsia="宋体" w:cs="宋体"/>
          <w:b w:val="0"/>
          <w:i w:val="0"/>
          <w:spacing w:val="0"/>
          <w:sz w:val="24"/>
        </w:rPr>
        <w:t>https://www.pharmexec.com/view/fda-fast-tracks-immvira-s-oncolytic-herpes-simplex-virus-therapy-for-head-and-neck-squamous-cell-cancer</w:t>
      </w:r>
    </w:p>
    <w:p w14:paraId="46BC50DB">
      <w:pPr>
        <w:pageBreakBefore w:val="0"/>
        <w:wordWrap/>
        <w:spacing w:before="160" w:after="0"/>
        <w:ind w:left="0" w:right="0"/>
        <w:jc w:val="left"/>
        <w:textAlignment w:val="auto"/>
        <w:rPr>
          <w:sz w:val="24"/>
        </w:rPr>
      </w:pPr>
      <w:r>
        <w:rPr>
          <w:rFonts w:ascii="宋体" w:hAnsi="宋体" w:eastAsia="宋体" w:cs="宋体"/>
          <w:b w:val="0"/>
          <w:i w:val="0"/>
          <w:spacing w:val="0"/>
          <w:sz w:val="24"/>
        </w:rPr>
        <w:t>[30]HPV相关性头颈部鳞癌：一种独特的肿瘤类型_圈子_医脉通</w:t>
      </w:r>
    </w:p>
    <w:p w14:paraId="6AA8CF0D">
      <w:pPr>
        <w:pageBreakBefore w:val="0"/>
        <w:wordWrap/>
        <w:spacing w:before="160" w:after="0"/>
        <w:ind w:left="0" w:right="0"/>
        <w:jc w:val="left"/>
        <w:textAlignment w:val="auto"/>
        <w:rPr>
          <w:sz w:val="24"/>
        </w:rPr>
      </w:pPr>
      <w:r>
        <w:rPr>
          <w:rFonts w:ascii="宋体" w:hAnsi="宋体" w:eastAsia="宋体" w:cs="宋体"/>
          <w:b w:val="0"/>
          <w:i w:val="0"/>
          <w:spacing w:val="0"/>
          <w:sz w:val="24"/>
        </w:rPr>
        <w:t>http://group.medlive.cn/topic/15787</w:t>
      </w:r>
    </w:p>
    <w:p w14:paraId="255CDD59">
      <w:pPr>
        <w:pageBreakBefore w:val="0"/>
        <w:wordWrap/>
        <w:spacing w:before="160" w:after="0"/>
        <w:ind w:left="0" w:right="0"/>
        <w:jc w:val="left"/>
        <w:textAlignment w:val="auto"/>
        <w:rPr>
          <w:sz w:val="24"/>
        </w:rPr>
      </w:pPr>
      <w:r>
        <w:rPr>
          <w:rFonts w:ascii="宋体" w:hAnsi="宋体" w:eastAsia="宋体" w:cs="宋体"/>
          <w:b w:val="0"/>
          <w:i w:val="0"/>
          <w:spacing w:val="0"/>
          <w:sz w:val="24"/>
        </w:rPr>
        <w:t>[31]合作伙伴：ViraTherapeutics | Boehringer Ingelheim CN</w:t>
      </w:r>
    </w:p>
    <w:p w14:paraId="7A20BFC2">
      <w:pPr>
        <w:pageBreakBefore w:val="0"/>
        <w:wordWrap/>
        <w:spacing w:before="160" w:after="0"/>
        <w:ind w:left="0" w:right="0"/>
        <w:jc w:val="left"/>
        <w:textAlignment w:val="auto"/>
        <w:rPr>
          <w:sz w:val="24"/>
        </w:rPr>
      </w:pPr>
      <w:r>
        <w:rPr>
          <w:rFonts w:ascii="宋体" w:hAnsi="宋体" w:eastAsia="宋体" w:cs="宋体"/>
          <w:b w:val="0"/>
          <w:i w:val="0"/>
          <w:spacing w:val="0"/>
          <w:sz w:val="24"/>
        </w:rPr>
        <w:t>https://www.boehringer-ingelheim.cn/partnering/renleijiankanghezuo/hezuohuobanguandian/hezuohuobanviratherapeutics</w:t>
      </w:r>
    </w:p>
    <w:p w14:paraId="310EF18E">
      <w:pPr>
        <w:pageBreakBefore w:val="0"/>
        <w:wordWrap/>
        <w:spacing w:before="160" w:after="0"/>
        <w:ind w:left="0" w:right="0"/>
        <w:jc w:val="left"/>
        <w:textAlignment w:val="auto"/>
        <w:rPr>
          <w:sz w:val="24"/>
        </w:rPr>
      </w:pPr>
      <w:r>
        <w:rPr>
          <w:rFonts w:ascii="宋体" w:hAnsi="宋体" w:eastAsia="宋体" w:cs="宋体"/>
          <w:b w:val="0"/>
          <w:i w:val="0"/>
          <w:spacing w:val="0"/>
          <w:sz w:val="24"/>
        </w:rPr>
        <w:t>[32]该公众号已迁移至新的...</w:t>
      </w:r>
    </w:p>
    <w:p w14:paraId="041B8052">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https://mp.weixin.qq.com/s?__biz=MzA4MzkzMDYyNw==&amp;idx=2&amp;mid=2649922876&amp;sn=c54c0d7e32ea151458037ddbe7b59c63</w:t>
      </w:r>
    </w:p>
    <w:p w14:paraId="74CFBE24">
      <w:pPr>
        <w:pageBreakBefore w:val="0"/>
        <w:wordWrap/>
        <w:spacing w:before="160" w:after="0"/>
        <w:ind w:left="0" w:right="0"/>
        <w:jc w:val="left"/>
        <w:textAlignment w:val="auto"/>
        <w:rPr>
          <w:sz w:val="24"/>
        </w:rPr>
      </w:pPr>
      <w:r>
        <w:rPr>
          <w:rFonts w:ascii="宋体" w:hAnsi="宋体" w:eastAsia="宋体" w:cs="宋体"/>
          <w:b w:val="0"/>
          <w:i w:val="0"/>
          <w:spacing w:val="0"/>
          <w:sz w:val="24"/>
        </w:rPr>
        <w:t>[33]Design and Sample Size Determination for Multiple-dose Randomized Phase II Trials for Dose Optimization</w:t>
      </w:r>
    </w:p>
    <w:p w14:paraId="4A1CE79E">
      <w:pPr>
        <w:pageBreakBefore w:val="0"/>
        <w:wordWrap/>
        <w:spacing w:before="160" w:after="0"/>
        <w:ind w:left="0" w:right="0"/>
        <w:jc w:val="left"/>
        <w:textAlignment w:val="auto"/>
        <w:rPr>
          <w:sz w:val="24"/>
        </w:rPr>
      </w:pPr>
      <w:r>
        <w:rPr>
          <w:rFonts w:ascii="宋体" w:hAnsi="宋体" w:eastAsia="宋体" w:cs="宋体"/>
          <w:b w:val="0"/>
          <w:i w:val="0"/>
          <w:spacing w:val="0"/>
          <w:sz w:val="24"/>
        </w:rPr>
        <w:t>https://arxiv.org/abs/2302.09612</w:t>
      </w:r>
    </w:p>
    <w:p w14:paraId="7312AD6E">
      <w:pPr>
        <w:pageBreakBefore w:val="0"/>
        <w:wordWrap/>
        <w:spacing w:before="160" w:after="0"/>
        <w:ind w:left="0" w:right="0"/>
        <w:jc w:val="left"/>
        <w:textAlignment w:val="auto"/>
        <w:rPr>
          <w:sz w:val="24"/>
        </w:rPr>
      </w:pPr>
      <w:r>
        <w:rPr>
          <w:rFonts w:ascii="宋体" w:hAnsi="宋体" w:eastAsia="宋体" w:cs="宋体"/>
          <w:b w:val="0"/>
          <w:i w:val="0"/>
          <w:spacing w:val="0"/>
          <w:sz w:val="24"/>
        </w:rPr>
        <w:t>[34]全球纵览 | 2025 头颈部肿瘤临床试验关注度 TOP10</w:t>
      </w:r>
    </w:p>
    <w:p w14:paraId="47D05E67">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https://mp.weixin.qq.com/s?new=1&amp;signature=b9jv7gtzPxRAQS*qC6yVSo0CvOPpba8sT1Qw9NGV6dPHfVbfFjxkZC0dqeap3yUYkvzhhSfH2teGnvnV3wH-IxHRKR*FNXZ*tnfUIITkm2-xUwqb43Ds9yW*2wCVWLBc&amp;src=11&amp;timestamp=1757048235&amp;ver=6217</w:t>
      </w:r>
    </w:p>
    <w:p w14:paraId="34A0031D">
      <w:pPr>
        <w:pageBreakBefore w:val="0"/>
        <w:wordWrap/>
        <w:spacing w:before="160" w:after="0"/>
        <w:ind w:left="0" w:right="0"/>
        <w:jc w:val="left"/>
        <w:textAlignment w:val="auto"/>
        <w:rPr>
          <w:sz w:val="24"/>
        </w:rPr>
      </w:pPr>
      <w:r>
        <w:rPr>
          <w:rFonts w:ascii="宋体" w:hAnsi="宋体" w:eastAsia="宋体" w:cs="宋体"/>
          <w:b w:val="0"/>
          <w:i w:val="0"/>
          <w:spacing w:val="0"/>
          <w:sz w:val="24"/>
        </w:rPr>
        <w:t>[35]Mechanisms Behind Oncolytic Virus Therapy in Cancer Treatment • ccam-bio.com</w:t>
      </w:r>
    </w:p>
    <w:p w14:paraId="5A888C7F">
      <w:pPr>
        <w:pageBreakBefore w:val="0"/>
        <w:wordWrap/>
        <w:spacing w:before="160" w:after="0"/>
        <w:ind w:left="0" w:right="0"/>
        <w:jc w:val="left"/>
        <w:textAlignment w:val="auto"/>
        <w:rPr>
          <w:sz w:val="24"/>
        </w:rPr>
      </w:pPr>
      <w:r>
        <w:rPr>
          <w:rFonts w:ascii="宋体" w:hAnsi="宋体" w:eastAsia="宋体" w:cs="宋体"/>
          <w:b w:val="0"/>
          <w:i w:val="0"/>
          <w:spacing w:val="0"/>
          <w:sz w:val="24"/>
        </w:rPr>
        <w:t>https://ccam-bio.com/mechanisms-behind-oncolytic-virus-therapy-in-cancer-treatment/</w:t>
      </w:r>
    </w:p>
    <w:p w14:paraId="61B9020F">
      <w:pPr>
        <w:pageBreakBefore w:val="0"/>
        <w:wordWrap/>
        <w:spacing w:before="160" w:after="0"/>
        <w:ind w:left="0" w:right="0"/>
        <w:jc w:val="left"/>
        <w:textAlignment w:val="auto"/>
        <w:rPr>
          <w:sz w:val="24"/>
        </w:rPr>
      </w:pPr>
      <w:r>
        <w:rPr>
          <w:rFonts w:ascii="宋体" w:hAnsi="宋体" w:eastAsia="宋体" w:cs="宋体"/>
          <w:b w:val="0"/>
          <w:i w:val="0"/>
          <w:spacing w:val="0"/>
          <w:sz w:val="24"/>
        </w:rPr>
        <w:t>[36]科研成果速递-南方医科大学研究生招生网</w:t>
      </w:r>
    </w:p>
    <w:p w14:paraId="07C3781F">
      <w:pPr>
        <w:pageBreakBefore w:val="0"/>
        <w:wordWrap/>
        <w:spacing w:before="160" w:after="0"/>
        <w:ind w:left="0" w:right="0"/>
        <w:jc w:val="left"/>
        <w:textAlignment w:val="auto"/>
        <w:rPr>
          <w:sz w:val="24"/>
        </w:rPr>
      </w:pPr>
      <w:r>
        <w:rPr>
          <w:rFonts w:ascii="宋体" w:hAnsi="宋体" w:eastAsia="宋体" w:cs="宋体"/>
          <w:b w:val="0"/>
          <w:i w:val="0"/>
          <w:spacing w:val="0"/>
          <w:sz w:val="24"/>
        </w:rPr>
        <w:t>http://portal.smu.edu.cn/yzw/kycgsd/3.htm</w:t>
      </w:r>
    </w:p>
    <w:p w14:paraId="5205FDD0">
      <w:pPr>
        <w:pageBreakBefore w:val="0"/>
        <w:wordWrap/>
        <w:spacing w:before="160" w:after="0"/>
        <w:ind w:left="0" w:right="0"/>
        <w:jc w:val="left"/>
        <w:textAlignment w:val="auto"/>
        <w:rPr>
          <w:sz w:val="24"/>
        </w:rPr>
      </w:pPr>
      <w:r>
        <w:rPr>
          <w:rFonts w:ascii="宋体" w:hAnsi="宋体" w:eastAsia="宋体" w:cs="宋体"/>
          <w:b w:val="0"/>
          <w:i w:val="0"/>
          <w:spacing w:val="0"/>
          <w:sz w:val="24"/>
        </w:rPr>
        <w:t>[37]局部晚期头颈部鳞癌放化疗联合帕博利珠单抗同步与序贯治疗的随机 Ⅱ 期研究 - 生物通</w:t>
      </w:r>
    </w:p>
    <w:p w14:paraId="2E0517CD">
      <w:pPr>
        <w:pageBreakBefore w:val="0"/>
        <w:wordWrap/>
        <w:spacing w:before="160" w:after="0"/>
        <w:ind w:left="0" w:right="0"/>
        <w:jc w:val="left"/>
        <w:textAlignment w:val="auto"/>
        <w:rPr>
          <w:sz w:val="24"/>
        </w:rPr>
      </w:pPr>
      <w:r>
        <w:rPr>
          <w:rFonts w:ascii="宋体" w:hAnsi="宋体" w:eastAsia="宋体" w:cs="宋体"/>
          <w:b w:val="0"/>
          <w:i w:val="0"/>
          <w:spacing w:val="0"/>
          <w:sz w:val="24"/>
        </w:rPr>
        <w:t>https://www.ebiotrade.com/newsf/2025-5/20250528074356337.htm</w:t>
      </w:r>
    </w:p>
    <w:p w14:paraId="12C16D37">
      <w:pPr>
        <w:pageBreakBefore w:val="0"/>
        <w:wordWrap/>
        <w:spacing w:before="160" w:after="0"/>
        <w:ind w:left="0" w:right="0"/>
        <w:jc w:val="left"/>
        <w:textAlignment w:val="auto"/>
        <w:rPr>
          <w:sz w:val="24"/>
        </w:rPr>
      </w:pPr>
      <w:r>
        <w:rPr>
          <w:rFonts w:ascii="宋体" w:hAnsi="宋体" w:eastAsia="宋体" w:cs="宋体"/>
          <w:b w:val="0"/>
          <w:i w:val="0"/>
          <w:spacing w:val="0"/>
          <w:sz w:val="24"/>
        </w:rPr>
        <w:t>[38]Study Details | NCT06080984 | The Application of Novel Oncolytic Virus in Late Stage Solid Tumors | ClinicalTrials.gov</w:t>
      </w:r>
    </w:p>
    <w:p w14:paraId="1DCA8DAD">
      <w:pPr>
        <w:pageBreakBefore w:val="0"/>
        <w:wordWrap/>
        <w:spacing w:before="160" w:after="0"/>
        <w:ind w:left="0" w:right="0"/>
        <w:jc w:val="left"/>
        <w:textAlignment w:val="auto"/>
        <w:rPr>
          <w:sz w:val="24"/>
        </w:rPr>
      </w:pPr>
      <w:r>
        <w:rPr>
          <w:rFonts w:ascii="宋体" w:hAnsi="宋体" w:eastAsia="宋体" w:cs="宋体"/>
          <w:b w:val="0"/>
          <w:i w:val="0"/>
          <w:spacing w:val="0"/>
          <w:sz w:val="24"/>
        </w:rPr>
        <w:t>https://www.clinicaltrials.gov/study/NCT06080984</w:t>
      </w:r>
    </w:p>
    <w:p w14:paraId="01A9E756">
      <w:pPr>
        <w:pageBreakBefore w:val="0"/>
        <w:wordWrap/>
        <w:spacing w:before="160" w:after="0"/>
        <w:ind w:left="0" w:right="0"/>
        <w:jc w:val="left"/>
        <w:textAlignment w:val="auto"/>
        <w:rPr>
          <w:sz w:val="24"/>
        </w:rPr>
      </w:pPr>
      <w:r>
        <w:rPr>
          <w:rFonts w:ascii="宋体" w:hAnsi="宋体" w:eastAsia="宋体" w:cs="宋体"/>
          <w:b w:val="0"/>
          <w:i w:val="0"/>
          <w:spacing w:val="0"/>
          <w:sz w:val="24"/>
        </w:rPr>
        <w:t>[39]西安电子科技大学图书馆智能资源网关</w:t>
      </w:r>
    </w:p>
    <w:p w14:paraId="665B9812">
      <w:pPr>
        <w:pageBreakBefore w:val="0"/>
        <w:wordWrap/>
        <w:spacing w:before="160" w:after="0"/>
        <w:ind w:left="0" w:right="0"/>
        <w:jc w:val="left"/>
        <w:textAlignment w:val="auto"/>
        <w:rPr>
          <w:sz w:val="24"/>
        </w:rPr>
      </w:pPr>
      <w:r>
        <w:rPr>
          <w:rFonts w:ascii="宋体" w:hAnsi="宋体" w:eastAsia="宋体" w:cs="宋体"/>
          <w:b w:val="0"/>
          <w:i w:val="0"/>
          <w:spacing w:val="0"/>
          <w:sz w:val="24"/>
        </w:rPr>
        <w:t>https://ygyc.xidian.edu.cn/next/resource/eds/detail?eid=e46b3496f2baacb9696b9b7824fdc4c4cfd9bc9cb96b8f151d4e5a0b238b7137d32b5707f8f0813505cc4d7eb6d8299969b012b7962758f35e3d28a3267c1d394ea6922a56b4b1a93758781aafc64095</w:t>
      </w:r>
    </w:p>
    <w:p w14:paraId="66FFE759">
      <w:pPr>
        <w:pageBreakBefore w:val="0"/>
        <w:wordWrap/>
        <w:spacing w:before="160" w:after="0"/>
        <w:ind w:left="0" w:right="0"/>
        <w:jc w:val="left"/>
        <w:textAlignment w:val="auto"/>
        <w:rPr>
          <w:sz w:val="24"/>
        </w:rPr>
      </w:pPr>
      <w:r>
        <w:rPr>
          <w:rFonts w:ascii="宋体" w:hAnsi="宋体" w:eastAsia="宋体" w:cs="宋体"/>
          <w:b w:val="0"/>
          <w:i w:val="0"/>
          <w:spacing w:val="0"/>
          <w:sz w:val="24"/>
        </w:rPr>
        <w:t>[40]新辅助化疗免疫联合应答分层放化疗在局部晚期头颈癌中的探索：DEPEND II期试验解读 - 生物通</w:t>
      </w:r>
    </w:p>
    <w:p w14:paraId="029BF4BB">
      <w:pPr>
        <w:pageBreakBefore w:val="0"/>
        <w:wordWrap/>
        <w:spacing w:before="160" w:after="0"/>
        <w:ind w:left="0" w:right="0"/>
        <w:jc w:val="left"/>
        <w:textAlignment w:val="auto"/>
        <w:rPr>
          <w:sz w:val="24"/>
        </w:rPr>
      </w:pPr>
      <w:r>
        <w:rPr>
          <w:rFonts w:ascii="宋体" w:hAnsi="宋体" w:eastAsia="宋体" w:cs="宋体"/>
          <w:b w:val="0"/>
          <w:i w:val="0"/>
          <w:spacing w:val="0"/>
          <w:sz w:val="24"/>
        </w:rPr>
        <w:t>https://www.ebiotrade.com/newsf/2025-10/20251020224750862.htm</w:t>
      </w:r>
    </w:p>
    <w:p w14:paraId="36D82C1B">
      <w:pPr>
        <w:pageBreakBefore w:val="0"/>
        <w:wordWrap/>
        <w:spacing w:before="160" w:after="0"/>
        <w:ind w:left="0" w:right="0"/>
        <w:jc w:val="left"/>
        <w:textAlignment w:val="auto"/>
        <w:rPr>
          <w:sz w:val="24"/>
        </w:rPr>
      </w:pPr>
      <w:r>
        <w:rPr>
          <w:rFonts w:ascii="宋体" w:hAnsi="宋体" w:eastAsia="宋体" w:cs="宋体"/>
          <w:b w:val="0"/>
          <w:i w:val="0"/>
          <w:spacing w:val="0"/>
          <w:sz w:val="24"/>
        </w:rPr>
        <w:t>[41]溶瘤病毒临床试验设计考量要点中国专家共识(2025版)_百度文库</w:t>
      </w:r>
    </w:p>
    <w:p w14:paraId="09F345EA">
      <w:pPr>
        <w:pageBreakBefore w:val="0"/>
        <w:wordWrap/>
        <w:spacing w:before="160" w:after="0"/>
        <w:ind w:left="0" w:right="0"/>
        <w:jc w:val="left"/>
        <w:textAlignment w:val="auto"/>
        <w:rPr>
          <w:sz w:val="24"/>
        </w:rPr>
      </w:pPr>
      <w:r>
        <w:rPr>
          <w:rFonts w:ascii="宋体" w:hAnsi="宋体" w:eastAsia="宋体" w:cs="宋体"/>
          <w:b w:val="0"/>
          <w:i w:val="0"/>
          <w:spacing w:val="0"/>
          <w:sz w:val="24"/>
        </w:rPr>
        <w:t>https://wenku.baidu.com/view/8eaaef1f10791711cc7931b765ce050876327590</w:t>
      </w:r>
    </w:p>
    <w:p w14:paraId="73B02364">
      <w:pPr>
        <w:pageBreakBefore w:val="0"/>
        <w:wordWrap/>
        <w:spacing w:before="160" w:after="0"/>
        <w:ind w:left="0" w:right="0"/>
        <w:jc w:val="left"/>
        <w:textAlignment w:val="auto"/>
        <w:rPr>
          <w:sz w:val="24"/>
        </w:rPr>
      </w:pPr>
      <w:r>
        <w:rPr>
          <w:rFonts w:ascii="宋体" w:hAnsi="宋体" w:eastAsia="宋体" w:cs="宋体"/>
          <w:b w:val="0"/>
          <w:i w:val="0"/>
          <w:spacing w:val="0"/>
          <w:sz w:val="24"/>
        </w:rPr>
        <w:t>[42]济南政府网_济南市人民政府门户网站</w:t>
      </w:r>
    </w:p>
    <w:p w14:paraId="3BE424BE">
      <w:pPr>
        <w:pageBreakBefore w:val="0"/>
        <w:wordWrap/>
        <w:spacing w:before="160" w:after="0"/>
        <w:ind w:left="0" w:right="0"/>
        <w:jc w:val="left"/>
        <w:textAlignment w:val="auto"/>
        <w:rPr>
          <w:sz w:val="24"/>
        </w:rPr>
      </w:pPr>
      <w:r>
        <w:rPr>
          <w:rFonts w:ascii="宋体" w:hAnsi="宋体" w:eastAsia="宋体" w:cs="宋体"/>
          <w:b w:val="0"/>
          <w:i w:val="0"/>
          <w:spacing w:val="0"/>
          <w:sz w:val="24"/>
        </w:rPr>
        <w:t>http://www.jinan.gov.cn/art/2025/3/18/art_57656_5005264.html</w:t>
      </w:r>
    </w:p>
    <w:p w14:paraId="55705A3C">
      <w:pPr>
        <w:pageBreakBefore w:val="0"/>
        <w:wordWrap/>
        <w:spacing w:before="160" w:after="0"/>
        <w:ind w:left="0" w:right="0"/>
        <w:jc w:val="left"/>
        <w:textAlignment w:val="auto"/>
        <w:rPr>
          <w:sz w:val="24"/>
        </w:rPr>
      </w:pPr>
      <w:r>
        <w:rPr>
          <w:rFonts w:ascii="宋体" w:hAnsi="宋体" w:eastAsia="宋体" w:cs="宋体"/>
          <w:b w:val="0"/>
          <w:i w:val="0"/>
          <w:spacing w:val="0"/>
          <w:sz w:val="24"/>
        </w:rPr>
        <w:t>[43]Initial analysis of the synergy of programmed cell death-1 (PD-1) inhibitor and concurrent chemoradiotherapy treatment for recurrent/metastatic head and neck squamous cell carcinoma patients | Radiation Oncology | Springer Nature Link</w:t>
      </w:r>
    </w:p>
    <w:p w14:paraId="13D52205">
      <w:pPr>
        <w:pageBreakBefore w:val="0"/>
        <w:wordWrap/>
        <w:spacing w:before="160" w:after="0"/>
        <w:ind w:left="0" w:right="0"/>
        <w:jc w:val="left"/>
        <w:textAlignment w:val="auto"/>
        <w:rPr>
          <w:sz w:val="24"/>
        </w:rPr>
      </w:pPr>
      <w:r>
        <w:rPr>
          <w:rFonts w:ascii="宋体" w:hAnsi="宋体" w:eastAsia="宋体" w:cs="宋体"/>
          <w:b w:val="0"/>
          <w:i w:val="0"/>
          <w:spacing w:val="0"/>
          <w:sz w:val="24"/>
        </w:rPr>
        <w:t>https://link.springer.com/article/10.1186/s13014-023-02310-8?fromPaywallRec=false</w:t>
      </w:r>
    </w:p>
    <w:p w14:paraId="79E8F1A7">
      <w:pPr>
        <w:pageBreakBefore w:val="0"/>
        <w:wordWrap/>
        <w:spacing w:before="160" w:after="0"/>
        <w:ind w:left="0" w:right="0"/>
        <w:jc w:val="left"/>
        <w:textAlignment w:val="auto"/>
        <w:rPr>
          <w:sz w:val="24"/>
        </w:rPr>
      </w:pPr>
      <w:r>
        <w:rPr>
          <w:rFonts w:ascii="宋体" w:hAnsi="宋体" w:eastAsia="宋体" w:cs="宋体"/>
          <w:b w:val="0"/>
          <w:i w:val="0"/>
          <w:spacing w:val="0"/>
          <w:sz w:val="24"/>
        </w:rPr>
        <w:t>[44]Clinical trial designs for testing biomarker-based personalized therapies</w:t>
      </w:r>
    </w:p>
    <w:p w14:paraId="20FB0C88">
      <w:pPr>
        <w:pageBreakBefore w:val="0"/>
        <w:wordWrap/>
        <w:spacing w:before="160" w:after="0"/>
        <w:ind w:left="0" w:right="0"/>
        <w:jc w:val="left"/>
        <w:textAlignment w:val="auto"/>
        <w:rPr>
          <w:sz w:val="24"/>
        </w:rPr>
      </w:pPr>
      <w:r>
        <w:rPr>
          <w:rFonts w:ascii="宋体" w:hAnsi="宋体" w:eastAsia="宋体" w:cs="宋体"/>
          <w:b w:val="0"/>
          <w:i w:val="0"/>
          <w:spacing w:val="0"/>
          <w:sz w:val="24"/>
        </w:rPr>
        <w:t>https://tzelai.ckirby.su.domains/pubs/2011_BiomarkerBased.pdf</w:t>
      </w:r>
    </w:p>
    <w:p w14:paraId="7895B4E8">
      <w:pPr>
        <w:pageBreakBefore w:val="0"/>
        <w:wordWrap/>
        <w:spacing w:before="160" w:after="0"/>
        <w:ind w:left="0" w:right="0"/>
        <w:jc w:val="left"/>
        <w:textAlignment w:val="auto"/>
        <w:rPr>
          <w:sz w:val="24"/>
        </w:rPr>
      </w:pPr>
      <w:r>
        <w:rPr>
          <w:rFonts w:ascii="宋体" w:hAnsi="宋体" w:eastAsia="宋体" w:cs="宋体"/>
          <w:b w:val="0"/>
          <w:i w:val="0"/>
          <w:spacing w:val="0"/>
          <w:sz w:val="24"/>
        </w:rPr>
        <w:t>[45]16 Gene Therapy</w:t>
      </w:r>
    </w:p>
    <w:p w14:paraId="1C2CFB38">
      <w:pPr>
        <w:pageBreakBefore w:val="0"/>
        <w:wordWrap/>
        <w:spacing w:before="160" w:after="0"/>
        <w:ind w:left="0" w:right="0"/>
        <w:jc w:val="left"/>
        <w:textAlignment w:val="auto"/>
        <w:rPr>
          <w:sz w:val="24"/>
        </w:rPr>
      </w:pPr>
      <w:r>
        <w:rPr>
          <w:rFonts w:ascii="宋体" w:hAnsi="宋体" w:eastAsia="宋体" w:cs="宋体"/>
          <w:b w:val="0"/>
          <w:i w:val="0"/>
          <w:spacing w:val="0"/>
          <w:sz w:val="24"/>
        </w:rPr>
        <w:t>https://link.springer.com/book/10.1007/978-3-031-30023-3</w:t>
      </w:r>
    </w:p>
    <w:p w14:paraId="3BEE88C3">
      <w:pPr>
        <w:pageBreakBefore w:val="0"/>
        <w:wordWrap/>
        <w:spacing w:before="160" w:after="0"/>
        <w:ind w:left="0" w:right="0"/>
        <w:jc w:val="left"/>
        <w:textAlignment w:val="auto"/>
        <w:rPr>
          <w:sz w:val="24"/>
        </w:rPr>
      </w:pPr>
      <w:r>
        <w:rPr>
          <w:rFonts w:ascii="宋体" w:hAnsi="宋体" w:eastAsia="宋体" w:cs="宋体"/>
          <w:b w:val="0"/>
          <w:i w:val="0"/>
          <w:spacing w:val="0"/>
          <w:sz w:val="24"/>
        </w:rPr>
        <w:t>[46]中大学者团队：“免疫三明治”模式为鼻咽癌患者带来新希望！</w:t>
      </w:r>
    </w:p>
    <w:p w14:paraId="64300F8E">
      <w:pPr>
        <w:pageBreakBefore w:val="0"/>
        <w:wordWrap/>
        <w:spacing w:before="160" w:after="0"/>
        <w:ind w:left="0" w:right="0"/>
        <w:jc w:val="left"/>
        <w:textAlignment w:val="auto"/>
        <w:rPr>
          <w:sz w:val="24"/>
        </w:rPr>
      </w:pPr>
      <w:r>
        <w:rPr>
          <w:rFonts w:ascii="宋体" w:hAnsi="宋体" w:eastAsia="宋体" w:cs="宋体"/>
          <w:b w:val="0"/>
          <w:i w:val="0"/>
          <w:spacing w:val="0"/>
          <w:sz w:val="24"/>
        </w:rPr>
        <w:t>https://huacheng.gz-cmc.com/pages/2024/11/08/SF1288921654874d8aaf2e449d83bd45.html</w:t>
      </w:r>
    </w:p>
    <w:p w14:paraId="71207026">
      <w:pPr>
        <w:pageBreakBefore w:val="0"/>
        <w:wordWrap/>
        <w:spacing w:before="160" w:after="0"/>
        <w:ind w:left="0" w:right="0"/>
        <w:jc w:val="left"/>
        <w:textAlignment w:val="auto"/>
        <w:rPr>
          <w:sz w:val="24"/>
        </w:rPr>
      </w:pPr>
      <w:r>
        <w:rPr>
          <w:rFonts w:ascii="宋体" w:hAnsi="宋体" w:eastAsia="宋体" w:cs="宋体"/>
          <w:b w:val="0"/>
          <w:i w:val="0"/>
          <w:spacing w:val="0"/>
          <w:sz w:val="24"/>
        </w:rPr>
        <w:t>[47]How Biomarkers Impact Clinical Trial Study Start-up - PFM</w:t>
      </w:r>
    </w:p>
    <w:p w14:paraId="7857FE97">
      <w:pPr>
        <w:pageBreakBefore w:val="0"/>
        <w:wordWrap/>
        <w:spacing w:before="160" w:after="0"/>
        <w:ind w:left="0" w:right="0"/>
        <w:jc w:val="left"/>
        <w:textAlignment w:val="auto"/>
        <w:rPr>
          <w:sz w:val="24"/>
        </w:rPr>
      </w:pPr>
      <w:r>
        <w:rPr>
          <w:rFonts w:ascii="宋体" w:hAnsi="宋体" w:eastAsia="宋体" w:cs="宋体"/>
          <w:b w:val="0"/>
          <w:i w:val="0"/>
          <w:spacing w:val="0"/>
          <w:sz w:val="24"/>
        </w:rPr>
        <w:t>https://www.precisionformedicine.com/blog/how-biomarkers-impact-clinical-trial-study-start-up/</w:t>
      </w:r>
    </w:p>
    <w:p w14:paraId="6723BD66">
      <w:pPr>
        <w:pageBreakBefore w:val="0"/>
        <w:wordWrap/>
        <w:spacing w:before="160" w:after="0"/>
        <w:ind w:left="0" w:right="0"/>
        <w:jc w:val="left"/>
        <w:textAlignment w:val="auto"/>
        <w:rPr>
          <w:sz w:val="24"/>
        </w:rPr>
      </w:pPr>
      <w:r>
        <w:rPr>
          <w:rFonts w:ascii="宋体" w:hAnsi="宋体" w:eastAsia="宋体" w:cs="宋体"/>
          <w:b w:val="0"/>
          <w:i w:val="0"/>
          <w:spacing w:val="0"/>
          <w:sz w:val="24"/>
        </w:rPr>
        <w:t>[48]Computational modeling to the dynamics of oncolytic viruses</w:t>
      </w:r>
    </w:p>
    <w:p w14:paraId="11477665">
      <w:pPr>
        <w:pageBreakBefore w:val="0"/>
        <w:wordWrap/>
        <w:spacing w:before="160" w:after="0"/>
        <w:ind w:left="0" w:right="0"/>
        <w:jc w:val="left"/>
        <w:textAlignment w:val="auto"/>
        <w:rPr>
          <w:sz w:val="24"/>
        </w:rPr>
      </w:pPr>
      <w:r>
        <w:rPr>
          <w:rFonts w:ascii="宋体" w:hAnsi="宋体" w:eastAsia="宋体" w:cs="宋体"/>
          <w:b w:val="0"/>
          <w:i w:val="0"/>
          <w:spacing w:val="0"/>
          <w:sz w:val="24"/>
        </w:rPr>
        <w:t>https://www.aimsciences.org/data/article/export-pdf?id=d092871d-cd41-4647-bc2a-d8e5009d79cd</w:t>
      </w:r>
    </w:p>
    <w:p w14:paraId="27BBF8DF">
      <w:pPr>
        <w:pageBreakBefore w:val="0"/>
        <w:wordWrap/>
        <w:spacing w:before="160" w:after="0"/>
        <w:ind w:left="0" w:right="0"/>
        <w:jc w:val="left"/>
        <w:textAlignment w:val="auto"/>
        <w:rPr>
          <w:sz w:val="24"/>
        </w:rPr>
      </w:pPr>
      <w:r>
        <w:rPr>
          <w:rFonts w:ascii="宋体" w:hAnsi="宋体" w:eastAsia="宋体" w:cs="宋体"/>
          <w:b w:val="0"/>
          <w:i w:val="0"/>
          <w:spacing w:val="0"/>
          <w:sz w:val="24"/>
        </w:rPr>
        <w:t>[49]高水平论文推送2——肿瘤学-广东医科大学</w:t>
      </w:r>
    </w:p>
    <w:p w14:paraId="417F68E6">
      <w:pPr>
        <w:pageBreakBefore w:val="0"/>
        <w:wordWrap/>
        <w:spacing w:before="160" w:after="0"/>
        <w:ind w:left="0" w:right="0"/>
        <w:jc w:val="left"/>
        <w:textAlignment w:val="auto"/>
        <w:rPr>
          <w:sz w:val="24"/>
        </w:rPr>
      </w:pPr>
      <w:r>
        <w:rPr>
          <w:rFonts w:ascii="宋体" w:hAnsi="宋体" w:eastAsia="宋体" w:cs="宋体"/>
          <w:b w:val="0"/>
          <w:i w:val="0"/>
          <w:spacing w:val="0"/>
          <w:sz w:val="24"/>
        </w:rPr>
        <w:t>https://www.gdmu.edu.cn/info/1488/58062.htm</w:t>
      </w:r>
    </w:p>
    <w:p w14:paraId="23620D2B">
      <w:pPr>
        <w:pageBreakBefore w:val="0"/>
        <w:wordWrap/>
        <w:spacing w:before="160" w:after="0"/>
        <w:ind w:left="0" w:right="0"/>
        <w:jc w:val="left"/>
        <w:textAlignment w:val="auto"/>
        <w:rPr>
          <w:sz w:val="24"/>
        </w:rPr>
      </w:pPr>
      <w:r>
        <w:rPr>
          <w:rFonts w:ascii="宋体" w:hAnsi="宋体" w:eastAsia="宋体" w:cs="宋体"/>
          <w:b w:val="0"/>
          <w:i w:val="0"/>
          <w:spacing w:val="0"/>
          <w:sz w:val="24"/>
        </w:rPr>
        <w:t>[50]How to Design Biomarker-Driven Clinical Trials</w:t>
      </w:r>
    </w:p>
    <w:p w14:paraId="27872509">
      <w:pPr>
        <w:pageBreakBefore w:val="0"/>
        <w:wordWrap/>
        <w:spacing w:before="160" w:after="0"/>
        <w:ind w:left="0" w:right="0"/>
        <w:jc w:val="left"/>
        <w:textAlignment w:val="auto"/>
        <w:rPr>
          <w:sz w:val="24"/>
        </w:rPr>
      </w:pPr>
      <w:r>
        <w:rPr>
          <w:rFonts w:ascii="宋体" w:hAnsi="宋体" w:eastAsia="宋体" w:cs="宋体"/>
          <w:b w:val="0"/>
          <w:i w:val="0"/>
          <w:spacing w:val="0"/>
          <w:sz w:val="24"/>
        </w:rPr>
        <w:t>https://www.infinixbio.com/blog/design-biomarker-driven-clinical-trials/</w:t>
      </w:r>
    </w:p>
    <w:p w14:paraId="0C1EA397">
      <w:pPr>
        <w:pageBreakBefore w:val="0"/>
        <w:wordWrap/>
        <w:spacing w:before="160" w:after="0"/>
        <w:ind w:left="0" w:right="0"/>
        <w:jc w:val="left"/>
        <w:textAlignment w:val="auto"/>
        <w:rPr>
          <w:sz w:val="24"/>
        </w:rPr>
      </w:pPr>
      <w:r>
        <w:rPr>
          <w:rFonts w:ascii="宋体" w:hAnsi="宋体" w:eastAsia="宋体" w:cs="宋体"/>
          <w:b w:val="0"/>
          <w:i w:val="0"/>
          <w:spacing w:val="0"/>
          <w:sz w:val="24"/>
        </w:rPr>
        <w:t>[51]Nucleic acid targeting: towards personalized therapy for head and neck cancer</w:t>
      </w:r>
    </w:p>
    <w:p w14:paraId="5DCB2C76">
      <w:pPr>
        <w:pageBreakBefore w:val="0"/>
        <w:wordWrap/>
        <w:spacing w:before="160" w:after="0"/>
        <w:ind w:left="0" w:right="0"/>
        <w:jc w:val="left"/>
        <w:textAlignment w:val="auto"/>
        <w:rPr>
          <w:sz w:val="24"/>
        </w:rPr>
      </w:pPr>
      <w:r>
        <w:rPr>
          <w:rFonts w:ascii="宋体" w:hAnsi="宋体" w:eastAsia="宋体" w:cs="宋体"/>
          <w:b w:val="0"/>
          <w:i w:val="0"/>
          <w:spacing w:val="0"/>
          <w:sz w:val="24"/>
        </w:rPr>
        <w:t>https://www.nature.com/articles/onc2015424.pdf</w:t>
      </w:r>
    </w:p>
    <w:p w14:paraId="1A02C4C3">
      <w:pPr>
        <w:pageBreakBefore w:val="0"/>
        <w:wordWrap/>
        <w:spacing w:before="160" w:after="0"/>
        <w:ind w:left="0" w:right="0"/>
        <w:jc w:val="left"/>
        <w:textAlignment w:val="auto"/>
        <w:rPr>
          <w:sz w:val="24"/>
        </w:rPr>
      </w:pPr>
      <w:r>
        <w:rPr>
          <w:rFonts w:ascii="宋体" w:hAnsi="宋体" w:eastAsia="宋体" w:cs="宋体"/>
          <w:b w:val="0"/>
          <w:i w:val="0"/>
          <w:spacing w:val="0"/>
          <w:sz w:val="24"/>
        </w:rPr>
        <w:t>[52]Oncolytic Viruses: Priming Time for Cancer Immunotherapy - PMC</w:t>
      </w:r>
    </w:p>
    <w:p w14:paraId="0AC615B9">
      <w:pPr>
        <w:pageBreakBefore w:val="0"/>
        <w:wordWrap/>
        <w:spacing w:before="160" w:after="0"/>
        <w:ind w:left="0" w:right="0"/>
        <w:jc w:val="left"/>
        <w:textAlignment w:val="auto"/>
        <w:rPr>
          <w:sz w:val="24"/>
        </w:rPr>
      </w:pPr>
      <w:r>
        <w:rPr>
          <w:rFonts w:ascii="宋体" w:hAnsi="宋体" w:eastAsia="宋体" w:cs="宋体"/>
          <w:b w:val="0"/>
          <w:i w:val="0"/>
          <w:spacing w:val="0"/>
          <w:sz w:val="24"/>
        </w:rPr>
        <w:t>https://pmc.ncbi.nlm.nih.gov/articles/PMC6790338/</w:t>
      </w:r>
    </w:p>
    <w:p w14:paraId="59516773">
      <w:pPr>
        <w:pageBreakBefore w:val="0"/>
        <w:wordWrap/>
        <w:spacing w:before="160" w:after="0"/>
        <w:ind w:left="0" w:right="0"/>
        <w:jc w:val="left"/>
        <w:textAlignment w:val="auto"/>
        <w:rPr>
          <w:sz w:val="24"/>
        </w:rPr>
      </w:pPr>
      <w:r>
        <w:rPr>
          <w:rFonts w:ascii="宋体" w:hAnsi="宋体" w:eastAsia="宋体" w:cs="宋体"/>
          <w:b w:val="0"/>
          <w:i w:val="0"/>
          <w:spacing w:val="0"/>
          <w:sz w:val="24"/>
        </w:rPr>
        <w:t>[53]Top 7 Emerging HSV-associated Oncolytic Virus Therapies</w:t>
      </w:r>
    </w:p>
    <w:p w14:paraId="59EF2EEC">
      <w:pPr>
        <w:pageBreakBefore w:val="0"/>
        <w:wordWrap/>
        <w:spacing w:before="160" w:after="0"/>
        <w:ind w:left="0" w:right="0"/>
        <w:jc w:val="left"/>
        <w:textAlignment w:val="auto"/>
        <w:rPr>
          <w:sz w:val="24"/>
        </w:rPr>
      </w:pPr>
      <w:r>
        <w:rPr>
          <w:rFonts w:ascii="宋体" w:hAnsi="宋体" w:eastAsia="宋体" w:cs="宋体"/>
          <w:b w:val="0"/>
          <w:i w:val="0"/>
          <w:spacing w:val="0"/>
          <w:sz w:val="24"/>
        </w:rPr>
        <w:t>https://www.delveinsight.com/blog/7-promising-hsv-associated-oncolytic-virus-therapies</w:t>
      </w:r>
    </w:p>
    <w:p w14:paraId="080BDC26">
      <w:pPr>
        <w:pageBreakBefore w:val="0"/>
        <w:wordWrap/>
        <w:spacing w:before="160" w:after="0"/>
        <w:ind w:left="0" w:right="0"/>
        <w:jc w:val="left"/>
        <w:textAlignment w:val="auto"/>
        <w:rPr>
          <w:sz w:val="24"/>
        </w:rPr>
      </w:pPr>
      <w:r>
        <w:rPr>
          <w:rFonts w:ascii="宋体" w:hAnsi="宋体" w:eastAsia="宋体" w:cs="宋体"/>
          <w:b w:val="0"/>
          <w:i w:val="0"/>
          <w:spacing w:val="0"/>
          <w:sz w:val="24"/>
        </w:rPr>
        <w:t>[54]Progresses in biomarkers for cancer immunotherapy - PMC</w:t>
      </w:r>
    </w:p>
    <w:p w14:paraId="73698CC7">
      <w:pPr>
        <w:pageBreakBefore w:val="0"/>
        <w:wordWrap/>
        <w:spacing w:before="160" w:after="0"/>
        <w:ind w:left="0" w:right="0"/>
        <w:jc w:val="left"/>
        <w:textAlignment w:val="auto"/>
        <w:rPr>
          <w:sz w:val="24"/>
        </w:rPr>
      </w:pPr>
      <w:r>
        <w:rPr>
          <w:rFonts w:ascii="宋体" w:hAnsi="宋体" w:eastAsia="宋体" w:cs="宋体"/>
          <w:b w:val="0"/>
          <w:i w:val="0"/>
          <w:spacing w:val="0"/>
          <w:sz w:val="24"/>
        </w:rPr>
        <w:t>https://pmc.ncbi.nlm.nih.gov/articles/PMC10547938/</w:t>
      </w:r>
    </w:p>
    <w:p w14:paraId="01158259">
      <w:pPr>
        <w:pageBreakBefore w:val="0"/>
        <w:wordWrap/>
        <w:spacing w:before="160" w:after="0"/>
        <w:ind w:left="0" w:right="0"/>
        <w:jc w:val="left"/>
        <w:textAlignment w:val="auto"/>
        <w:rPr>
          <w:sz w:val="24"/>
        </w:rPr>
      </w:pPr>
      <w:r>
        <w:rPr>
          <w:rFonts w:ascii="宋体" w:hAnsi="宋体" w:eastAsia="宋体" w:cs="宋体"/>
          <w:b w:val="0"/>
          <w:i w:val="0"/>
          <w:spacing w:val="0"/>
          <w:sz w:val="24"/>
        </w:rPr>
        <w:t>[55]【I/II期临床试验】溶瘤+免疫！新一代溶瘤病毒疗法T3011联合PD-1特瑞普利单抗招募经治的头颈鳞癌等实体瘤患者！</w:t>
      </w:r>
    </w:p>
    <w:p w14:paraId="37952E75">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https://mp.weixin.qq.com/s?__biz=MzU3NjY0ODM5Mg==&amp;idx=2&amp;mid=2247484843&amp;sn=6873af1e2bcac8717bf5bea1d70f114e</w:t>
      </w:r>
    </w:p>
    <w:p w14:paraId="144152B0">
      <w:pPr>
        <w:pageBreakBefore w:val="0"/>
        <w:wordWrap/>
        <w:spacing w:before="160" w:after="0"/>
        <w:ind w:left="0" w:right="0"/>
        <w:jc w:val="left"/>
        <w:textAlignment w:val="auto"/>
        <w:rPr>
          <w:sz w:val="24"/>
        </w:rPr>
      </w:pPr>
      <w:r>
        <w:rPr>
          <w:rFonts w:ascii="宋体" w:hAnsi="宋体" w:eastAsia="宋体" w:cs="宋体"/>
          <w:b w:val="0"/>
          <w:i w:val="0"/>
          <w:spacing w:val="0"/>
          <w:sz w:val="24"/>
        </w:rPr>
        <w:t>[56]Combined laboratory and imaging indicators to construct risk models for predicting immunotherapy efficacy and prognosis in non-small cell lung cancer: An observational study (STROBE compliant) - PMC</w:t>
      </w:r>
    </w:p>
    <w:p w14:paraId="53999789">
      <w:pPr>
        <w:pageBreakBefore w:val="0"/>
        <w:wordWrap/>
        <w:spacing w:before="160" w:after="0"/>
        <w:ind w:left="0" w:right="0"/>
        <w:jc w:val="left"/>
        <w:textAlignment w:val="auto"/>
        <w:rPr>
          <w:sz w:val="24"/>
        </w:rPr>
      </w:pPr>
      <w:r>
        <w:rPr>
          <w:rFonts w:ascii="宋体" w:hAnsi="宋体" w:eastAsia="宋体" w:cs="宋体"/>
          <w:b w:val="0"/>
          <w:i w:val="0"/>
          <w:spacing w:val="0"/>
          <w:sz w:val="24"/>
        </w:rPr>
        <w:t>https://pmc.ncbi.nlm.nih.gov/articles/PMC12558339/</w:t>
      </w:r>
    </w:p>
    <w:p w14:paraId="25EC212F">
      <w:pPr>
        <w:pageBreakBefore w:val="0"/>
        <w:wordWrap/>
        <w:spacing w:before="160" w:after="0"/>
        <w:ind w:left="0" w:right="0"/>
        <w:jc w:val="left"/>
        <w:textAlignment w:val="auto"/>
        <w:rPr>
          <w:sz w:val="24"/>
        </w:rPr>
      </w:pPr>
      <w:r>
        <w:rPr>
          <w:rFonts w:ascii="宋体" w:hAnsi="宋体" w:eastAsia="宋体" w:cs="宋体"/>
          <w:b w:val="0"/>
          <w:i w:val="0"/>
          <w:spacing w:val="0"/>
          <w:sz w:val="24"/>
        </w:rPr>
        <w:t>[57]“重组人GM-CSF溶瘤II型单纯疱疹病毒(OH2)注射液(Vero细胞)”联合“重组人PD-L1/CD3 双抗II型 单纯疱疹病毒注射液(Vero细胞)”瘤内注射治疗晚期实体瘤的开放、剂量递增的Ib/II期临床试验_武汉大学中南医院</w:t>
      </w:r>
    </w:p>
    <w:p w14:paraId="30278FA1">
      <w:pPr>
        <w:pageBreakBefore w:val="0"/>
        <w:wordWrap/>
        <w:spacing w:before="160" w:after="0"/>
        <w:ind w:left="0" w:right="0"/>
        <w:jc w:val="left"/>
        <w:textAlignment w:val="auto"/>
        <w:rPr>
          <w:sz w:val="24"/>
        </w:rPr>
      </w:pPr>
      <w:r>
        <w:rPr>
          <w:rFonts w:ascii="宋体" w:hAnsi="宋体" w:eastAsia="宋体" w:cs="宋体"/>
          <w:b w:val="0"/>
          <w:i w:val="0"/>
          <w:spacing w:val="0"/>
          <w:sz w:val="24"/>
        </w:rPr>
        <w:t>https://www.znhospital.cn/gdyygrzzzlk/clinical_trials/detail/13132.html</w:t>
      </w:r>
    </w:p>
    <w:p w14:paraId="66232687">
      <w:pPr>
        <w:pageBreakBefore w:val="0"/>
        <w:wordWrap/>
        <w:spacing w:before="160" w:after="0"/>
        <w:ind w:left="0" w:right="0"/>
        <w:jc w:val="left"/>
        <w:textAlignment w:val="auto"/>
        <w:rPr>
          <w:sz w:val="24"/>
        </w:rPr>
      </w:pPr>
      <w:r>
        <w:rPr>
          <w:rFonts w:ascii="宋体" w:hAnsi="宋体" w:eastAsia="宋体" w:cs="宋体"/>
          <w:b w:val="0"/>
          <w:i w:val="0"/>
          <w:spacing w:val="0"/>
          <w:sz w:val="24"/>
        </w:rPr>
        <w:t>[58]免疫疗法临床操作流程规范.docx - 人人文库</w:t>
      </w:r>
    </w:p>
    <w:p w14:paraId="59FC5A99">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https://m.renrendoc.com/paper/492356445.html</w:t>
      </w:r>
    </w:p>
    <w:p w14:paraId="549D8DC4">
      <w:pPr>
        <w:pageBreakBefore w:val="0"/>
        <w:wordWrap/>
        <w:spacing w:before="160" w:after="0"/>
        <w:ind w:left="0" w:right="0"/>
        <w:jc w:val="left"/>
        <w:textAlignment w:val="auto"/>
        <w:rPr>
          <w:sz w:val="24"/>
        </w:rPr>
      </w:pPr>
      <w:r>
        <w:rPr>
          <w:rFonts w:ascii="宋体" w:hAnsi="宋体" w:eastAsia="宋体" w:cs="宋体"/>
          <w:b w:val="0"/>
          <w:i w:val="0"/>
          <w:spacing w:val="0"/>
          <w:sz w:val="24"/>
        </w:rPr>
        <w:t>[59]国家药监局政务服务门户事项服务搜索</w:t>
      </w:r>
    </w:p>
    <w:p w14:paraId="34E63FD2">
      <w:pPr>
        <w:pageBreakBefore w:val="0"/>
        <w:wordWrap/>
        <w:spacing w:before="160" w:after="0"/>
        <w:ind w:left="0" w:right="0"/>
        <w:jc w:val="left"/>
        <w:textAlignment w:val="auto"/>
        <w:rPr>
          <w:sz w:val="24"/>
        </w:rPr>
      </w:pPr>
      <w:r>
        <w:rPr>
          <w:rFonts w:ascii="宋体" w:hAnsi="宋体" w:eastAsia="宋体" w:cs="宋体"/>
          <w:b w:val="0"/>
          <w:i w:val="0"/>
          <w:spacing w:val="0"/>
          <w:sz w:val="24"/>
        </w:rPr>
        <w:t>https://zwfw.nmpa.gov.cn/web/taskdir/</w:t>
      </w:r>
    </w:p>
    <w:p w14:paraId="1A0AA716">
      <w:pPr>
        <w:pageBreakBefore w:val="0"/>
        <w:wordWrap/>
        <w:spacing w:before="160" w:after="0"/>
        <w:ind w:left="0" w:right="0"/>
        <w:jc w:val="left"/>
        <w:textAlignment w:val="auto"/>
        <w:rPr>
          <w:sz w:val="24"/>
        </w:rPr>
      </w:pPr>
      <w:r>
        <w:rPr>
          <w:rFonts w:ascii="宋体" w:hAnsi="宋体" w:eastAsia="宋体" w:cs="宋体"/>
          <w:b w:val="0"/>
          <w:i w:val="0"/>
          <w:spacing w:val="0"/>
          <w:sz w:val="24"/>
        </w:rPr>
        <w:t>[60]Study Details | NCT06080984 | The Application of Novel Oncolytic Virus in Late Stage Solid Tumors | ClinicalTrials.gov</w:t>
      </w:r>
    </w:p>
    <w:p w14:paraId="0488D121">
      <w:pPr>
        <w:pageBreakBefore w:val="0"/>
        <w:wordWrap/>
        <w:spacing w:before="160" w:after="0"/>
        <w:ind w:left="0" w:right="0"/>
        <w:jc w:val="left"/>
        <w:textAlignment w:val="auto"/>
        <w:rPr>
          <w:sz w:val="24"/>
        </w:rPr>
      </w:pPr>
      <w:r>
        <w:rPr>
          <w:rFonts w:ascii="宋体" w:hAnsi="宋体" w:eastAsia="宋体" w:cs="宋体"/>
          <w:b w:val="0"/>
          <w:i w:val="0"/>
          <w:spacing w:val="0"/>
          <w:sz w:val="24"/>
        </w:rPr>
        <w:t>https://www.clinicaltrials.gov/study/NCT06080984</w:t>
      </w:r>
    </w:p>
    <w:p w14:paraId="67169D2B">
      <w:pPr>
        <w:pageBreakBefore w:val="0"/>
        <w:wordWrap/>
        <w:spacing w:before="160" w:after="0"/>
        <w:ind w:left="0" w:right="0"/>
        <w:jc w:val="left"/>
        <w:textAlignment w:val="auto"/>
        <w:rPr>
          <w:sz w:val="24"/>
        </w:rPr>
      </w:pPr>
      <w:r>
        <w:rPr>
          <w:rFonts w:ascii="宋体" w:hAnsi="宋体" w:eastAsia="宋体" w:cs="宋体"/>
          <w:b w:val="0"/>
          <w:i w:val="0"/>
          <w:spacing w:val="0"/>
          <w:sz w:val="24"/>
        </w:rPr>
        <w:t>[61]In the immuno-oncology era, is anti-PD-1 or anti-PD-L1 immunotherapy modifying the sensitivity to conventional cancer therapies?</w:t>
      </w:r>
    </w:p>
    <w:p w14:paraId="2EE80856">
      <w:pPr>
        <w:pageBreakBefore w:val="0"/>
        <w:wordWrap/>
        <w:spacing w:before="160" w:after="0"/>
        <w:ind w:left="0" w:right="0"/>
        <w:jc w:val="left"/>
        <w:textAlignment w:val="auto"/>
        <w:rPr>
          <w:sz w:val="24"/>
        </w:rPr>
      </w:pPr>
      <w:r>
        <w:rPr>
          <w:rFonts w:ascii="宋体" w:hAnsi="宋体" w:eastAsia="宋体" w:cs="宋体"/>
          <w:b w:val="0"/>
          <w:i w:val="0"/>
          <w:spacing w:val="0"/>
          <w:sz w:val="24"/>
        </w:rPr>
        <w:t>https://www.ejcancer.com/article/S0959-8049(17)31317-5/pdf</w:t>
      </w:r>
    </w:p>
    <w:p w14:paraId="09BF3171">
      <w:pPr>
        <w:pageBreakBefore w:val="0"/>
        <w:wordWrap/>
        <w:spacing w:before="160" w:after="0"/>
        <w:ind w:left="0" w:right="0"/>
        <w:jc w:val="left"/>
        <w:textAlignment w:val="auto"/>
        <w:rPr>
          <w:sz w:val="24"/>
        </w:rPr>
      </w:pPr>
      <w:r>
        <w:rPr>
          <w:rFonts w:ascii="宋体" w:hAnsi="宋体" w:eastAsia="宋体" w:cs="宋体"/>
          <w:b w:val="0"/>
          <w:i w:val="0"/>
          <w:spacing w:val="0"/>
          <w:sz w:val="24"/>
        </w:rPr>
        <w:t>[62]四川大学华西第二医院|四川大学华西妇产儿童医院</w:t>
      </w:r>
    </w:p>
    <w:p w14:paraId="461F5234">
      <w:pPr>
        <w:pageBreakBefore w:val="0"/>
        <w:wordWrap/>
        <w:spacing w:before="160" w:after="0"/>
        <w:ind w:left="0" w:right="0"/>
        <w:jc w:val="left"/>
        <w:textAlignment w:val="auto"/>
        <w:rPr>
          <w:sz w:val="24"/>
        </w:rPr>
      </w:pPr>
      <w:r>
        <w:rPr>
          <w:rFonts w:ascii="宋体" w:hAnsi="宋体" w:eastAsia="宋体" w:cs="宋体"/>
          <w:b w:val="0"/>
          <w:i w:val="0"/>
          <w:spacing w:val="0"/>
          <w:sz w:val="24"/>
        </w:rPr>
        <w:t>https://www.motherchildren.com/depart_lcllwyh_flow/2023/yb8nV3ev.html</w:t>
      </w:r>
    </w:p>
    <w:p w14:paraId="22470A73">
      <w:pPr>
        <w:pageBreakBefore w:val="0"/>
        <w:wordWrap/>
        <w:spacing w:before="160" w:after="0"/>
        <w:ind w:left="0" w:right="0"/>
        <w:jc w:val="left"/>
        <w:textAlignment w:val="auto"/>
        <w:rPr>
          <w:sz w:val="24"/>
        </w:rPr>
      </w:pPr>
      <w:r>
        <w:rPr>
          <w:rFonts w:ascii="宋体" w:hAnsi="宋体" w:eastAsia="宋体" w:cs="宋体"/>
          <w:b w:val="0"/>
          <w:i w:val="0"/>
          <w:spacing w:val="0"/>
          <w:sz w:val="24"/>
        </w:rPr>
        <w:t>[63]溶瘤病毒类药物临床试验设计指导原则-20240824.docx - 人人文库</w:t>
      </w:r>
    </w:p>
    <w:p w14:paraId="6BBDCA4E">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https://m.renrendoc.com/paper/344231947.html</w:t>
      </w:r>
    </w:p>
    <w:p w14:paraId="015059A0">
      <w:pPr>
        <w:pageBreakBefore w:val="0"/>
        <w:wordWrap/>
        <w:spacing w:before="160" w:after="0"/>
        <w:ind w:left="0" w:right="0"/>
        <w:jc w:val="left"/>
        <w:textAlignment w:val="auto"/>
        <w:rPr>
          <w:sz w:val="24"/>
        </w:rPr>
      </w:pPr>
      <w:r>
        <w:rPr>
          <w:rFonts w:ascii="宋体" w:hAnsi="宋体" w:eastAsia="宋体" w:cs="宋体"/>
          <w:b w:val="0"/>
          <w:i w:val="0"/>
          <w:spacing w:val="0"/>
          <w:sz w:val="24"/>
        </w:rPr>
        <w:t>[64]Analysis of the effects of immunotherapy depending on cancer subtypes on survival - a single center experience | Quality in Sport</w:t>
      </w:r>
    </w:p>
    <w:p w14:paraId="0365D2F3">
      <w:pPr>
        <w:pageBreakBefore w:val="0"/>
        <w:wordWrap/>
        <w:spacing w:before="160" w:after="0"/>
        <w:ind w:left="0" w:right="0"/>
        <w:jc w:val="left"/>
        <w:textAlignment w:val="auto"/>
        <w:rPr>
          <w:sz w:val="24"/>
        </w:rPr>
      </w:pPr>
      <w:r>
        <w:rPr>
          <w:rFonts w:ascii="宋体" w:hAnsi="宋体" w:eastAsia="宋体" w:cs="宋体"/>
          <w:b w:val="0"/>
          <w:i w:val="0"/>
          <w:spacing w:val="0"/>
          <w:sz w:val="24"/>
        </w:rPr>
        <w:t>https://apcz.umk.pl/QS/article/view/56084</w:t>
      </w:r>
    </w:p>
    <w:p w14:paraId="3E6C876C">
      <w:pPr>
        <w:pageBreakBefore w:val="0"/>
        <w:wordWrap/>
        <w:spacing w:before="160" w:after="0"/>
        <w:ind w:left="0" w:right="0"/>
        <w:jc w:val="left"/>
        <w:textAlignment w:val="auto"/>
        <w:rPr>
          <w:sz w:val="24"/>
        </w:rPr>
      </w:pPr>
      <w:r>
        <w:rPr>
          <w:rFonts w:ascii="宋体" w:hAnsi="宋体" w:eastAsia="宋体" w:cs="宋体"/>
          <w:b w:val="0"/>
          <w:i w:val="0"/>
          <w:spacing w:val="0"/>
          <w:sz w:val="24"/>
        </w:rPr>
        <w:t>[65]GCP-（申办方-机构办）一问一答-工作指引-广东药科大学附属第一医院(第一临床医学院)</w:t>
      </w:r>
    </w:p>
    <w:p w14:paraId="3047E592">
      <w:pPr>
        <w:pageBreakBefore w:val="0"/>
        <w:wordWrap/>
        <w:spacing w:before="160" w:after="0"/>
        <w:ind w:left="0" w:right="0"/>
        <w:jc w:val="left"/>
        <w:textAlignment w:val="auto"/>
        <w:rPr>
          <w:sz w:val="24"/>
        </w:rPr>
      </w:pPr>
      <w:r>
        <w:rPr>
          <w:rFonts w:ascii="宋体" w:hAnsi="宋体" w:eastAsia="宋体" w:cs="宋体"/>
          <w:b w:val="0"/>
          <w:i w:val="0"/>
          <w:spacing w:val="0"/>
          <w:sz w:val="24"/>
        </w:rPr>
        <w:t>https://gy120.net/yaowushow.asp?articleid=7719</w:t>
      </w:r>
    </w:p>
    <w:p w14:paraId="026A3B90">
      <w:pPr>
        <w:pageBreakBefore w:val="0"/>
        <w:wordWrap/>
        <w:spacing w:before="160" w:after="0"/>
        <w:ind w:left="0" w:right="0"/>
        <w:jc w:val="left"/>
        <w:textAlignment w:val="auto"/>
        <w:rPr>
          <w:sz w:val="24"/>
        </w:rPr>
      </w:pPr>
      <w:r>
        <w:rPr>
          <w:rFonts w:ascii="宋体" w:hAnsi="宋体" w:eastAsia="宋体" w:cs="宋体"/>
          <w:b w:val="0"/>
          <w:i w:val="0"/>
          <w:spacing w:val="0"/>
          <w:sz w:val="24"/>
        </w:rPr>
        <w:t>[66]泰格洞见 | 泰格医药</w:t>
      </w:r>
    </w:p>
    <w:p w14:paraId="3CC4BC1D">
      <w:pPr>
        <w:pageBreakBefore w:val="0"/>
        <w:wordWrap/>
        <w:spacing w:before="160" w:after="0"/>
        <w:ind w:left="0" w:right="0"/>
        <w:jc w:val="left"/>
        <w:textAlignment w:val="auto"/>
        <w:rPr>
          <w:sz w:val="24"/>
        </w:rPr>
      </w:pPr>
      <w:r>
        <w:rPr>
          <w:rFonts w:ascii="宋体" w:hAnsi="宋体" w:eastAsia="宋体" w:cs="宋体"/>
          <w:b w:val="0"/>
          <w:i w:val="0"/>
          <w:spacing w:val="0"/>
          <w:sz w:val="24"/>
        </w:rPr>
        <w:t>https://www.tigermedgrp.com/zh/media-resources/tigermed-insights/45</w:t>
      </w:r>
    </w:p>
    <w:p w14:paraId="550F0A9F">
      <w:pPr>
        <w:pageBreakBefore w:val="0"/>
        <w:wordWrap/>
        <w:spacing w:before="160" w:after="0"/>
        <w:ind w:left="0" w:right="0"/>
        <w:jc w:val="left"/>
        <w:textAlignment w:val="auto"/>
        <w:rPr>
          <w:sz w:val="24"/>
        </w:rPr>
      </w:pPr>
      <w:r>
        <w:rPr>
          <w:rFonts w:ascii="宋体" w:hAnsi="宋体" w:eastAsia="宋体" w:cs="宋体"/>
          <w:b w:val="0"/>
          <w:i w:val="0"/>
          <w:spacing w:val="0"/>
          <w:sz w:val="24"/>
        </w:rPr>
        <w:t>[67]Towards the Prediction of Responses to Cancer Immunotherapy: A Multi-Omics Review</w:t>
      </w:r>
    </w:p>
    <w:p w14:paraId="001348AB">
      <w:pPr>
        <w:pageBreakBefore w:val="0"/>
        <w:wordWrap/>
        <w:spacing w:before="160" w:after="0"/>
        <w:ind w:left="0" w:right="0"/>
        <w:jc w:val="left"/>
        <w:textAlignment w:val="auto"/>
        <w:rPr>
          <w:sz w:val="24"/>
        </w:rPr>
      </w:pPr>
      <w:r>
        <w:rPr>
          <w:rFonts w:ascii="宋体" w:hAnsi="宋体" w:eastAsia="宋体" w:cs="宋体"/>
          <w:b w:val="0"/>
          <w:i w:val="0"/>
          <w:spacing w:val="0"/>
          <w:sz w:val="24"/>
        </w:rPr>
        <w:t>https://www.mdpi.com/2075-1729/15/2/283</w:t>
      </w:r>
    </w:p>
    <w:p w14:paraId="240A49F8">
      <w:pPr>
        <w:pageBreakBefore w:val="0"/>
        <w:wordWrap/>
        <w:spacing w:before="160" w:after="0"/>
        <w:ind w:left="0" w:right="0"/>
        <w:jc w:val="left"/>
        <w:textAlignment w:val="auto"/>
        <w:rPr>
          <w:sz w:val="24"/>
        </w:rPr>
      </w:pPr>
      <w:r>
        <w:rPr>
          <w:rFonts w:ascii="宋体" w:hAnsi="宋体" w:eastAsia="宋体" w:cs="宋体"/>
          <w:b w:val="0"/>
          <w:i w:val="0"/>
          <w:spacing w:val="0"/>
          <w:sz w:val="24"/>
        </w:rPr>
        <w:t>[68]伦理审查申请指南</w:t>
      </w:r>
    </w:p>
    <w:p w14:paraId="4E5254BC">
      <w:pPr>
        <w:pageBreakBefore w:val="0"/>
        <w:wordWrap/>
        <w:spacing w:before="160" w:after="0"/>
        <w:ind w:left="0" w:right="0"/>
        <w:jc w:val="left"/>
        <w:textAlignment w:val="auto"/>
        <w:rPr>
          <w:sz w:val="24"/>
        </w:rPr>
      </w:pPr>
      <w:r>
        <w:rPr>
          <w:rFonts w:ascii="宋体" w:hAnsi="宋体" w:eastAsia="宋体" w:cs="宋体"/>
          <w:b w:val="0"/>
          <w:i w:val="0"/>
          <w:spacing w:val="0"/>
          <w:sz w:val="24"/>
        </w:rPr>
        <w:t>https://www.zmdszxyy.cn/web/front/news/detail.php?newsid=1987</w:t>
      </w:r>
    </w:p>
    <w:p w14:paraId="09B92C0F">
      <w:pPr>
        <w:pageBreakBefore w:val="0"/>
        <w:wordWrap/>
        <w:spacing w:before="160" w:after="0"/>
        <w:ind w:left="0" w:right="0"/>
        <w:jc w:val="left"/>
        <w:textAlignment w:val="auto"/>
        <w:rPr>
          <w:sz w:val="24"/>
        </w:rPr>
      </w:pPr>
      <w:r>
        <w:rPr>
          <w:rFonts w:ascii="宋体" w:hAnsi="宋体" w:eastAsia="宋体" w:cs="宋体"/>
          <w:b w:val="0"/>
          <w:i w:val="0"/>
          <w:spacing w:val="0"/>
          <w:sz w:val="24"/>
        </w:rPr>
        <w:t>[69]Types of Radiation Therapy Used for Head and Neck Cancers</w:t>
      </w:r>
    </w:p>
    <w:p w14:paraId="290C7058">
      <w:pPr>
        <w:pageBreakBefore w:val="0"/>
        <w:wordWrap/>
        <w:spacing w:before="160" w:after="0"/>
        <w:ind w:left="0" w:right="0"/>
        <w:jc w:val="left"/>
        <w:textAlignment w:val="auto"/>
        <w:rPr>
          <w:sz w:val="24"/>
        </w:rPr>
      </w:pPr>
      <w:r>
        <w:rPr>
          <w:rFonts w:ascii="宋体" w:hAnsi="宋体" w:eastAsia="宋体" w:cs="宋体"/>
          <w:b w:val="0"/>
          <w:i w:val="0"/>
          <w:spacing w:val="0"/>
          <w:sz w:val="24"/>
        </w:rPr>
        <w:t>https://aocancer.com/blog/types-of-radiation-therapy-used-for-head-and-neck-cancers</w:t>
      </w:r>
    </w:p>
    <w:p w14:paraId="1C1AD454">
      <w:pPr>
        <w:pageBreakBefore w:val="0"/>
        <w:wordWrap/>
        <w:spacing w:before="160" w:after="0"/>
        <w:ind w:left="0" w:right="0"/>
        <w:jc w:val="left"/>
        <w:textAlignment w:val="auto"/>
        <w:rPr>
          <w:sz w:val="24"/>
        </w:rPr>
      </w:pPr>
      <w:r>
        <w:rPr>
          <w:rFonts w:ascii="宋体" w:hAnsi="宋体" w:eastAsia="宋体" w:cs="宋体"/>
          <w:b w:val="0"/>
          <w:i w:val="0"/>
          <w:spacing w:val="0"/>
          <w:sz w:val="24"/>
        </w:rPr>
        <w:t>[70]Oncolytic Virus Teserpaturev Approved in Japan for Malignant Glioma | OncLive</w:t>
      </w:r>
    </w:p>
    <w:p w14:paraId="5A9F8EFB">
      <w:pPr>
        <w:pageBreakBefore w:val="0"/>
        <w:wordWrap/>
        <w:spacing w:before="160" w:after="0"/>
        <w:ind w:left="0" w:right="0"/>
        <w:jc w:val="left"/>
        <w:textAlignment w:val="auto"/>
        <w:rPr>
          <w:sz w:val="24"/>
        </w:rPr>
      </w:pPr>
      <w:r>
        <w:rPr>
          <w:rFonts w:ascii="宋体" w:hAnsi="宋体" w:eastAsia="宋体" w:cs="宋体"/>
          <w:b w:val="0"/>
          <w:i w:val="0"/>
          <w:spacing w:val="0"/>
          <w:sz w:val="24"/>
        </w:rPr>
        <w:t>https://www.onclive.com/view/oncolytic-virus-teserpaturev-approved-in-japan-for-malignant-glioma</w:t>
      </w:r>
    </w:p>
    <w:p w14:paraId="7DE8288F">
      <w:pPr>
        <w:pageBreakBefore w:val="0"/>
        <w:wordWrap/>
        <w:spacing w:before="160" w:after="0"/>
        <w:ind w:left="0" w:right="0"/>
        <w:jc w:val="left"/>
        <w:textAlignment w:val="auto"/>
        <w:rPr>
          <w:sz w:val="24"/>
        </w:rPr>
      </w:pPr>
      <w:r>
        <w:rPr>
          <w:rFonts w:ascii="宋体" w:hAnsi="宋体" w:eastAsia="宋体" w:cs="宋体"/>
          <w:b w:val="0"/>
          <w:i w:val="0"/>
          <w:spacing w:val="0"/>
          <w:sz w:val="24"/>
        </w:rPr>
        <w:t>[71]肿瘤免疫治疗患者知情同意书模板.docx - 人人文库</w:t>
      </w:r>
    </w:p>
    <w:p w14:paraId="0519305C">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https://m.renrendoc.com/paper/503275904.html</w:t>
      </w:r>
    </w:p>
    <w:p w14:paraId="216515F0">
      <w:pPr>
        <w:pageBreakBefore w:val="0"/>
        <w:wordWrap/>
        <w:spacing w:before="160" w:after="0"/>
        <w:ind w:left="0" w:right="0"/>
        <w:jc w:val="left"/>
        <w:textAlignment w:val="auto"/>
        <w:rPr>
          <w:sz w:val="24"/>
        </w:rPr>
      </w:pPr>
      <w:r>
        <w:rPr>
          <w:rFonts w:ascii="宋体" w:hAnsi="宋体" w:eastAsia="宋体" w:cs="宋体"/>
          <w:b w:val="0"/>
          <w:i w:val="0"/>
          <w:spacing w:val="0"/>
          <w:sz w:val="24"/>
        </w:rPr>
        <w:t>[72]Intensity-modulated Radiotherapy Versus Volumetric Modulated Arc Therapy in Head and Neck Cancers: A Comparative Analysis of Compliance, Toxicities and Dosimetric Parameters - PubMed</w:t>
      </w:r>
    </w:p>
    <w:p w14:paraId="68796396">
      <w:pPr>
        <w:pageBreakBefore w:val="0"/>
        <w:wordWrap/>
        <w:spacing w:before="160" w:after="0"/>
        <w:ind w:left="0" w:right="0"/>
        <w:jc w:val="left"/>
        <w:textAlignment w:val="auto"/>
        <w:rPr>
          <w:sz w:val="24"/>
        </w:rPr>
      </w:pPr>
      <w:r>
        <w:rPr>
          <w:rFonts w:ascii="宋体" w:hAnsi="宋体" w:eastAsia="宋体" w:cs="宋体"/>
          <w:b w:val="0"/>
          <w:i w:val="0"/>
          <w:spacing w:val="0"/>
          <w:sz w:val="24"/>
        </w:rPr>
        <w:t>https://pubmed.ncbi.nlm.nih.gov/40672034/</w:t>
      </w:r>
    </w:p>
    <w:p w14:paraId="6C615E17">
      <w:pPr>
        <w:pageBreakBefore w:val="0"/>
        <w:wordWrap/>
        <w:spacing w:before="160" w:after="0"/>
        <w:ind w:left="0" w:right="0"/>
        <w:jc w:val="left"/>
        <w:textAlignment w:val="auto"/>
        <w:rPr>
          <w:sz w:val="24"/>
        </w:rPr>
      </w:pPr>
      <w:r>
        <w:rPr>
          <w:rFonts w:ascii="宋体" w:hAnsi="宋体" w:eastAsia="宋体" w:cs="宋体"/>
          <w:b w:val="0"/>
          <w:i w:val="0"/>
          <w:spacing w:val="0"/>
          <w:sz w:val="24"/>
        </w:rPr>
        <w:t>[73]II期临床试验_百度百科</w:t>
      </w:r>
    </w:p>
    <w:p w14:paraId="3096B13D">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https://baike.baidu.com/item/II%E6%9C%9F%E4%B8%B4%E5%BA%8A%E7%A0%94%E7%A9%B6</w:t>
      </w:r>
    </w:p>
    <w:p w14:paraId="68597C25">
      <w:pPr>
        <w:pageBreakBefore w:val="0"/>
        <w:wordWrap/>
        <w:spacing w:before="160" w:after="0"/>
        <w:ind w:left="0" w:right="0"/>
        <w:jc w:val="left"/>
        <w:textAlignment w:val="auto"/>
        <w:rPr>
          <w:sz w:val="24"/>
        </w:rPr>
      </w:pPr>
      <w:r>
        <w:rPr>
          <w:rFonts w:ascii="宋体" w:hAnsi="宋体" w:eastAsia="宋体" w:cs="宋体"/>
          <w:b w:val="0"/>
          <w:i w:val="0"/>
          <w:spacing w:val="0"/>
          <w:sz w:val="24"/>
        </w:rPr>
        <w:t>[74]Front Immunol丨南京师范大学郭志刚团队开发新型通用型CAR-T疗法突破实体瘤治疗瓶颈</w:t>
      </w:r>
    </w:p>
    <w:p w14:paraId="7A29BF84">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https://mp.weixin.qq.com/s?__biz=Mzg2NTg4NTg0OQ==&amp;idx=3&amp;mid=2247521546&amp;sn=4597a7211a8b04cdeba25445786d4805</w:t>
      </w:r>
    </w:p>
    <w:p w14:paraId="42EB2EAD">
      <w:pPr>
        <w:pageBreakBefore w:val="0"/>
        <w:wordWrap/>
        <w:spacing w:before="160" w:after="0"/>
        <w:ind w:left="0" w:right="0"/>
        <w:jc w:val="left"/>
        <w:textAlignment w:val="auto"/>
        <w:rPr>
          <w:sz w:val="24"/>
        </w:rPr>
      </w:pPr>
      <w:r>
        <w:rPr>
          <w:rFonts w:ascii="宋体" w:hAnsi="宋体" w:eastAsia="宋体" w:cs="宋体"/>
          <w:b w:val="0"/>
          <w:i w:val="0"/>
          <w:spacing w:val="0"/>
          <w:sz w:val="24"/>
        </w:rPr>
        <w:t>[75]【一文读懂】2025CACA指南</w:t>
      </w:r>
    </w:p>
    <w:p w14:paraId="7ADAA547">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https://mp.weixin.qq.com/s?__biz=MjM5OTgxNzQ0NA==&amp;idx=2&amp;mid=2257506246&amp;sn=1ad0a815c231f8cd89b57ec2ab6f077c</w:t>
      </w:r>
    </w:p>
    <w:p w14:paraId="4F50EE79">
      <w:pPr>
        <w:pageBreakBefore w:val="0"/>
        <w:wordWrap/>
        <w:spacing w:before="160" w:after="0"/>
        <w:ind w:left="0" w:right="0"/>
        <w:jc w:val="left"/>
        <w:textAlignment w:val="auto"/>
        <w:rPr>
          <w:sz w:val="24"/>
        </w:rPr>
      </w:pPr>
      <w:r>
        <w:rPr>
          <w:rFonts w:ascii="宋体" w:hAnsi="宋体" w:eastAsia="宋体" w:cs="宋体"/>
          <w:b w:val="0"/>
          <w:i w:val="0"/>
          <w:spacing w:val="0"/>
          <w:sz w:val="24"/>
        </w:rPr>
        <w:t>[76]【新药研究笔记】Ⅱ期临床试验的指标的数据管理与统计分析</w:t>
      </w:r>
    </w:p>
    <w:p w14:paraId="461DE8CC">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https://mp.weixin.qq.com/s?__biz=MzIxNzExNjc3MA==&amp;idx=1&amp;mid=2649405067&amp;sn=b90ea23dcaf1c04cac1f189d6b2fe07e</w:t>
      </w:r>
    </w:p>
    <w:p w14:paraId="18959D71">
      <w:pPr>
        <w:pageBreakBefore w:val="0"/>
        <w:wordWrap/>
        <w:spacing w:before="160" w:after="0"/>
        <w:ind w:left="0" w:right="0"/>
        <w:jc w:val="left"/>
        <w:textAlignment w:val="auto"/>
        <w:rPr>
          <w:sz w:val="24"/>
        </w:rPr>
      </w:pPr>
      <w:r>
        <w:rPr>
          <w:rFonts w:ascii="宋体" w:hAnsi="宋体" w:eastAsia="宋体" w:cs="宋体"/>
          <w:b w:val="0"/>
          <w:i w:val="0"/>
          <w:spacing w:val="0"/>
          <w:sz w:val="24"/>
        </w:rPr>
        <w:t>[77]资讯动态_南京师范大学</w:t>
      </w:r>
    </w:p>
    <w:p w14:paraId="1B25B4A4">
      <w:pPr>
        <w:pageBreakBefore w:val="0"/>
        <w:wordWrap/>
        <w:spacing w:before="160" w:after="0"/>
        <w:ind w:left="0" w:right="0"/>
        <w:jc w:val="left"/>
        <w:textAlignment w:val="auto"/>
        <w:rPr>
          <w:sz w:val="24"/>
        </w:rPr>
      </w:pPr>
      <w:r>
        <w:rPr>
          <w:rFonts w:ascii="宋体" w:hAnsi="宋体" w:eastAsia="宋体" w:cs="宋体"/>
          <w:b w:val="0"/>
          <w:i w:val="0"/>
          <w:spacing w:val="0"/>
          <w:sz w:val="24"/>
        </w:rPr>
        <w:t>https://heec.cahe.edu.cn/school/science-news/25314.html</w:t>
      </w:r>
    </w:p>
    <w:p w14:paraId="27C1D4F9">
      <w:pPr>
        <w:pageBreakBefore w:val="0"/>
        <w:wordWrap/>
        <w:spacing w:before="160" w:after="0"/>
        <w:ind w:left="0" w:right="0"/>
        <w:jc w:val="left"/>
        <w:textAlignment w:val="auto"/>
        <w:rPr>
          <w:sz w:val="24"/>
        </w:rPr>
      </w:pPr>
      <w:r>
        <w:rPr>
          <w:rFonts w:ascii="宋体" w:hAnsi="宋体" w:eastAsia="宋体" w:cs="宋体"/>
          <w:b w:val="0"/>
          <w:i w:val="0"/>
          <w:spacing w:val="0"/>
          <w:sz w:val="24"/>
        </w:rPr>
        <w:t>[78]涉及人的生物医学研究伦理审查办法_百度百科</w:t>
      </w:r>
    </w:p>
    <w:p w14:paraId="6509F486">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https://baike.baidu.com/item/%E6%B6%89%E5%8F%8A%E4%BA%BA%E7%9A%84%E7%94%9F%E7%89%A9%E5%8C%BB%E5%AD%A6%E7%A0%94%E7%A9%B6%E4%BC%A6%E7%90%86%E5%AE%A1%E6%9F%A5%E5%8A%9E%E6%B3%95/9166612</w:t>
      </w:r>
    </w:p>
    <w:p w14:paraId="4026B882">
      <w:pPr>
        <w:pageBreakBefore w:val="0"/>
        <w:wordWrap/>
        <w:spacing w:before="160" w:after="0"/>
        <w:ind w:left="0" w:right="0"/>
        <w:jc w:val="left"/>
        <w:textAlignment w:val="auto"/>
        <w:rPr>
          <w:sz w:val="24"/>
        </w:rPr>
      </w:pPr>
      <w:r>
        <w:rPr>
          <w:rFonts w:ascii="宋体" w:hAnsi="宋体" w:eastAsia="宋体" w:cs="宋体"/>
          <w:b w:val="0"/>
          <w:i w:val="0"/>
          <w:spacing w:val="0"/>
          <w:sz w:val="24"/>
        </w:rPr>
        <w:t>[79]合作伙伴：ViraTherapeutics | Boehringer Ingelheim CN</w:t>
      </w:r>
    </w:p>
    <w:p w14:paraId="73582266">
      <w:pPr>
        <w:pageBreakBefore w:val="0"/>
        <w:wordWrap/>
        <w:spacing w:before="160" w:after="0"/>
        <w:ind w:left="0" w:right="0"/>
        <w:jc w:val="left"/>
        <w:textAlignment w:val="auto"/>
        <w:rPr>
          <w:sz w:val="24"/>
        </w:rPr>
      </w:pPr>
      <w:r>
        <w:rPr>
          <w:rFonts w:ascii="宋体" w:hAnsi="宋体" w:eastAsia="宋体" w:cs="宋体"/>
          <w:b w:val="0"/>
          <w:i w:val="0"/>
          <w:spacing w:val="0"/>
          <w:sz w:val="24"/>
        </w:rPr>
        <w:t>https://www.boehringer-ingelheim.cn/partnering/renleijiankanghezuo/hezuohuobanguandian/hezuohuobanviratherapeutics</w:t>
      </w:r>
    </w:p>
    <w:p w14:paraId="41B1F3EF">
      <w:pPr>
        <w:pageBreakBefore w:val="0"/>
        <w:wordWrap/>
        <w:spacing w:before="160" w:after="0"/>
        <w:ind w:left="0" w:right="0"/>
        <w:jc w:val="left"/>
        <w:textAlignment w:val="auto"/>
        <w:rPr>
          <w:sz w:val="24"/>
        </w:rPr>
      </w:pPr>
      <w:r>
        <w:rPr>
          <w:rFonts w:ascii="宋体" w:hAnsi="宋体" w:eastAsia="宋体" w:cs="宋体"/>
          <w:b w:val="0"/>
          <w:i w:val="0"/>
          <w:spacing w:val="0"/>
          <w:sz w:val="24"/>
        </w:rPr>
        <w:t>[80]Investigator's Role in Clinical Trials</w:t>
      </w:r>
    </w:p>
    <w:p w14:paraId="11E9CD24">
      <w:pPr>
        <w:pageBreakBefore w:val="0"/>
        <w:wordWrap/>
        <w:spacing w:before="160" w:after="0"/>
        <w:ind w:left="0" w:right="0"/>
        <w:jc w:val="left"/>
        <w:textAlignment w:val="auto"/>
        <w:rPr>
          <w:sz w:val="24"/>
        </w:rPr>
      </w:pPr>
      <w:r>
        <w:rPr>
          <w:rFonts w:ascii="宋体" w:hAnsi="宋体" w:eastAsia="宋体" w:cs="宋体"/>
          <w:b w:val="0"/>
          <w:i w:val="0"/>
          <w:spacing w:val="0"/>
          <w:sz w:val="24"/>
        </w:rPr>
        <w:t>https://www.numberanalytics.com/blog/investigator-role-in-clinical-trials</w:t>
      </w:r>
    </w:p>
    <w:p w14:paraId="1FFCD3B9">
      <w:pPr>
        <w:pageBreakBefore w:val="0"/>
        <w:wordWrap/>
        <w:spacing w:before="160" w:after="0"/>
        <w:ind w:left="0" w:right="0"/>
        <w:jc w:val="left"/>
        <w:textAlignment w:val="auto"/>
        <w:rPr>
          <w:sz w:val="24"/>
        </w:rPr>
      </w:pPr>
      <w:r>
        <w:rPr>
          <w:rFonts w:ascii="宋体" w:hAnsi="宋体" w:eastAsia="宋体" w:cs="宋体"/>
          <w:b w:val="0"/>
          <w:i w:val="0"/>
          <w:spacing w:val="0"/>
          <w:sz w:val="24"/>
        </w:rPr>
        <w:t>[81]上海市卫生健康委员会 江苏省卫生健康委员会 浙江省卫生健康委员会 安徽省卫生健康委员会关于印发《长三角地区医疗机构多中心临床研究伦理协作审查共识》的通知</w:t>
      </w:r>
    </w:p>
    <w:p w14:paraId="7AE3FE1B">
      <w:pPr>
        <w:pageBreakBefore w:val="0"/>
        <w:wordWrap/>
        <w:spacing w:before="160" w:after="0"/>
        <w:ind w:left="0" w:right="0"/>
        <w:jc w:val="left"/>
        <w:textAlignment w:val="auto"/>
        <w:rPr>
          <w:sz w:val="24"/>
        </w:rPr>
      </w:pPr>
      <w:r>
        <w:rPr>
          <w:rFonts w:ascii="宋体" w:hAnsi="宋体" w:eastAsia="宋体" w:cs="宋体"/>
          <w:b w:val="0"/>
          <w:i w:val="0"/>
          <w:spacing w:val="0"/>
          <w:sz w:val="24"/>
        </w:rPr>
        <w:t>https://www.shanghai.gov.cn/gwk/search/content/611ab0225c754bd3bac5f3fabcff2483</w:t>
      </w:r>
    </w:p>
    <w:p w14:paraId="20C9BE4A">
      <w:pPr>
        <w:pageBreakBefore w:val="0"/>
        <w:wordWrap/>
        <w:spacing w:before="160" w:after="0"/>
        <w:ind w:left="0" w:right="0"/>
        <w:jc w:val="left"/>
        <w:textAlignment w:val="auto"/>
        <w:rPr>
          <w:sz w:val="24"/>
        </w:rPr>
      </w:pPr>
      <w:r>
        <w:rPr>
          <w:rFonts w:ascii="宋体" w:hAnsi="宋体" w:eastAsia="宋体" w:cs="宋体"/>
          <w:b w:val="0"/>
          <w:i w:val="0"/>
          <w:spacing w:val="0"/>
          <w:sz w:val="24"/>
        </w:rPr>
        <w:t>[82]研究背景：</w:t>
      </w:r>
    </w:p>
    <w:p w14:paraId="699468A5">
      <w:pPr>
        <w:pageBreakBefore w:val="0"/>
        <w:wordWrap/>
        <w:spacing w:before="160" w:after="0"/>
        <w:ind w:left="0" w:right="0"/>
        <w:jc w:val="left"/>
        <w:textAlignment w:val="auto"/>
        <w:rPr>
          <w:sz w:val="24"/>
        </w:rPr>
      </w:pPr>
      <w:r>
        <w:rPr>
          <w:rFonts w:ascii="宋体" w:hAnsi="宋体" w:eastAsia="宋体" w:cs="宋体"/>
          <w:b w:val="0"/>
          <w:i w:val="0"/>
          <w:spacing w:val="0"/>
          <w:sz w:val="24"/>
        </w:rPr>
        <w:t>黑色素瘤...</w:t>
      </w:r>
    </w:p>
    <w:p w14:paraId="1920E710">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https://mp.weixin.qq.com/s?__biz=MzI1Nzc1MzA5MQ==&amp;idx=2&amp;mid=2247519478&amp;sn=c9a174aa5b080a4f12bd3aafcb19aaab</w:t>
      </w:r>
    </w:p>
    <w:p w14:paraId="522C6FF7">
      <w:pPr>
        <w:pageBreakBefore w:val="0"/>
        <w:wordWrap/>
        <w:spacing w:before="160" w:after="0"/>
        <w:ind w:left="0" w:right="0"/>
        <w:jc w:val="left"/>
        <w:textAlignment w:val="auto"/>
        <w:rPr>
          <w:sz w:val="24"/>
        </w:rPr>
      </w:pPr>
      <w:r>
        <w:rPr>
          <w:rFonts w:ascii="宋体" w:hAnsi="宋体" w:eastAsia="宋体" w:cs="宋体"/>
          <w:b w:val="0"/>
          <w:i w:val="0"/>
          <w:spacing w:val="0"/>
          <w:sz w:val="24"/>
        </w:rPr>
        <w:t>[83]Ten Key Elements for Successful Operational Conduct of Oncology Clinical Trials</w:t>
      </w:r>
    </w:p>
    <w:p w14:paraId="5F6F20D8">
      <w:pPr>
        <w:pageBreakBefore w:val="0"/>
        <w:wordWrap/>
        <w:spacing w:before="160" w:after="0"/>
        <w:ind w:left="0" w:right="0"/>
        <w:jc w:val="left"/>
        <w:textAlignment w:val="auto"/>
        <w:rPr>
          <w:sz w:val="24"/>
        </w:rPr>
      </w:pPr>
      <w:r>
        <w:rPr>
          <w:rFonts w:ascii="宋体" w:hAnsi="宋体" w:eastAsia="宋体" w:cs="宋体"/>
          <w:b w:val="0"/>
          <w:i w:val="0"/>
          <w:spacing w:val="0"/>
          <w:sz w:val="24"/>
        </w:rPr>
        <w:t>https://www.linical.com/articles-research/ten-key-elements-for-successful-operational-conduct-of-oncology-clinical-trials</w:t>
      </w:r>
    </w:p>
    <w:p w14:paraId="6150AF15">
      <w:pPr>
        <w:pageBreakBefore w:val="0"/>
        <w:wordWrap/>
        <w:spacing w:before="160" w:after="0"/>
        <w:ind w:left="0" w:right="0"/>
        <w:jc w:val="left"/>
        <w:textAlignment w:val="auto"/>
        <w:rPr>
          <w:sz w:val="24"/>
        </w:rPr>
      </w:pPr>
      <w:r>
        <w:rPr>
          <w:rFonts w:ascii="宋体" w:hAnsi="宋体" w:eastAsia="宋体" w:cs="宋体"/>
          <w:b w:val="0"/>
          <w:i w:val="0"/>
          <w:spacing w:val="0"/>
          <w:sz w:val="24"/>
        </w:rPr>
        <w:t>[84]广州市第一人民医院伦理委员会伦理审查申请指南（2025年第二版）-广州市第一人民医院官方网站www.gzhosp.cn|预约挂号|医疗咨询|国家临床重点专科|优势专科|著名专家首页</w:t>
      </w:r>
    </w:p>
    <w:p w14:paraId="5878E2F1">
      <w:pPr>
        <w:pageBreakBefore w:val="0"/>
        <w:wordWrap/>
        <w:spacing w:before="160" w:after="0"/>
        <w:ind w:left="0" w:right="0"/>
        <w:jc w:val="left"/>
        <w:textAlignment w:val="auto"/>
        <w:rPr>
          <w:sz w:val="24"/>
        </w:rPr>
      </w:pPr>
      <w:r>
        <w:rPr>
          <w:rFonts w:ascii="宋体" w:hAnsi="宋体" w:eastAsia="宋体" w:cs="宋体"/>
          <w:b w:val="0"/>
          <w:i w:val="0"/>
          <w:spacing w:val="0"/>
          <w:sz w:val="24"/>
        </w:rPr>
        <w:t>https://www.gzhosp.cn/info/1564/90371.htm</w:t>
      </w:r>
    </w:p>
    <w:p w14:paraId="112884F8">
      <w:pPr>
        <w:pageBreakBefore w:val="0"/>
        <w:wordWrap/>
        <w:spacing w:before="160" w:after="0"/>
        <w:ind w:left="0" w:right="0"/>
        <w:jc w:val="left"/>
        <w:textAlignment w:val="auto"/>
        <w:rPr>
          <w:sz w:val="24"/>
        </w:rPr>
      </w:pPr>
      <w:r>
        <w:rPr>
          <w:rFonts w:ascii="宋体" w:hAnsi="宋体" w:eastAsia="宋体" w:cs="宋体"/>
          <w:b w:val="0"/>
          <w:i w:val="0"/>
          <w:spacing w:val="0"/>
          <w:sz w:val="24"/>
        </w:rPr>
        <w:t>[85]「免费临床」实体瘤或者淋巴瘤患者临床项目：疱疹溶瘤病毒_治疗_药物_抗体</w:t>
      </w:r>
    </w:p>
    <w:p w14:paraId="44175CE3">
      <w:pPr>
        <w:pageBreakBefore w:val="0"/>
        <w:wordWrap/>
        <w:spacing w:before="160" w:after="0"/>
        <w:ind w:left="0" w:right="0"/>
        <w:jc w:val="left"/>
        <w:textAlignment w:val="auto"/>
        <w:rPr>
          <w:sz w:val="24"/>
        </w:rPr>
      </w:pPr>
      <w:r>
        <w:rPr>
          <w:rFonts w:ascii="宋体" w:hAnsi="宋体" w:eastAsia="宋体" w:cs="宋体"/>
          <w:b w:val="0"/>
          <w:i w:val="0"/>
          <w:spacing w:val="0"/>
          <w:sz w:val="24"/>
        </w:rPr>
        <w:t>http://news.sohu.com/a/559983601_100199817</w:t>
      </w:r>
    </w:p>
    <w:p w14:paraId="614DED52">
      <w:pPr>
        <w:pageBreakBefore w:val="0"/>
        <w:wordWrap/>
        <w:spacing w:before="160" w:after="0"/>
        <w:ind w:left="0" w:right="0"/>
        <w:jc w:val="left"/>
        <w:textAlignment w:val="auto"/>
        <w:rPr>
          <w:sz w:val="24"/>
        </w:rPr>
      </w:pPr>
      <w:r>
        <w:rPr>
          <w:rFonts w:ascii="宋体" w:hAnsi="宋体" w:eastAsia="宋体" w:cs="宋体"/>
          <w:b w:val="0"/>
          <w:i w:val="0"/>
          <w:spacing w:val="0"/>
          <w:sz w:val="24"/>
        </w:rPr>
        <w:t>[86]抗肿瘤药物临床试验团队职责.docx - 人人文库</w:t>
      </w:r>
    </w:p>
    <w:p w14:paraId="0FA54739">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https://m.renrendoc.com/paper/393816847.html</w:t>
      </w:r>
    </w:p>
    <w:p w14:paraId="3BDB0EAC">
      <w:pPr>
        <w:pageBreakBefore w:val="0"/>
        <w:wordWrap/>
        <w:spacing w:before="160" w:after="0"/>
        <w:ind w:left="0" w:right="0"/>
        <w:jc w:val="left"/>
        <w:textAlignment w:val="auto"/>
        <w:rPr>
          <w:sz w:val="24"/>
        </w:rPr>
      </w:pPr>
      <w:r>
        <w:rPr>
          <w:rFonts w:ascii="宋体" w:hAnsi="宋体" w:eastAsia="宋体" w:cs="宋体"/>
          <w:b w:val="0"/>
          <w:i w:val="0"/>
          <w:spacing w:val="0"/>
          <w:sz w:val="24"/>
        </w:rPr>
        <w:t>[87]【招募】晚期实体瘤受试者招募</w:t>
      </w:r>
    </w:p>
    <w:p w14:paraId="186D61AB">
      <w:pPr>
        <w:pageBreakBefore w:val="0"/>
        <w:wordWrap/>
        <w:spacing w:before="160" w:after="0"/>
        <w:ind w:left="0" w:right="0"/>
        <w:jc w:val="left"/>
        <w:textAlignment w:val="auto"/>
        <w:rPr>
          <w:sz w:val="24"/>
        </w:rPr>
      </w:pPr>
      <w:r>
        <w:rPr>
          <w:rFonts w:ascii="宋体" w:hAnsi="宋体" w:eastAsia="宋体" w:cs="宋体"/>
          <w:b w:val="0"/>
          <w:i w:val="0"/>
          <w:spacing w:val="0"/>
          <w:sz w:val="24"/>
        </w:rPr>
        <w:t>https://mp.weixin.qq.com/s?__biz=MzA5ODEwNTk1NA==&amp;idx=5&amp;mid=2650959051&amp;sn=bb630caa465dacec653bc3346bca2515</w:t>
      </w:r>
    </w:p>
    <w:p w14:paraId="2317703C">
      <w:pPr>
        <w:jc w:val="left"/>
      </w:pPr>
      <w:r>
        <w:t>(AI生成)</w:t>
      </w:r>
    </w:p>
    <w:sectPr>
      <w:headerReference r:id="rId3" w:type="default"/>
      <w:footerReference r:id="rId4" w:type="default"/>
      <w:pgSz w:w="1190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4000EFF" w:usb1="4200247B" w:usb2="00000001" w:usb3="00000000" w:csb0="200001BF" w:csb1="00000000"/>
  </w:font>
  <w:font w:name="等线">
    <w:panose1 w:val="02010600030101010101"/>
    <w:charset w:val="86"/>
    <w:family w:val="auto"/>
    <w:pitch w:val="default"/>
    <w:sig w:usb0="A00002BF" w:usb1="38CF7CFA"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6DE5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1754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B8C5A"/>
    <w:multiLevelType w:val="multilevel"/>
    <w:tmpl w:val="9F5B8C5A"/>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1">
    <w:nsid w:val="9FF3DFD8"/>
    <w:multiLevelType w:val="multilevel"/>
    <w:tmpl w:val="9FF3DFD8"/>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2">
    <w:nsid w:val="A56F0BC7"/>
    <w:multiLevelType w:val="multilevel"/>
    <w:tmpl w:val="A56F0BC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
    <w:nsid w:val="A99C4D29"/>
    <w:multiLevelType w:val="multilevel"/>
    <w:tmpl w:val="A99C4D2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
    <w:nsid w:val="AD98FBE5"/>
    <w:multiLevelType w:val="multilevel"/>
    <w:tmpl w:val="AD98FBE5"/>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
    <w:nsid w:val="ADBA3656"/>
    <w:multiLevelType w:val="multilevel"/>
    <w:tmpl w:val="ADBA3656"/>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
    <w:nsid w:val="BBBFB7C7"/>
    <w:multiLevelType w:val="multilevel"/>
    <w:tmpl w:val="BBBFB7C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7">
    <w:nsid w:val="BDDE9FC7"/>
    <w:multiLevelType w:val="multilevel"/>
    <w:tmpl w:val="BDDE9FC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8">
    <w:nsid w:val="C3DE934F"/>
    <w:multiLevelType w:val="multilevel"/>
    <w:tmpl w:val="C3DE934F"/>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9">
    <w:nsid w:val="D2BF1722"/>
    <w:multiLevelType w:val="multilevel"/>
    <w:tmpl w:val="D2BF1722"/>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0">
    <w:nsid w:val="D2ED0596"/>
    <w:multiLevelType w:val="multilevel"/>
    <w:tmpl w:val="D2ED0596"/>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1">
    <w:nsid w:val="D64D1FB2"/>
    <w:multiLevelType w:val="multilevel"/>
    <w:tmpl w:val="D64D1FB2"/>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2">
    <w:nsid w:val="DB6E4B67"/>
    <w:multiLevelType w:val="multilevel"/>
    <w:tmpl w:val="DB6E4B6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3">
    <w:nsid w:val="DDACDF63"/>
    <w:multiLevelType w:val="multilevel"/>
    <w:tmpl w:val="DDACDF63"/>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4">
    <w:nsid w:val="DDF7B907"/>
    <w:multiLevelType w:val="multilevel"/>
    <w:tmpl w:val="DDF7B90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5">
    <w:nsid w:val="DEFEDE64"/>
    <w:multiLevelType w:val="multilevel"/>
    <w:tmpl w:val="DEFEDE64"/>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6">
    <w:nsid w:val="DFFB71A0"/>
    <w:multiLevelType w:val="multilevel"/>
    <w:tmpl w:val="DFFB71A0"/>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7">
    <w:nsid w:val="E5DE5E0D"/>
    <w:multiLevelType w:val="multilevel"/>
    <w:tmpl w:val="E5DE5E0D"/>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8">
    <w:nsid w:val="E6FA51C4"/>
    <w:multiLevelType w:val="multilevel"/>
    <w:tmpl w:val="E6FA51C4"/>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19">
    <w:nsid w:val="EACFFF89"/>
    <w:multiLevelType w:val="multilevel"/>
    <w:tmpl w:val="EACFFF8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0">
    <w:nsid w:val="ED66295F"/>
    <w:multiLevelType w:val="multilevel"/>
    <w:tmpl w:val="ED66295F"/>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1">
    <w:nsid w:val="EDBE62A0"/>
    <w:multiLevelType w:val="multilevel"/>
    <w:tmpl w:val="EDBE62A0"/>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2">
    <w:nsid w:val="EDFBB93C"/>
    <w:multiLevelType w:val="multilevel"/>
    <w:tmpl w:val="EDFBB93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3">
    <w:nsid w:val="EF6E184C"/>
    <w:multiLevelType w:val="multilevel"/>
    <w:tmpl w:val="EF6E184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4">
    <w:nsid w:val="EFEEE754"/>
    <w:multiLevelType w:val="multilevel"/>
    <w:tmpl w:val="EFEEE754"/>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5">
    <w:nsid w:val="F0FB0CBC"/>
    <w:multiLevelType w:val="multilevel"/>
    <w:tmpl w:val="F0FB0CB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6">
    <w:nsid w:val="F3EFE76F"/>
    <w:multiLevelType w:val="multilevel"/>
    <w:tmpl w:val="F3EFE76F"/>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7">
    <w:nsid w:val="F57E83B7"/>
    <w:multiLevelType w:val="multilevel"/>
    <w:tmpl w:val="F57E83B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8">
    <w:nsid w:val="F65F5742"/>
    <w:multiLevelType w:val="multilevel"/>
    <w:tmpl w:val="F65F5742"/>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29">
    <w:nsid w:val="F76E9B8E"/>
    <w:multiLevelType w:val="multilevel"/>
    <w:tmpl w:val="F76E9B8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0">
    <w:nsid w:val="F7FB1846"/>
    <w:multiLevelType w:val="multilevel"/>
    <w:tmpl w:val="F7FB1846"/>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1">
    <w:nsid w:val="F7FFF099"/>
    <w:multiLevelType w:val="multilevel"/>
    <w:tmpl w:val="F7FFF09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2">
    <w:nsid w:val="F9CC4BDB"/>
    <w:multiLevelType w:val="multilevel"/>
    <w:tmpl w:val="F9CC4BDB"/>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3">
    <w:nsid w:val="FABE9186"/>
    <w:multiLevelType w:val="multilevel"/>
    <w:tmpl w:val="FABE9186"/>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4">
    <w:nsid w:val="FB385D1C"/>
    <w:multiLevelType w:val="multilevel"/>
    <w:tmpl w:val="FB385D1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5">
    <w:nsid w:val="FBA6E485"/>
    <w:multiLevelType w:val="multilevel"/>
    <w:tmpl w:val="FBA6E485"/>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6">
    <w:nsid w:val="FBBFCAC1"/>
    <w:multiLevelType w:val="multilevel"/>
    <w:tmpl w:val="FBBFCAC1"/>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7">
    <w:nsid w:val="FBD50ED7"/>
    <w:multiLevelType w:val="multilevel"/>
    <w:tmpl w:val="FBD50ED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8">
    <w:nsid w:val="FBFC486E"/>
    <w:multiLevelType w:val="multilevel"/>
    <w:tmpl w:val="FBFC486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39">
    <w:nsid w:val="FBFE9100"/>
    <w:multiLevelType w:val="multilevel"/>
    <w:tmpl w:val="FBFE9100"/>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40">
    <w:nsid w:val="FC3B5A79"/>
    <w:multiLevelType w:val="multilevel"/>
    <w:tmpl w:val="FC3B5A79"/>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41">
    <w:nsid w:val="FD5C8F3F"/>
    <w:multiLevelType w:val="multilevel"/>
    <w:tmpl w:val="FD5C8F3F"/>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2">
    <w:nsid w:val="FDCFBBB9"/>
    <w:multiLevelType w:val="multilevel"/>
    <w:tmpl w:val="FDCFBBB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3">
    <w:nsid w:val="FEE61F8D"/>
    <w:multiLevelType w:val="multilevel"/>
    <w:tmpl w:val="FEE61F8D"/>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4">
    <w:nsid w:val="FEE66E16"/>
    <w:multiLevelType w:val="multilevel"/>
    <w:tmpl w:val="FEE66E16"/>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5">
    <w:nsid w:val="FEFED489"/>
    <w:multiLevelType w:val="multilevel"/>
    <w:tmpl w:val="FEFED48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6">
    <w:nsid w:val="FF0D17A3"/>
    <w:multiLevelType w:val="multilevel"/>
    <w:tmpl w:val="FF0D17A3"/>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7">
    <w:nsid w:val="FF7A83D8"/>
    <w:multiLevelType w:val="multilevel"/>
    <w:tmpl w:val="FF7A83D8"/>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8">
    <w:nsid w:val="FF7F70EA"/>
    <w:multiLevelType w:val="multilevel"/>
    <w:tmpl w:val="FF7F70EA"/>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49">
    <w:nsid w:val="FF980A7C"/>
    <w:multiLevelType w:val="multilevel"/>
    <w:tmpl w:val="FF980A7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0">
    <w:nsid w:val="FF983BF7"/>
    <w:multiLevelType w:val="multilevel"/>
    <w:tmpl w:val="FF983BF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1">
    <w:nsid w:val="FFB3DA8D"/>
    <w:multiLevelType w:val="multilevel"/>
    <w:tmpl w:val="FFB3DA8D"/>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52">
    <w:nsid w:val="FFE77E08"/>
    <w:multiLevelType w:val="multilevel"/>
    <w:tmpl w:val="FFE77E08"/>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3">
    <w:nsid w:val="FFF2C0AD"/>
    <w:multiLevelType w:val="multilevel"/>
    <w:tmpl w:val="FFF2C0AD"/>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4">
    <w:nsid w:val="17A2C94E"/>
    <w:multiLevelType w:val="multilevel"/>
    <w:tmpl w:val="17A2C94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5">
    <w:nsid w:val="2BE4627C"/>
    <w:multiLevelType w:val="multilevel"/>
    <w:tmpl w:val="2BE4627C"/>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6">
    <w:nsid w:val="34FF27DF"/>
    <w:multiLevelType w:val="multilevel"/>
    <w:tmpl w:val="34FF27DF"/>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57">
    <w:nsid w:val="4FDE2DF0"/>
    <w:multiLevelType w:val="multilevel"/>
    <w:tmpl w:val="4FDE2DF0"/>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8">
    <w:nsid w:val="55E6EEDB"/>
    <w:multiLevelType w:val="multilevel"/>
    <w:tmpl w:val="55E6EEDB"/>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59">
    <w:nsid w:val="5DE2480E"/>
    <w:multiLevelType w:val="multilevel"/>
    <w:tmpl w:val="5DE2480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0">
    <w:nsid w:val="5DFCC385"/>
    <w:multiLevelType w:val="multilevel"/>
    <w:tmpl w:val="5DFCC385"/>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1">
    <w:nsid w:val="5FF59D77"/>
    <w:multiLevelType w:val="multilevel"/>
    <w:tmpl w:val="5FF59D77"/>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2">
    <w:nsid w:val="6FB477B2"/>
    <w:multiLevelType w:val="multilevel"/>
    <w:tmpl w:val="6FB477B2"/>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3">
    <w:nsid w:val="6FE6030E"/>
    <w:multiLevelType w:val="multilevel"/>
    <w:tmpl w:val="6FE6030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4">
    <w:nsid w:val="71FEA18F"/>
    <w:multiLevelType w:val="multilevel"/>
    <w:tmpl w:val="71FEA18F"/>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5">
    <w:nsid w:val="757F572E"/>
    <w:multiLevelType w:val="multilevel"/>
    <w:tmpl w:val="757F572E"/>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66">
    <w:nsid w:val="7A6E73DE"/>
    <w:multiLevelType w:val="multilevel"/>
    <w:tmpl w:val="7A6E73DE"/>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7">
    <w:nsid w:val="7B7ED5AE"/>
    <w:multiLevelType w:val="multilevel"/>
    <w:tmpl w:val="7B7ED5AE"/>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68">
    <w:nsid w:val="7D7C7569"/>
    <w:multiLevelType w:val="multilevel"/>
    <w:tmpl w:val="7D7C756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69">
    <w:nsid w:val="7DBFAA41"/>
    <w:multiLevelType w:val="multilevel"/>
    <w:tmpl w:val="7DBFAA41"/>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70">
    <w:nsid w:val="7EB50FE5"/>
    <w:multiLevelType w:val="multilevel"/>
    <w:tmpl w:val="7EB50FE5"/>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71">
    <w:nsid w:val="7F0E1240"/>
    <w:multiLevelType w:val="multilevel"/>
    <w:tmpl w:val="7F0E1240"/>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72">
    <w:nsid w:val="7FD57519"/>
    <w:multiLevelType w:val="multilevel"/>
    <w:tmpl w:val="7FD57519"/>
    <w:lvl w:ilvl="0" w:tentative="0">
      <w:start w:val="1"/>
      <w:numFmt w:val="bullet"/>
      <w:lvlText w:val="•"/>
      <w:lvlJc w:val="left"/>
      <w:pPr>
        <w:ind w:left="440" w:hanging="440"/>
      </w:pPr>
      <w:rPr>
        <w:rFonts w:hint="default" w:ascii="Arial Unicode MS" w:hAnsi="Arial Unicode MS"/>
      </w:rPr>
    </w:lvl>
    <w:lvl w:ilvl="1" w:tentative="0">
      <w:start w:val="1"/>
      <w:numFmt w:val="bullet"/>
      <w:lvlText w:val="◦"/>
      <w:lvlJc w:val="left"/>
      <w:pPr>
        <w:ind w:left="880" w:hanging="440"/>
      </w:pPr>
      <w:rPr>
        <w:rFonts w:hint="default" w:ascii="Arial Unicode MS" w:hAnsi="Arial Unicode MS"/>
      </w:rPr>
    </w:lvl>
    <w:lvl w:ilvl="2" w:tentative="0">
      <w:start w:val="1"/>
      <w:numFmt w:val="bullet"/>
      <w:lvlText w:val="▪"/>
      <w:lvlJc w:val="left"/>
      <w:pPr>
        <w:ind w:left="1320" w:hanging="440"/>
      </w:pPr>
      <w:rPr>
        <w:rFonts w:hint="default" w:ascii="Arial Unicode MS" w:hAnsi="Arial Unicode MS"/>
      </w:rPr>
    </w:lvl>
    <w:lvl w:ilvl="3" w:tentative="0">
      <w:start w:val="1"/>
      <w:numFmt w:val="bullet"/>
      <w:lvlText w:val="•"/>
      <w:lvlJc w:val="left"/>
      <w:pPr>
        <w:ind w:left="1760" w:hanging="440"/>
      </w:pPr>
      <w:rPr>
        <w:rFonts w:hint="default" w:ascii="Arial Unicode MS" w:hAnsi="Arial Unicode MS"/>
      </w:rPr>
    </w:lvl>
    <w:lvl w:ilvl="4" w:tentative="0">
      <w:start w:val="1"/>
      <w:numFmt w:val="bullet"/>
      <w:lvlText w:val="◦"/>
      <w:lvlJc w:val="left"/>
      <w:pPr>
        <w:ind w:left="2200" w:hanging="440"/>
      </w:pPr>
      <w:rPr>
        <w:rFonts w:hint="default" w:ascii="Arial Unicode MS" w:hAnsi="Arial Unicode MS"/>
      </w:rPr>
    </w:lvl>
    <w:lvl w:ilvl="5" w:tentative="0">
      <w:start w:val="1"/>
      <w:numFmt w:val="bullet"/>
      <w:lvlText w:val="▪"/>
      <w:lvlJc w:val="left"/>
      <w:pPr>
        <w:ind w:left="2640" w:hanging="440"/>
      </w:pPr>
      <w:rPr>
        <w:rFonts w:hint="default" w:ascii="Arial Unicode MS" w:hAnsi="Arial Unicode MS"/>
      </w:rPr>
    </w:lvl>
    <w:lvl w:ilvl="6" w:tentative="0">
      <w:start w:val="1"/>
      <w:numFmt w:val="bullet"/>
      <w:lvlText w:val="•"/>
      <w:lvlJc w:val="left"/>
      <w:pPr>
        <w:ind w:left="3080" w:hanging="440"/>
      </w:pPr>
      <w:rPr>
        <w:rFonts w:hint="default" w:ascii="Arial Unicode MS" w:hAnsi="Arial Unicode MS"/>
      </w:rPr>
    </w:lvl>
    <w:lvl w:ilvl="7" w:tentative="0">
      <w:start w:val="1"/>
      <w:numFmt w:val="bullet"/>
      <w:lvlText w:val="◦"/>
      <w:lvlJc w:val="left"/>
      <w:pPr>
        <w:ind w:left="3520" w:hanging="440"/>
      </w:pPr>
      <w:rPr>
        <w:rFonts w:hint="default" w:ascii="Arial Unicode MS" w:hAnsi="Arial Unicode MS"/>
      </w:rPr>
    </w:lvl>
    <w:lvl w:ilvl="8" w:tentative="0">
      <w:start w:val="1"/>
      <w:numFmt w:val="bullet"/>
      <w:lvlText w:val="▪"/>
      <w:lvlJc w:val="left"/>
      <w:pPr>
        <w:ind w:left="3960" w:hanging="440"/>
      </w:pPr>
      <w:rPr>
        <w:rFonts w:hint="default" w:ascii="Arial Unicode MS" w:hAnsi="Arial Unicode MS"/>
      </w:rPr>
    </w:lvl>
  </w:abstractNum>
  <w:abstractNum w:abstractNumId="73">
    <w:nsid w:val="7FEE0F92"/>
    <w:multiLevelType w:val="multilevel"/>
    <w:tmpl w:val="7FEE0F92"/>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num w:numId="1">
    <w:abstractNumId w:val="48"/>
  </w:num>
  <w:num w:numId="2">
    <w:abstractNumId w:val="9"/>
  </w:num>
  <w:num w:numId="3">
    <w:abstractNumId w:val="71"/>
  </w:num>
  <w:num w:numId="4">
    <w:abstractNumId w:val="42"/>
  </w:num>
  <w:num w:numId="5">
    <w:abstractNumId w:val="52"/>
  </w:num>
  <w:num w:numId="6">
    <w:abstractNumId w:val="28"/>
  </w:num>
  <w:num w:numId="7">
    <w:abstractNumId w:val="8"/>
  </w:num>
  <w:num w:numId="8">
    <w:abstractNumId w:val="65"/>
  </w:num>
  <w:num w:numId="9">
    <w:abstractNumId w:val="45"/>
  </w:num>
  <w:num w:numId="10">
    <w:abstractNumId w:val="17"/>
  </w:num>
  <w:num w:numId="11">
    <w:abstractNumId w:val="33"/>
  </w:num>
  <w:num w:numId="12">
    <w:abstractNumId w:val="72"/>
  </w:num>
  <w:num w:numId="13">
    <w:abstractNumId w:val="1"/>
  </w:num>
  <w:num w:numId="14">
    <w:abstractNumId w:val="41"/>
  </w:num>
  <w:num w:numId="15">
    <w:abstractNumId w:val="27"/>
  </w:num>
  <w:num w:numId="16">
    <w:abstractNumId w:val="55"/>
  </w:num>
  <w:num w:numId="17">
    <w:abstractNumId w:val="70"/>
  </w:num>
  <w:num w:numId="18">
    <w:abstractNumId w:val="54"/>
  </w:num>
  <w:num w:numId="19">
    <w:abstractNumId w:val="25"/>
  </w:num>
  <w:num w:numId="20">
    <w:abstractNumId w:val="39"/>
  </w:num>
  <w:num w:numId="21">
    <w:abstractNumId w:val="38"/>
  </w:num>
  <w:num w:numId="22">
    <w:abstractNumId w:val="19"/>
  </w:num>
  <w:num w:numId="23">
    <w:abstractNumId w:val="67"/>
  </w:num>
  <w:num w:numId="24">
    <w:abstractNumId w:val="53"/>
  </w:num>
  <w:num w:numId="25">
    <w:abstractNumId w:val="46"/>
  </w:num>
  <w:num w:numId="26">
    <w:abstractNumId w:val="56"/>
  </w:num>
  <w:num w:numId="27">
    <w:abstractNumId w:val="24"/>
  </w:num>
  <w:num w:numId="28">
    <w:abstractNumId w:val="30"/>
  </w:num>
  <w:num w:numId="29">
    <w:abstractNumId w:val="50"/>
  </w:num>
  <w:num w:numId="30">
    <w:abstractNumId w:val="59"/>
  </w:num>
  <w:num w:numId="31">
    <w:abstractNumId w:val="66"/>
  </w:num>
  <w:num w:numId="32">
    <w:abstractNumId w:val="23"/>
  </w:num>
  <w:num w:numId="33">
    <w:abstractNumId w:val="5"/>
  </w:num>
  <w:num w:numId="34">
    <w:abstractNumId w:val="0"/>
  </w:num>
  <w:num w:numId="35">
    <w:abstractNumId w:val="6"/>
  </w:num>
  <w:num w:numId="36">
    <w:abstractNumId w:val="34"/>
  </w:num>
  <w:num w:numId="37">
    <w:abstractNumId w:val="10"/>
  </w:num>
  <w:num w:numId="38">
    <w:abstractNumId w:val="31"/>
  </w:num>
  <w:num w:numId="39">
    <w:abstractNumId w:val="62"/>
  </w:num>
  <w:num w:numId="40">
    <w:abstractNumId w:val="29"/>
  </w:num>
  <w:num w:numId="41">
    <w:abstractNumId w:val="2"/>
  </w:num>
  <w:num w:numId="42">
    <w:abstractNumId w:val="61"/>
  </w:num>
  <w:num w:numId="43">
    <w:abstractNumId w:val="7"/>
  </w:num>
  <w:num w:numId="44">
    <w:abstractNumId w:val="37"/>
  </w:num>
  <w:num w:numId="45">
    <w:abstractNumId w:val="20"/>
  </w:num>
  <w:num w:numId="46">
    <w:abstractNumId w:val="26"/>
  </w:num>
  <w:num w:numId="47">
    <w:abstractNumId w:val="32"/>
  </w:num>
  <w:num w:numId="48">
    <w:abstractNumId w:val="11"/>
  </w:num>
  <w:num w:numId="49">
    <w:abstractNumId w:val="36"/>
  </w:num>
  <w:num w:numId="50">
    <w:abstractNumId w:val="43"/>
  </w:num>
  <w:num w:numId="51">
    <w:abstractNumId w:val="21"/>
  </w:num>
  <w:num w:numId="52">
    <w:abstractNumId w:val="3"/>
  </w:num>
  <w:num w:numId="53">
    <w:abstractNumId w:val="49"/>
  </w:num>
  <w:num w:numId="54">
    <w:abstractNumId w:val="15"/>
  </w:num>
  <w:num w:numId="55">
    <w:abstractNumId w:val="63"/>
  </w:num>
  <w:num w:numId="56">
    <w:abstractNumId w:val="44"/>
  </w:num>
  <w:num w:numId="57">
    <w:abstractNumId w:val="22"/>
  </w:num>
  <w:num w:numId="58">
    <w:abstractNumId w:val="12"/>
  </w:num>
  <w:num w:numId="59">
    <w:abstractNumId w:val="64"/>
  </w:num>
  <w:num w:numId="60">
    <w:abstractNumId w:val="47"/>
  </w:num>
  <w:num w:numId="61">
    <w:abstractNumId w:val="16"/>
  </w:num>
  <w:num w:numId="62">
    <w:abstractNumId w:val="4"/>
  </w:num>
  <w:num w:numId="63">
    <w:abstractNumId w:val="51"/>
  </w:num>
  <w:num w:numId="64">
    <w:abstractNumId w:val="69"/>
  </w:num>
  <w:num w:numId="65">
    <w:abstractNumId w:val="18"/>
  </w:num>
  <w:num w:numId="66">
    <w:abstractNumId w:val="60"/>
  </w:num>
  <w:num w:numId="67">
    <w:abstractNumId w:val="73"/>
  </w:num>
  <w:num w:numId="68">
    <w:abstractNumId w:val="57"/>
  </w:num>
  <w:num w:numId="69">
    <w:abstractNumId w:val="14"/>
  </w:num>
  <w:num w:numId="70">
    <w:abstractNumId w:val="13"/>
  </w:num>
  <w:num w:numId="71">
    <w:abstractNumId w:val="68"/>
  </w:num>
  <w:num w:numId="72">
    <w:abstractNumId w:val="58"/>
  </w:num>
  <w:num w:numId="73">
    <w:abstractNumId w:val="35"/>
  </w:num>
  <w:num w:numId="7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compat>
    <w:ulTrailSpace/>
    <w:useFELayout/>
    <w:compatSetting w:name="compatibilityMode" w:uri="http://schemas.microsoft.com/office/word" w:val="15"/>
  </w:compat>
  <w:rsids>
    <w:rsidRoot w:val="00000000"/>
    <w:rsid w:val="417B242A"/>
    <w:rsid w:val="5D7FB480"/>
    <w:rsid w:val="7FED61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TotalTime>13</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2026-03-16T19:30:00Z</dcterms:created>
  <dc:creator>Apache POI</dc:creator>
  <cp:lastModifiedBy>Nondirectional</cp:lastModifiedBy>
  <dcterms:modified xsi:type="dcterms:W3CDTF">2026-04-02T09:28:56Z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VEDjwz2+1bIg0vrHLz9cgI+E2VPkQuSAUaK+Jr57/yA=","ProduceID":"doc_sgs:ca1d8568-b655-47d3-9071-8f08fffd054f","ReservedCode2":"VEDjwz2+1bIg0vrHLz9cgI+E2VPkQuSAUaK+Jr57/yA=","PropagateID":"doc_sgs:ca1d8568-b655-47d3-9071-8f08fffd054f","ContentProducer":"001191440101MA9Y9T4H7A00000"}</vt:lpwstr>
  </property>
  <property fmtid="{D5CDD505-2E9C-101B-9397-08002B2CF9AE}" pid="3" name="KSOProductBuildVer">
    <vt:lpwstr>2052-12.1.24709.24709</vt:lpwstr>
  </property>
  <property fmtid="{D5CDD505-2E9C-101B-9397-08002B2CF9AE}" pid="4" name="ICV">
    <vt:lpwstr>772151B6CA7F1729C679B769581E0795_43</vt:lpwstr>
  </property>
</Properties>
</file>