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stylesWithEffects.xml" ContentType="application/vnd.ms-word.stylesWithEffect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Title"/>
      </w:pPr>
      <w:r>
        <w:t>Il ruolo dell’animatore nel centro estivo</w:t>
      </w:r>
    </w:p>
    <w:p>
      <w:pPr>
        <w:pStyle w:val="Heading1"/>
      </w:pPr>
      <w:r>
        <w:t>Introduzione</w:t>
      </w:r>
    </w:p>
    <w:p>
      <w:r>
        <w:t>Il centro estivo rappresenta un contesto educativo informale in cui i bambini e i ragazzi hanno l’opportunità di vivere esperienze di socializzazione, gioco e apprendimento al di fuori dei tradizionali ambienti scolastici. In questo quadro, la figura dell’animatore assume un ruolo centrale: egli non è soltanto un organizzatore di attività ludiche, ma anche un punto di riferimento educativo e relazionale.</w:t>
      </w:r>
      <w:r>
        <w:br/>
      </w:r>
      <w:r>
        <w:t>L’obiettivo di questa relazione è riflettere sulla gestione educativa della voce, analizzando il valore di un approccio non urlato e fondato sulla relazione. Un episodio personale, in cui ho ceduto alla tentazione di alzare la voce, sarà il punto di partenza per un’analisi pedagogica più ampia.</w:t>
      </w:r>
    </w:p>
    <w:p>
      <w:pPr>
        <w:pStyle w:val="Heading1"/>
      </w:pPr>
      <w:r>
        <w:t>1. Il centro estivo come comunità educativa</w:t>
      </w:r>
    </w:p>
    <w:p>
      <w:r>
        <w:t>Il centro estivo non è solo un luogo di svago, ma una vera e propria comunità educativa. Qui si intrecciano dinamiche di gruppo, momenti di crescita personale e occasioni di sperimentazione. Secondo la prospettiva socio-costruttivista di Vygotskij (1934), l’apprendimento nasce all’interno delle relazioni e dei contesti sociali: in questo senso, il centro estivo offre uno spazio privilegiato per l’acquisizione di competenze trasversali come la cooperazione, il rispetto delle regole e la gestione delle emozioni.</w:t>
      </w:r>
    </w:p>
    <w:p>
      <w:pPr>
        <w:pStyle w:val="Heading1"/>
      </w:pPr>
      <w:r>
        <w:t>2. L’animatore: tra guida e facilitatore</w:t>
      </w:r>
    </w:p>
    <w:p>
      <w:r>
        <w:t>Il ruolo dell’animatore si colloca in una posizione intermedia tra la figura dell’educatore e quella del compagno di gioco. Egli deve incarnare al tempo stesso fermezza e vicinanza. Rogers (1980) evidenzia l’importanza della relazione educativa basata su empatia, accettazione incondizionata e autenticità: l’animatore che sa porsi in questo modo diventa facilitatore di esperienze significative e guida riconosciuta.</w:t>
      </w:r>
    </w:p>
    <w:p>
      <w:pPr>
        <w:pStyle w:val="Heading1"/>
      </w:pPr>
      <w:r>
        <w:t>3. La voce come strumento educativo</w:t>
      </w:r>
    </w:p>
    <w:p>
      <w:r>
        <w:t>La voce rappresenta uno degli strumenti più potenti a disposizione dell’animatore. Tuttavia, l’uso improprio del volume, attraverso l’urlo, genera un effetto contrario a quello desiderato: i bambini rispondono con obbedienza momentanea, ma si rompe il clima di fiducia. Montessori (1909) sottolineava che l’educatore deve essere presenza discreta, capace di guidare senza imporre. L’urlo, al contrario, rischia di trasformarsi in imposizione autoritaria più che in autorevolezza educativa.</w:t>
      </w:r>
    </w:p>
    <w:p>
      <w:pPr>
        <w:pStyle w:val="Heading1"/>
      </w:pPr>
      <w:r>
        <w:t>4. Caso personale: l’esperienza dell’urlo</w:t>
      </w:r>
    </w:p>
    <w:p>
      <w:r>
        <w:t>Durante un’attività particolarmente caotica, mi è capitato di alzare la voce per ottenere silenzio. L’effetto immediato è stato quello di ristabilire l’ordine, ma al prezzo di un clima irrigidito: i bambini mi hanno ascoltato per paura, non per reale attenzione. Questa esperienza si è rivelata formativa, poiché mi ha spinto a cercare strategie alternative per ottenere ascolto e collaborazione, riconoscendo i limiti dell’approccio autoritario.</w:t>
      </w:r>
    </w:p>
    <w:p>
      <w:pPr>
        <w:pStyle w:val="Heading1"/>
      </w:pPr>
      <w:r>
        <w:t>5. Strategie alternative all’urlo</w:t>
      </w:r>
    </w:p>
    <w:p>
      <w:r>
        <w:t>L’esperienza pedagogica suggerisce diversi strumenti efficaci per gestire il gruppo senza ricorrere al volume della voce:</w:t>
      </w:r>
      <w:r>
        <w:br/>
      </w:r>
      <w:r>
        <w:t>- Segnali non verbali, come gesti convenuti o canzoncine, che catturano l’attenzione senza bisogno di rumore.</w:t>
      </w:r>
      <w:r>
        <w:br/>
      </w:r>
      <w:r>
        <w:t>- Trasformare le regole in gioco, secondo un approccio ludico coerente con la pedagogia montessoriana.</w:t>
      </w:r>
      <w:r>
        <w:br/>
      </w:r>
      <w:r>
        <w:t>- Ricorso al silenzio strategico: abbassare il tono induce spesso maggiore concentrazione.</w:t>
      </w:r>
      <w:r>
        <w:br/>
      </w:r>
      <w:r>
        <w:t>- Dialogo e mediazione dei conflitti, in linea con la pedagogia della relazione di Freire (1970).</w:t>
      </w:r>
      <w:r>
        <w:br/>
      </w:r>
      <w:r>
        <w:t>Queste tecniche non solo evitano l’uso dell’urlo, ma rafforzano la coesione del gruppo e la percezione positiva dell’animatore.</w:t>
      </w:r>
    </w:p>
    <w:p>
      <w:pPr>
        <w:pStyle w:val="Heading1"/>
      </w:pPr>
      <w:r>
        <w:t>6. L’animatore come costruttore di comunità</w:t>
      </w:r>
    </w:p>
    <w:p>
      <w:r>
        <w:t>Essere animatore significa innanzitutto costruire comunità. Il gruppo non è una somma di individui, ma un organismo collettivo che va guidato con coerenza e rispetto. L’animatore funge da modello: la sua calma, la sua capacità di gestire le emozioni, il suo modo di parlare diventano esempio vivo per i bambini. In questo senso, il miglior insegnamento è quello incarnato nelle azioni quotidiane.</w:t>
      </w:r>
    </w:p>
    <w:p>
      <w:pPr>
        <w:pStyle w:val="Heading1"/>
      </w:pPr>
      <w:r>
        <w:t>Conclusione</w:t>
      </w:r>
    </w:p>
    <w:p>
      <w:r>
        <w:t>L’errore di aver urlato in una situazione difficile ha rappresentato un’occasione di crescita personale e professionale. Essere un buon animatore non significa imporsi con la voce, ma conquistare ascolto attraverso la relazione, la creatività e la coerenza educativa. L’approccio pedagogico ci ricorda che ogni gesto, ogni parola e ogni tono di voce contribuiscono a formare un clima di fiducia e di rispetto reciproco.</w:t>
      </w:r>
      <w:r>
        <w:br/>
      </w:r>
      <w:r>
        <w:t>Il centro estivo, come comunità educativa, diventa così un laboratorio di crescita non solo per i bambini, ma anche per gli animatori stessi, chiamati a riflettere continuamente sul proprio stile comunicativo ed educativo.</w:t>
      </w:r>
    </w:p>
    <w:p>
      <w:pPr>
        <w:pStyle w:val="Heading1"/>
      </w:pPr>
      <w:r>
        <w:t>Bibliografia</w:t>
      </w:r>
    </w:p>
    <w:p>
      <w:r>
        <w:t>Freire, P. (1970). Pedagogia degli oppressi.</w:t>
      </w:r>
      <w:r>
        <w:br/>
      </w:r>
      <w:r>
        <w:t>Montessori, M. (1909). Il metodo della pedagogia scientifica applicato all’educazione infantile.</w:t>
      </w:r>
      <w:r>
        <w:br/>
      </w:r>
      <w:r>
        <w:t>Piaget, J. (1945). La formazione del simbolo nel bambino.</w:t>
      </w:r>
      <w:r>
        <w:br/>
      </w:r>
      <w:r>
        <w:t>Rogers, C. (1980). Un modo di essere.</w:t>
      </w:r>
      <w:r>
        <w:br/>
      </w:r>
      <w:r>
        <w:t>Vygotskij, L. (1934). Pensiero e linguaggio.</w:t>
      </w:r>
    </w:p>
    <w:sectPr w:rsidR="00FC693F" w:rsidRPr="0006063C" w:rsidSect="00034616">
      <w:docGrid w:linePitch="360"/>
      <w:pgSz w:w="12240" w:h="15840"/>
      <w:pgMar w:left="1800" w:right="180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FFFFFF7C"/>
    <w:tmpl w:val="C310EC42"/>
    <w:lvl w:ilvl="0">
      <w:numFmt w:val="decimal"/>
      <w:lvlText w:val="%1."/>
      <w:start w:val="1"/>
      <w:pPr>
        <w:ind w:left="1800"/>
        <w:ind w:hanging="360"/>
        <w:tabs>
          <w:tab w:val="num" w:pos="1800"/>
        </w:tabs>
      </w:pPr>
      <w:lvlJc w:val="left"/>
    </w:lvl>
  </w:abstractNum>
  <w:abstractNum w:abstractNumId="1">
    <w:multiLevelType w:val="singleLevel"/>
    <w:nsid w:val="FFFFFF7D"/>
    <w:tmpl w:val="E4089024"/>
    <w:lvl w:ilvl="0">
      <w:numFmt w:val="decimal"/>
      <w:lvlText w:val="%1."/>
      <w:start w:val="1"/>
      <w:pPr>
        <w:ind w:left="1440"/>
        <w:ind w:hanging="360"/>
        <w:tabs>
          <w:tab w:val="num" w:pos="1440"/>
        </w:tabs>
      </w:pPr>
      <w:lvlJc w:val="left"/>
    </w:lvl>
  </w:abstractNum>
  <w:abstractNum w:abstractNumId="2">
    <w:multiLevelType w:val="singleLevel"/>
    <w:nsid w:val="FFFFFF7E"/>
    <w:tmpl w:val="FB12693A"/>
    <w:lvl w:ilvl="0">
      <w:numFmt w:val="decimal"/>
      <w:lvlText w:val="%1."/>
      <w:start w:val="1"/>
      <w:pPr>
        <w:ind w:left="1080"/>
        <w:ind w:hanging="360"/>
        <w:tabs>
          <w:tab w:val="num" w:pos="1080"/>
        </w:tabs>
      </w:pPr>
      <w:pStyle w:val="ListNumber3"/>
      <w:lvlJc w:val="left"/>
    </w:lvl>
  </w:abstractNum>
  <w:abstractNum w:abstractNumId="3">
    <w:multiLevelType w:val="singleLevel"/>
    <w:nsid w:val="FFFFFF7F"/>
    <w:tmpl w:val="38441652"/>
    <w:lvl w:ilvl="0">
      <w:numFmt w:val="decimal"/>
      <w:lvlText w:val="%1."/>
      <w:start w:val="1"/>
      <w:pPr>
        <w:ind w:left="720"/>
        <w:ind w:hanging="360"/>
        <w:tabs>
          <w:tab w:val="num" w:pos="720"/>
        </w:tabs>
      </w:pPr>
      <w:pStyle w:val="ListNumber2"/>
      <w:lvlJc w:val="left"/>
    </w:lvl>
  </w:abstractNum>
  <w:abstractNum w:abstractNumId="4">
    <w:multiLevelType w:val="singleLevel"/>
    <w:nsid w:val="FFFFFF81"/>
    <w:tmpl w:val="171AC3A4"/>
    <w:lvl w:ilvl="0">
      <w:numFmt w:val="bullet"/>
      <w:lvlText w:val=""/>
      <w:start w:val="1"/>
      <w:rPr>
        <w:rFonts w:ascii="Symbol" w:hAnsi="Symbol" w:hint="default"/>
      </w:rPr>
      <w:pPr>
        <w:ind w:left="1440"/>
        <w:ind w:hanging="360"/>
        <w:tabs>
          <w:tab w:val="num" w:pos="1440"/>
        </w:tabs>
      </w:pPr>
      <w:lvlJc w:val="left"/>
    </w:lvl>
  </w:abstractNum>
  <w:abstractNum w:abstractNumId="5">
    <w:multiLevelType w:val="singleLevel"/>
    <w:nsid w:val="FFFFFF82"/>
    <w:tmpl w:val="F3EAFDEC"/>
    <w:lvl w:ilvl="0">
      <w:numFmt w:val="bullet"/>
      <w:lvlText w:val=""/>
      <w:start w:val="1"/>
      <w:rPr>
        <w:rFonts w:ascii="Symbol" w:hAnsi="Symbol" w:hint="default"/>
      </w:rPr>
      <w:pPr>
        <w:ind w:left="1080"/>
        <w:ind w:hanging="360"/>
        <w:tabs>
          <w:tab w:val="num" w:pos="1080"/>
        </w:tabs>
      </w:pPr>
      <w:pStyle w:val="ListBullet3"/>
      <w:lvlJc w:val="left"/>
    </w:lvl>
  </w:abstractNum>
  <w:abstractNum w:abstractNumId="6">
    <w:multiLevelType w:val="singleLevel"/>
    <w:nsid w:val="FFFFFF83"/>
    <w:tmpl w:val="3D1EFFD4"/>
    <w:lvl w:ilvl="0">
      <w:numFmt w:val="bullet"/>
      <w:lvlText w:val=""/>
      <w:start w:val="1"/>
      <w:rPr>
        <w:rFonts w:ascii="Symbol" w:hAnsi="Symbol" w:hint="default"/>
      </w:rPr>
      <w:pPr>
        <w:ind w:left="720"/>
        <w:ind w:hanging="360"/>
        <w:tabs>
          <w:tab w:val="num" w:pos="720"/>
        </w:tabs>
      </w:pPr>
      <w:pStyle w:val="ListBullet2"/>
      <w:lvlJc w:val="left"/>
    </w:lvl>
  </w:abstractNum>
  <w:abstractNum w:abstractNumId="7">
    <w:multiLevelType w:val="singleLevel"/>
    <w:nsid w:val="FFFFFF88"/>
    <w:tmpl w:val="D0A62B40"/>
    <w:lvl w:ilvl="0">
      <w:numFmt w:val="decimal"/>
      <w:lvlText w:val="%1."/>
      <w:start w:val="1"/>
      <w:pPr>
        <w:ind w:left="360"/>
        <w:ind w:hanging="360"/>
        <w:tabs>
          <w:tab w:val="num" w:pos="360"/>
        </w:tabs>
      </w:pPr>
      <w:pStyle w:val="ListNumber"/>
      <w:lvlJc w:val="left"/>
    </w:lvl>
  </w:abstractNum>
  <w:abstractNum w:abstractNumId="8">
    <w:multiLevelType w:val="singleLevel"/>
    <w:nsid w:val="FFFFFF89"/>
    <w:tmpl w:val="29761A62"/>
    <w:lvl w:ilvl="0">
      <w:numFmt w:val="bullet"/>
      <w:lvlText w:val=""/>
      <w:start w:val="1"/>
      <w:rPr>
        <w:rFonts w:ascii="Symbol" w:hAnsi="Symbol" w:hint="default"/>
      </w:rPr>
      <w:pPr>
        <w:ind w:left="360"/>
        <w:ind w:hanging="360"/>
        <w:tabs>
          <w:tab w:val="num" w:pos="360"/>
        </w:tabs>
      </w:pPr>
      <w:pStyle w:val="ListBullet"/>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rsids>
    <w:rsidRoot val="00B47730"/>
    <w:rsid val="00034616"/>
    <w:rsid val="0006063C"/>
    <w:rsid val="0015074B"/>
    <w:rsid val="0029639D"/>
    <w:rsid val="00326F90"/>
    <w:rsid val="00AA1D8D"/>
    <w:rsid val="00B47730"/>
    <w:rsid val="00CB0664"/>
    <w:rsid val="00FC693F"/>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