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/>
      </w:pPr>
      <w:r>
        <w:rPr>
          <w:rFonts w:ascii="Noto Sans CJK SC" w:hAnsi="Noto Sans CJK SC" w:eastAsia="Noto Sans CJK SC" w:cs="Noto Sans CJK SC"/>
          <w:b/>
          <w:color w:val="213547"/>
          <w:sz w:val="50"/>
        </w:rPr>
        <w:t>AMI_Benchmark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 w:cs="Noto Sans CJK SC"/>
          <w:b w:val="0"/>
          <w:color w:val="24586A"/>
          <w:sz w:val="28"/>
        </w:rPr>
        <w:t xml:space="preserve">智能体记忆评测与五轮抽样分析报告</w:t>
      </w:r>
    </w:p>
    <w:p>
      <w:pPr>
        <w:keepNext w:val="0"/>
        <w:spacing w:after="200" w:before="0"/>
      </w:pPr>
      <w:r>
        <w:rPr>
          <w:rFonts w:ascii="Noto Sans CJK SC" w:hAnsi="Noto Sans CJK SC" w:eastAsia="Noto Sans CJK SC" w:cs="Noto Sans CJK SC"/>
          <w:b w:val="0"/>
          <w:color w:val="5E6C77"/>
          <w:sz w:val="18"/>
        </w:rPr>
        <w:t xml:space="preserve">原 99 题版本：2026-10-14  ·  五轮抽样与报告更新：2026-10-15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 xml:space="preserve">第 1–5 节说明原 99 题、19 个历史实例的评测设计，涵盖 6 个数据集与 LightMem、LightMem+MemMA、Mem0、ActiveMemoryIndex（AMI）四种接入方法。第 6 节补充五轮“先抽历史、再抽关联题目”的随机抽样流程与数量结果，第 7 节说明小类标签的来源及映射边界。五轮抽样不包含模型推理、记忆构建或方法得分；真实 API 评测已按用户要求停止，旧运行结果保留。</w:t>
      </w:r>
    </w:p>
    <w:p>
      <w:pPr>
        <w:pStyle w:val="Heading1"/>
      </w:pPr>
      <w:r>
        <w:t>1  数据范围与抽样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表 1  冻结数据与输入规模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55" w:type="dxa"/>
          <w:bottom w:w="55" w:type="dxa"/>
          <w:left w:w="70" w:type="dxa"/>
          <w:right w:w="70" w:type="dxa"/>
        </w:tblCellMar>
      </w:tblPr>
      <w:tblGrid>
        <w:gridCol w:w="1729"/>
        <w:gridCol w:w="595"/>
        <w:gridCol w:w="595"/>
        <w:gridCol w:w="1446"/>
        <w:gridCol w:w="5499"/>
      </w:tblGrid>
      <w:tr>
        <w:trPr>
          <w:tblHeader/>
          <w:cantSplit/>
        </w:trPr>
        <w:tc>
          <w:tcPr>
            <w:tcW w:type="dxa" w:w="1729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595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历史</w:t>
            </w:r>
          </w:p>
        </w:tc>
        <w:tc>
          <w:tcPr>
            <w:tcW w:type="dxa" w:w="595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题数</w:t>
            </w:r>
          </w:p>
        </w:tc>
        <w:tc>
          <w:tcPr>
            <w:tcW w:type="dxa" w:w="1446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历史正文 token</w:t>
            </w:r>
          </w:p>
        </w:tc>
        <w:tc>
          <w:tcPr>
            <w:tcW w:type="dxa" w:w="5499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保留单位与题型覆盖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LoCoMo-Refined</w:t>
            </w:r>
          </w:p>
        </w:tc>
        <w:tc>
          <w:tcPr>
            <w:tcW w:type="dxa" w:w="595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595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40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22,236</w:t>
            </w:r>
          </w:p>
        </w:tc>
        <w:tc>
          <w:tcPr>
            <w:tcW w:type="dxa" w:w="549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完整 conversation：conv-26、conv-30；4 类题型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LongMemEval-S</w:t>
            </w:r>
          </w:p>
        </w:tc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7</w:t>
            </w:r>
          </w:p>
        </w:tc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7</w:t>
            </w:r>
          </w:p>
        </w:tc>
        <w:tc>
          <w:tcPr>
            <w:tcW w:type="dxa" w:w="1446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696,052</w:t>
            </w:r>
          </w:p>
        </w:tc>
        <w:tc>
          <w:tcPr>
            <w:tcW w:type="dxa" w:w="549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每题独立的完整 haystack；7 个原生分层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CLBench</w:t>
            </w:r>
          </w:p>
        </w:tc>
        <w:tc>
          <w:tcPr>
            <w:tcW w:type="dxa" w:w="595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4</w:t>
            </w:r>
          </w:p>
        </w:tc>
        <w:tc>
          <w:tcPr>
            <w:tcW w:type="dxa" w:w="595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1,996</w:t>
            </w:r>
          </w:p>
        </w:tc>
        <w:tc>
          <w:tcPr>
            <w:tcW w:type="dxa" w:w="549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完整 context/task；4 类任务，query 内材料保留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PersonaMem v1</w:t>
            </w:r>
          </w:p>
        </w:tc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17</w:t>
            </w:r>
          </w:p>
        </w:tc>
        <w:tc>
          <w:tcPr>
            <w:tcW w:type="dxa" w:w="1446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33,725</w:t>
            </w:r>
          </w:p>
        </w:tc>
        <w:tc>
          <w:tcPr>
            <w:tcW w:type="dxa" w:w="549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两个 persona 的原生合法历史前缀；7 类题型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PersonaMem v2</w:t>
            </w:r>
          </w:p>
        </w:tc>
        <w:tc>
          <w:tcPr>
            <w:tcW w:type="dxa" w:w="595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595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10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63,816</w:t>
            </w:r>
          </w:p>
        </w:tc>
        <w:tc>
          <w:tcPr>
            <w:tcW w:type="dxa" w:w="549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两个完整 persona 文本历史；7 类，生成式作答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BEAM（100K）</w:t>
            </w:r>
          </w:p>
        </w:tc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21</w:t>
            </w:r>
          </w:p>
        </w:tc>
        <w:tc>
          <w:tcPr>
            <w:tcW w:type="dxa" w:w="1446"/>
            <w:vAlign w:val="center"/>
            <w:shd w:fill="F5F8FA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240,378</w:t>
            </w:r>
          </w:p>
        </w:tc>
        <w:tc>
          <w:tcPr>
            <w:tcW w:type="dxa" w:w="549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100K:3、100K:5 两个完整会话；10 类题型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E2EDF1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213547"/>
                <w:sz w:val="18"/>
              </w:rPr>
              <w:t>合计</w:t>
            </w:r>
          </w:p>
        </w:tc>
        <w:tc>
          <w:tcPr>
            <w:tcW w:type="dxa" w:w="595"/>
            <w:vAlign w:val="center"/>
            <w:shd w:fill="E2EDF1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13547"/>
                <w:sz w:val="18"/>
              </w:rPr>
              <w:t>19</w:t>
            </w:r>
          </w:p>
        </w:tc>
        <w:tc>
          <w:tcPr>
            <w:tcW w:type="dxa" w:w="595"/>
            <w:vAlign w:val="center"/>
            <w:shd w:fill="E2EDF1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13547"/>
                <w:sz w:val="18"/>
              </w:rPr>
              <w:t>99</w:t>
            </w:r>
          </w:p>
        </w:tc>
        <w:tc>
          <w:tcPr>
            <w:tcW w:type="dxa" w:w="1446"/>
            <w:vAlign w:val="center"/>
            <w:shd w:fill="E2EDF1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13547"/>
                <w:sz w:val="18"/>
              </w:rPr>
              <w:t>1,058,203</w:t>
            </w:r>
          </w:p>
        </w:tc>
        <w:tc>
          <w:tcPr>
            <w:tcW w:type="dxa" w:w="5499"/>
            <w:vAlign w:val="center"/>
            <w:shd w:fill="E2EDF1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213547"/>
                <w:sz w:val="18"/>
              </w:rPr>
              <w:t>同一轮所有方法共用同一份 prepared 输入</w:t>
            </w:r>
          </w:p>
        </w:tc>
      </w:tr>
    </w:tbl>
    <w:p>
      <w:pPr>
        <w:keepNext w:val="0"/>
        <w:spacing w:after="140" w:before="0"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>注：历史实例按各数据集原生单位计数。BEAM 的 100K 是作者的长度分组，表中 token 使用共同 tokenizer 重新计算。</w:t>
      </w:r>
    </w:p>
    <w:p>
      <w:pPr>
        <w:pStyle w:val="Heading2"/>
      </w:pPr>
      <w:r>
        <w:t>抽样如何得到 99 题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样本来自 4,050 题的已准备题库，固定 seed=17。先限制历史来源：LoCoMo 2 个、LongMemEval 7 个、CLBench 4 个、PersonaMem v1/v2 各 2 个，BEAM 仅保留 100K 分组的 2 个会话。来源选择优先覆盖原生题型，再兼顾来源分散和较短的完整输入；保留历史正文及 PersonaMem v1 的原生合法前缀。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随后在这些来源内按能力大类抽题，每类最多 20 题，轮内不重复，并兼顾细类、数据集及原生分层的覆盖。最终 A/B/C/E 各 20 题，D/G/H 分别为 8/6/5 题，合计 99 题。配额作用于跨数据集的能力大类，因此 BEAM 保留 21 题；来源内可用题不足时保留实际数量。选择过程只使用来源与题型元数据。</w:t>
      </w:r>
    </w:p>
    <w:p>
      <w:pPr>
        <w:pStyle w:val="Heading2"/>
      </w:pPr>
      <w:r>
        <w:t>token 总量如何理解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1,058,203 token 是 19 个历史实例中每条消息正文用 o200k_base 分别编码后的总和，不含 query、选项、消息包装及方法生成的记忆。CLBench 的部分参考材料位于 query，完整参与作答，但未计入表中的历史正文。LongMemEval 占正文总量约 65.8%，BEAM 约 22.7%。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每种方法构建 19 份历史并回答 99 题；Mem0+AMI 共 38 个历史/方法任务、198 个题次，对应正文处理规模 2,116,406 token；四方法则为 76 个任务、396 个题次、4,232,812 token。这些是输入规模，实际 API 用量还包含记忆提取、更新、embedding、Answer 和 Judge 的调用，以运行中的 usage 账本汇总。</w:t>
      </w:r>
    </w:p>
    <w:p>
      <w:pPr>
        <w:pStyle w:val="Heading1"/>
        <w:pageBreakBefore/>
      </w:pPr>
      <w:r>
        <w:t>2  能力覆盖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能力划分采用仓库 taxonomy 与本地题型映射，共 7 个大类、24 个细分指标。原 99 题样本覆盖 21 项细类；表 2–3 保留该历史样本的题量。A1–H2 由数据集原生题型经本地固定规则得到，本项目未调用 LLM 逐题标注，具体来源与局限见第 7 节。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表 2  能力大类与本轮题量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28" w:type="dxa"/>
          <w:bottom w:w="28" w:type="dxa"/>
          <w:left w:w="70" w:type="dxa"/>
          <w:right w:w="70" w:type="dxa"/>
        </w:tblCellMar>
      </w:tblPr>
      <w:tblGrid>
        <w:gridCol w:w="595"/>
        <w:gridCol w:w="2296"/>
        <w:gridCol w:w="567"/>
        <w:gridCol w:w="6406"/>
      </w:tblGrid>
      <w:tr>
        <w:trPr>
          <w:tblHeader/>
          <w:cantSplit/>
        </w:trPr>
        <w:tc>
          <w:tcPr>
            <w:tcW w:type="dxa" w:w="595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大类</w:t>
            </w:r>
          </w:p>
        </w:tc>
        <w:tc>
          <w:tcPr>
            <w:tcW w:type="dxa" w:w="2296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567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题数</w:t>
            </w:r>
          </w:p>
        </w:tc>
        <w:tc>
          <w:tcPr>
            <w:tcW w:type="dxa" w:w="6406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题目来源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A</w:t>
            </w:r>
          </w:p>
        </w:tc>
        <w:tc>
          <w:tcPr>
            <w:tcW w:type="dxa" w:w="229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显式事实召回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20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LoCoMo、LongMemEval、PersonaMem v1、BEAM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</w:t>
            </w:r>
          </w:p>
        </w:tc>
        <w:tc>
          <w:tcPr>
            <w:tcW w:type="dxa" w:w="2296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关系与多跳推理</w:t>
            </w:r>
          </w:p>
        </w:tc>
        <w:tc>
          <w:tcPr>
            <w:tcW w:type="dxa" w:w="56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20</w:t>
            </w:r>
          </w:p>
        </w:tc>
        <w:tc>
          <w:tcPr>
            <w:tcW w:type="dxa" w:w="6406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LoCoMo、LongMemEval、BEAM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</w:t>
            </w:r>
          </w:p>
        </w:tc>
        <w:tc>
          <w:tcPr>
            <w:tcW w:type="dxa" w:w="229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时间与事件序列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20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LoCoMo、LongMemEval、PersonaMem v1、BEAM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D</w:t>
            </w:r>
          </w:p>
        </w:tc>
        <w:tc>
          <w:tcPr>
            <w:tcW w:type="dxa" w:w="2296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记忆治理</w:t>
            </w:r>
          </w:p>
        </w:tc>
        <w:tc>
          <w:tcPr>
            <w:tcW w:type="dxa" w:w="56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8</w:t>
            </w:r>
          </w:p>
        </w:tc>
        <w:tc>
          <w:tcPr>
            <w:tcW w:type="dxa" w:w="6406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LongMemEval、PersonaMem v2、BEAM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E</w:t>
            </w:r>
          </w:p>
        </w:tc>
        <w:tc>
          <w:tcPr>
            <w:tcW w:type="dxa" w:w="229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个性化与关怀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20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LongMemEval、PersonaMem v1/v2、BEAM</w:t>
            </w:r>
          </w:p>
        </w:tc>
      </w:tr>
      <w:tr>
        <w:trPr>
          <w:cantSplit/>
        </w:trPr>
        <w:tc>
          <w:tcPr>
            <w:tcW w:type="dxa" w:w="5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G</w:t>
            </w:r>
          </w:p>
        </w:tc>
        <w:tc>
          <w:tcPr>
            <w:tcW w:type="dxa" w:w="2296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上下文学习与执行</w:t>
            </w:r>
          </w:p>
        </w:tc>
        <w:tc>
          <w:tcPr>
            <w:tcW w:type="dxa" w:w="56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6</w:t>
            </w:r>
          </w:p>
        </w:tc>
        <w:tc>
          <w:tcPr>
            <w:tcW w:type="dxa" w:w="6406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CLBench、BEAM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H</w:t>
            </w:r>
          </w:p>
        </w:tc>
        <w:tc>
          <w:tcPr>
            <w:tcW w:type="dxa" w:w="229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认识论安全与隐私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5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LongMemEval、PersonaMem v2、BEAM</w:t>
            </w:r>
          </w:p>
        </w:tc>
      </w:tr>
    </w:tbl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表 3  细分指标、题数与来源构成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28" w:type="dxa"/>
          <w:bottom w:w="28" w:type="dxa"/>
          <w:left w:w="70" w:type="dxa"/>
          <w:right w:w="70" w:type="dxa"/>
        </w:tblCellMar>
      </w:tblPr>
      <w:tblGrid>
        <w:gridCol w:w="624"/>
        <w:gridCol w:w="4309"/>
        <w:gridCol w:w="737"/>
        <w:gridCol w:w="4195"/>
      </w:tblGrid>
      <w:tr>
        <w:trPr>
          <w:tblHeader/>
          <w:cantSplit/>
        </w:trPr>
        <w:tc>
          <w:tcPr>
            <w:tcW w:type="dxa" w:w="624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09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细分内容</w:t>
            </w:r>
          </w:p>
        </w:tc>
        <w:tc>
          <w:tcPr>
            <w:tcW w:type="dxa" w:w="737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题数</w:t>
            </w:r>
          </w:p>
        </w:tc>
        <w:tc>
          <w:tcPr>
            <w:tcW w:type="dxa" w:w="4195"/>
            <w:vAlign w:val="center"/>
            <w:shd w:fill="24586A"/>
          </w:tcPr>
          <w:p>
            <w:pPr>
              <w:keepNext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来源及题数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A1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单点事实/属性与来源回忆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17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 11；LME 2；P1 4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A2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实体、角色、说话人、行动与归因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0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A3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结构化字段/集合/枚举抽取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3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BEAM 3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B1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跨片段/跨 session 多证据聚合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13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 11；LME 1；BEAM 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B2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因果链、路径与中间步骤恢复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0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B3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证据集合/路径支持与有效性验证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0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5E6C77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B4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受控开放域/常识补全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7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 7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C1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日期、相对时间、间隔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15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 11；LME 1；BEAM 3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C2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事件顺序/阶段排序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BEAM 2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C3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事件/立场轨迹变化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3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P1 3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D1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新值覆盖与当前状态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4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LME 1；BEAM 3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D2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矛盾检测与冲突消解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BEAM 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D3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删除、遗忘与抑制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P2 2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F1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摘要与压缩/长历史全局综合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BEAM 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E1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偏好回忆与个性化遵循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15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LME 1；P1 10；P2 1；BEAM 3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E2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刻板/反刻板偏好鲁棒性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3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P2 3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E3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个人背景、健康与心理关怀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P2 2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G1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领域知识推理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CLBench 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G2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规则系统应用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CLBench 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G3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程序/工作流执行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CLBench 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G4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经验数据发现与模拟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CLBench 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G5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指令/格式约束遵循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BEAM 2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H1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拒答、未知与证据不足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3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LME 1；BEAM 2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H2</w:t>
            </w:r>
          </w:p>
        </w:tc>
        <w:tc>
          <w:tcPr>
            <w:tcW w:type="dxa" w:w="4309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敏感信息最小披露/隐私</w:t>
            </w:r>
          </w:p>
        </w:tc>
        <w:tc>
          <w:tcPr>
            <w:tcW w:type="dxa" w:w="737"/>
            <w:vAlign w:val="center"/>
            <w:shd w:fill="F5F8FA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2</w:t>
            </w:r>
          </w:p>
        </w:tc>
        <w:tc>
          <w:tcPr>
            <w:tcW w:type="dxa" w:w="4195"/>
            <w:vAlign w:val="center"/>
            <w:shd w:fill="F5F8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P2 2</w:t>
            </w:r>
          </w:p>
        </w:tc>
      </w:tr>
    </w:tbl>
    <w:p>
      <w:pPr>
        <w:keepNext w:val="0"/>
        <w:spacing w:after="0" w:before="0"/>
      </w:pPr>
      <w:r>
        <w:rPr>
          <w:rFonts w:ascii="Noto Sans CJK SC" w:hAnsi="Noto Sans CJK SC" w:eastAsia="Noto Sans CJK SC" w:cs="Noto Sans CJK SC"/>
          <w:b w:val="0"/>
          <w:color w:val="5E6C77"/>
          <w:sz w:val="16"/>
        </w:rPr>
        <w:t>LME=LongMemEval-S，P1/P2=PersonaMem v1/v2。F1 归入 D 类；A2、B2、B3 本轮为 N/A。D3、H2 的观测点是回答中的遗忘遵循与信息披露行为。</w:t>
      </w:r>
    </w:p>
    <w:p>
      <w:pPr>
        <w:pStyle w:val="Heading1"/>
        <w:pageBreakBefore/>
      </w:pPr>
      <w:r>
        <w:t>3  评测流程与计分</w:t>
      </w:r>
    </w:p>
    <w:p>
      <w:pPr>
        <w:keepNext w:val="0"/>
        <w:spacing w:after="180" w:before="0"/>
      </w:pPr>
      <w:r>
        <w:rPr>
          <w:rFonts w:ascii="Noto Sans CJK SC" w:hAnsi="Noto Sans CJK SC" w:eastAsia="Noto Sans CJK SC" w:cs="Noto Sans CJK SC"/>
          <w:b/>
          <w:color w:val="24586A"/>
          <w:sz w:val="20"/>
        </w:rPr>
        <w:t>准备与抽样 → 原生记忆构建 → 检索与统一 Reader → 原生评分 → 数据集、Overall 与能力汇总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prepare 将作者数据转为 History、Query 和评分专用 Target，sample 固定历史与题目清单；这两步均不调用模型。正式队列以“方法 × 历史实例”为任务单位，按历史顺序执行 add(session)，完成 finalize() 后，再对该历史的全部问题调用 search(query, top_k)。不同方法、历史和运行使用独立作用域。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共同 Reader 保留方法返回的证据顺序，用 o200k_base 将证据装入 4,096 token 预算；放不下的整条证据被跳过，后续仍可继续装入。Reader 以统一的模型和预算调用各数据集原生回答模板，完整提示词另受 119,000 token 上限约束。该协议为 offline-history-QA，即先构建历史记忆，再集中问答。</w:t>
      </w:r>
    </w:p>
    <w:p>
      <w:pPr>
        <w:keepNext w:val="0"/>
        <w:spacing w:after="14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记忆端只接收历史和查询；参考答案、rubric、正确选项标签及能力标签留在评测端。候选选项属于可见查询。队列在同一历史的全部回答落盘后读取评分目标，完成原生评分，并保存检索、答案、评分和阶段检查点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表 4  各数据集单题主分 sᵢ（统一范围为 [0,1]）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55" w:type="dxa"/>
          <w:bottom w:w="55" w:type="dxa"/>
          <w:left w:w="70" w:type="dxa"/>
          <w:right w:w="70" w:type="dxa"/>
        </w:tblCellMar>
      </w:tblPr>
      <w:tblGrid>
        <w:gridCol w:w="1701"/>
        <w:gridCol w:w="2381"/>
        <w:gridCol w:w="5783"/>
      </w:tblGrid>
      <w:tr>
        <w:trPr>
          <w:tblHeader/>
          <w:cantSplit/>
        </w:trPr>
        <w:tc>
          <w:tcPr>
            <w:tcW w:type="dxa" w:w="1701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2381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主指标</w:t>
            </w:r>
          </w:p>
        </w:tc>
        <w:tc>
          <w:tcPr>
            <w:tcW w:type="dxa" w:w="5783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单题计算方式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LoCoMo-Refined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judged_accuracy</w:t>
            </w:r>
          </w:p>
        </w:tc>
        <w:tc>
          <w:tcPr>
            <w:tcW w:type="dxa" w:w="5783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Judge 比较问题、参考答案与回答；CORRECT=1，WRONG=0。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LongMemEval-S</w:t>
            </w:r>
          </w:p>
        </w:tc>
        <w:tc>
          <w:tcPr>
            <w:tcW w:type="dxa" w:w="238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judged_accuracy</w:t>
            </w:r>
          </w:p>
        </w:tc>
        <w:tc>
          <w:tcPr>
            <w:tcW w:type="dxa" w:w="5783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按原生判分模板评估正确性；CORRECT=1，WRONG=0。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CLBench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strict_accuracy</w:t>
            </w:r>
          </w:p>
        </w:tc>
        <w:tc>
          <w:tcPr>
            <w:tcW w:type="dxa" w:w="5783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Judge 按原生 rubric 严格判分；全部要求满足得 1，否则得 0。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PersonaMem v1</w:t>
            </w:r>
          </w:p>
        </w:tc>
        <w:tc>
          <w:tcPr>
            <w:tcW w:type="dxa" w:w="238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mcq_accuracy</w:t>
            </w:r>
          </w:p>
        </w:tc>
        <w:tc>
          <w:tcPr>
            <w:tcW w:type="dxa" w:w="5783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原生解析器提取选项，与正确选项匹配；正确为 1，否则为 0。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PersonaMem v2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preference_adherence</w:t>
            </w:r>
          </w:p>
        </w:tc>
        <w:tc>
          <w:tcPr>
            <w:tcW w:type="dxa" w:w="5783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固定生成式回答；按正向/禁止个性化偏好模板评分，sᵢ∈[0,1]。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BEAM</w:t>
            </w:r>
          </w:p>
        </w:tc>
        <w:tc>
          <w:tcPr>
            <w:tcW w:type="dxa" w:w="238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rubric_mean</w:t>
            </w:r>
          </w:p>
        </w:tc>
        <w:tc>
          <w:tcPr>
            <w:tcW w:type="dxa" w:w="5783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每条 rubric 得 0、0.5 或 1；sᵢ 为该题全部 rubric 分数的均值。</w:t>
            </w:r>
          </w:p>
        </w:tc>
      </w:tr>
    </w:tbl>
    <w:p>
      <w:pPr>
        <w:keepNext w:val="0"/>
        <w:spacing w:after="140" w:before="0"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>BEAM 的 event-ordering 另存排序诊断，主分仍采用 rubric 均值；PersonaMem v2 仅将生成式主分计入本轮汇总。</w:t>
      </w:r>
    </w:p>
    <w:p>
      <w:pPr>
        <w:pStyle w:val="Heading2"/>
      </w:pPr>
      <w:r>
        <w:t>数据集、Overall 与能力分数</w:t>
      </w:r>
    </w:p>
    <w:p>
      <w:pPr>
        <w:keepNext w:val="0"/>
        <w:spacing w:after="6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设 Qd 为数据集 d 的冻结题集，Nd 为题数，sᵢ 为上述单题主分。数据集分数与本地 Overall 均按 0–100 分呈现：</w:t>
      </w:r>
    </w:p>
    <w:p>
      <w:pPr>
        <w:keepNext/>
        <w:spacing w:before="6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8"/>
        </w:rPr>
        <w:t>S_d = (100 / N_d) × Σ(i ∈ Q_d) s_i</w:t>
      </w:r>
    </w:p>
    <w:p>
      <w:pPr>
        <w:keepNext w:val="0"/>
        <w:spacing w:before="0" w:after="10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8"/>
        </w:rPr>
        <w:t>Overall = (S_1 + S_2 + S_3 + S_4 + S_5 + S_6) / 6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>六个数据集在 Overall 中各占 1/6；题数较多的数据集具有更多题内观测，但数据集权重相同。Overall 对应字段 local_overall_macro_benchmark。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>能力大类或细类 c 的分数为 Cc = 100 × Σ(i∈Qc)sᵢ / |Qc|。Qc 是映射到该能力的题目集合，直接合并各数据集的单题分数；同一道题在同一大类中只计一次。例如 A 类由 A1 的 17 题与 A3 的 3 题构成，A=(17×A1+3×A3)/20。</w:t>
      </w:r>
    </w:p>
    <w:p>
      <w:pPr>
        <w:keepNext w:val="0"/>
        <w:spacing w:after="0" w:before="0"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>完整分数要求对应冻结题集全部有效评分：本轮每种方法为 expected=scored=99。未完成时，相应完整分数为 null，另报已评分均值与覆盖数量；API、解析或 worker 故障记为 unscored，有效答错记为 0。无题能力显示 N/A。能力明细写入 capabilities 与 capability_leaves，作为本地套件的诊断结果。</w:t>
      </w:r>
    </w:p>
    <w:p>
      <w:pPr>
        <w:pStyle w:val="Heading1"/>
        <w:pageBreakBefore/>
      </w:pPr>
      <w:r>
        <w:t>4  冻结参数与方法版本</w:t>
      </w:r>
    </w:p>
    <w:p>
      <w:pPr>
        <w:keepNext w:val="0"/>
        <w:spacing w:after="120" w:before="0"/>
      </w:pPr>
      <w:r>
        <w:rPr>
          <w:rFonts w:ascii="Noto Sans CJK SC" w:hAnsi="Noto Sans CJK SC" w:eastAsia="Noto Sans CJK SC" w:cs="Noto Sans CJK SC"/>
          <w:b w:val="0"/>
          <w:color w:val="213547"/>
          <w:sz w:val="21"/>
        </w:rPr>
        <w:t>本轮共同条件以 runs/prepared-99-local/manifest.json 为准。prepared 冻结题目 ID、历史、评分目标、能力映射、评分源码和 runtime；执行清单进一步记录 provider 身份、方法配置及原生源码 hash，从而把输入、方法版本与结果对应起来。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表 5  正式 99 题的共同冻结参数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55" w:type="dxa"/>
          <w:bottom w:w="55" w:type="dxa"/>
          <w:left w:w="70" w:type="dxa"/>
          <w:right w:w="70" w:type="dxa"/>
        </w:tblCellMar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97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正式配置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样本与随机种子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6 个数据集、99 题、19 个历史；大类最多 20 题；seed=17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记忆 LLM / Answer / Judge</w:t>
            </w:r>
          </w:p>
        </w:tc>
        <w:tc>
          <w:tcPr>
            <w:tcW w:type="dxa" w:w="7597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gpt-4o-mini；允许返回 gpt-4o-mini-2024-07-18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共享 embedding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text-embedding-v4；1024 维；每批最多 10 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embedding 长文本处理</w:t>
            </w:r>
          </w:p>
        </w:tc>
        <w:tc>
          <w:tcPr>
            <w:tcW w:type="dxa" w:w="7597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按 UTF-8 2048 字节切分；段向量归一化，按字节数加权合并后再归一化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检索与证据预算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top_k=100；Reader 证据 4096 token；tokenizer=o200k_base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完整 Answer 输入上限</w:t>
            </w:r>
          </w:p>
        </w:tc>
        <w:tc>
          <w:tcPr>
            <w:tcW w:type="dxa" w:w="7597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119000 token（含原生模板、查询和检索证据）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Answer / Judge 生成设置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temperature=0 / 0；max_tokens=8192 / 8192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记忆生成输出预算</w:t>
            </w:r>
          </w:p>
        </w:tc>
        <w:tc>
          <w:tcPr>
            <w:tcW w:type="dxa" w:w="7597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共同缺省 max_tokens=2048；Mem0 提取配置为 8192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超时与重试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共同请求超时 180 秒；memory worker 超时 86400 秒；共同 API 自动重试为 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生命周期与日期</w:t>
            </w:r>
          </w:p>
        </w:tc>
        <w:tc>
          <w:tcPr>
            <w:tcW w:type="dxa" w:w="7597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offline-history-QA；原始无时区日期按 UTC 解释，未知日期保留未知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用量与费用记录</w:t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不设请求次数或费用 cap；历史估算费率：输入/输出/embedding 为 0.15/0.60/0.50 元/百万 token</w:t>
            </w:r>
          </w:p>
        </w:tc>
      </w:tr>
    </w:tbl>
    <w:p>
      <w:pPr>
        <w:keepNext w:val="0"/>
        <w:spacing w:after="140" w:before="0"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>费用列用于运行账本的估算，实际用量取 provider usage；方法自身的开关、并发和超时另由方法配置冻结。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表 6  接入方法与固定源码版本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55" w:type="dxa"/>
          <w:bottom w:w="55" w:type="dxa"/>
          <w:left w:w="70" w:type="dxa"/>
          <w:right w:w="70" w:type="dxa"/>
        </w:tblCellMar>
      </w:tblPr>
      <w:tblGrid>
        <w:gridCol w:w="2211"/>
        <w:gridCol w:w="2324"/>
        <w:gridCol w:w="5329"/>
      </w:tblGrid>
      <w:tr>
        <w:trPr>
          <w:tblHeader/>
          <w:cantSplit/>
        </w:trPr>
        <w:tc>
          <w:tcPr>
            <w:tcW w:type="dxa" w:w="2211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24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固定提交（短 hash）</w:t>
            </w:r>
          </w:p>
        </w:tc>
        <w:tc>
          <w:tcPr>
            <w:tcW w:type="dxa" w:w="5329"/>
            <w:vAlign w:val="center"/>
            <w:shd w:fill="24586A"/>
          </w:tcPr>
          <w:p>
            <w:pPr>
              <w:keepNext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本地运行变体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LightMem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LightMem 8449d574</w:t>
              <w:br/>
              <w:t>MemMA 5b1afefb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使用固定 MemMA LightMem backend 与兼容补丁；关闭指导、自检和增强检索；本地压缩为 CPU。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LightMem+MemMA</w:t>
            </w:r>
          </w:p>
        </w:tc>
        <w:tc>
          <w:tcPr>
            <w:tcW w:type="dxa" w:w="2324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同上</w:t>
            </w:r>
          </w:p>
        </w:tc>
        <w:tc>
          <w:tcPr>
            <w:tcW w:type="dxa" w:w="532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相同 backend，启用原生指导、自检和多轮检索；使用同一共享模型与 Reader。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Mem0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71fba8d4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原生 OSS Memory；graph off；本地 Qdrant；共享密集 embedding 与原生 BM25 稀疏检索。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ActiveMemoryIndex</w:t>
            </w:r>
          </w:p>
        </w:tc>
        <w:tc>
          <w:tcPr>
            <w:tcW w:type="dxa" w:w="2324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ami-reproduction</w:t>
              <w:br/>
              <w:t>e545fdb1</w:t>
            </w:r>
          </w:p>
        </w:tc>
        <w:tc>
          <w:tcPr>
            <w:tcW w:type="dxa" w:w="5329"/>
            <w:vAlign w:val="center"/>
            <w:shd w:fill="F5F8FA"/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13547"/>
                <w:sz w:val="18"/>
              </w:rPr>
              <w:t>使用 reproduction release profile；本机续跑变体另加 ami-system-role.patch，接受 system 历史角色并保留原文。</w:t>
            </w:r>
          </w:p>
        </w:tc>
      </w:tr>
    </w:tbl>
    <w:p>
      <w:pPr>
        <w:keepNext w:val="0"/>
        <w:spacing w:after="100" w:before="100"/>
      </w:pPr>
      <w:r>
        <w:rPr>
          <w:rFonts w:ascii="Noto Sans CJK SC" w:hAnsi="Noto Sans CJK SC" w:eastAsia="Noto Sans CJK SC" w:cs="Noto Sans CJK SC"/>
          <w:b w:val="0"/>
          <w:color w:val="213547"/>
          <w:sz w:val="19"/>
        </w:rPr>
        <w:t>完整提交与 LightMem/MemMA 补丁 hash 保存在 sources/baselines.lock.json；AMI 角色兼容补丁及其源码 hash 在对应执行清单中单独记录。当前快速运行教程使用 configs/local/methods.continuation-20261015-v1.json，包含 Mem0 和兼容版 AMI。</w:t>
      </w:r>
    </w:p>
    <w:p>
      <w:pPr>
        <w:keepNext w:val="0"/>
        <w:spacing w:after="0" w:before="0"/>
      </w:pPr>
      <w:r>
        <w:rPr>
          <w:rFonts w:ascii="Noto Sans CJK SC" w:hAnsi="Noto Sans CJK SC" w:eastAsia="Noto Sans CJK SC" w:cs="Noto Sans CJK SC"/>
          <w:b w:val="0"/>
          <w:color w:val="213547"/>
          <w:sz w:val="19"/>
        </w:rPr>
        <w:t>正式队列读取 prepared 内的冻结 runtime。configs/local/runtime.json 用于接入检查，当前较小的 Answer/Judge 输出预算为 256、输入上限为 12000；这些检查值不会替代表 5 的正式参数。更改输入、模型或方法条件时，应形成新的运行版本。</w:t>
      </w:r>
    </w:p>
    <w:p>
      <w:pPr>
        <w:pStyle w:val="Heading1"/>
        <w:pageBreakBefore/>
      </w:pPr>
      <w:r>
        <w:t>5  快速运行 Benchmark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 w:cs="Noto Sans CJK SC"/>
          <w:b w:val="0"/>
          <w:color w:val="213547"/>
          <w:sz w:val="19"/>
        </w:rPr>
        <w:t xml:space="preserve">以下是原 99 题 Mem0+AMI 的复现教程，当前真实评测保持停止，不是本次五轮抽样的执行命令。当前服务器已有 Conda ami 环境、两个原生方法及角色兼容源码；新机器可参照 docs/model_handoff_99.md。LLM 与 embedding 凭据由根目录 .env 提供。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① 激活公共环境，恢复同一批 99 题</w:t>
      </w:r>
    </w:p>
    <w:p>
      <w:pPr>
        <w:keepNext/>
        <w:spacing w:before="6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source /home/fengruizhe/miniconda3/etc/profile.d/conda.sh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conda activate ami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python -m pip install -e '.[api,data]'</w:t>
      </w:r>
    </w:p>
    <w:p>
      <w:pPr>
        <w:keepNext w:val="0"/>
        <w:spacing w:before="0" w:after="10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python scripts/restore_99.py</w:t>
      </w:r>
    </w:p>
    <w:p>
      <w:pPr>
        <w:keepNext w:val="0"/>
        <w:spacing w:after="80" w:before="0"/>
      </w:pPr>
      <w:r>
        <w:rPr>
          <w:rFonts w:ascii="Noto Sans CJK SC" w:hAnsi="Noto Sans CJK SC" w:eastAsia="Noto Sans CJK SC" w:cs="Noto Sans CJK SC"/>
          <w:b w:val="0"/>
          <w:color w:val="213547"/>
          <w:sz w:val="18"/>
        </w:rPr>
        <w:t>恢复脚本校验仓库中的分卷、210 个源文件及冻结输入，输出 runs/prepared-99-local/；已有匹配目录可复用。此步骤无模型 API 调用。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② 用 3 题检查完整接入链路（调用真实 API）</w:t>
      </w:r>
    </w:p>
    <w:p>
      <w:pPr>
        <w:keepNext/>
        <w:spacing w:before="6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python scripts/native_smoke.py \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--methods-config configs/local/methods.continuation-20261015-v1.json \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--runtime configs/local/runtime.json \</w:t>
      </w:r>
    </w:p>
    <w:p>
      <w:pPr>
        <w:keepNext w:val="0"/>
        <w:spacing w:before="0" w:after="10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--output runs/ami-report-smoke-new</w:t>
      </w:r>
    </w:p>
    <w:p>
      <w:pPr>
        <w:keepNext w:val="0"/>
        <w:spacing w:after="80" w:before="0"/>
      </w:pPr>
      <w:r>
        <w:rPr>
          <w:rFonts w:ascii="Noto Sans CJK SC" w:hAnsi="Noto Sans CJK SC" w:eastAsia="Noto Sans CJK SC" w:cs="Noto Sans CJK SC"/>
          <w:b w:val="0"/>
          <w:color w:val="213547"/>
          <w:sz w:val="18"/>
        </w:rPr>
        <w:t>检查 status.json 为 complete，各方法 summary 为 3/3，且 nonempty_evidence=true。每次新检查使用新的输出目录。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③ 运行正式队列（调用真实 API）</w:t>
      </w:r>
    </w:p>
    <w:p>
      <w:pPr>
        <w:keepNext/>
        <w:spacing w:before="6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python -m memory_benchmark.runtime.queue \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--prepared runs/prepared-99-local \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--methods-config configs/local/methods.continuation-20261015-v1.json \</w:t>
      </w:r>
    </w:p>
    <w:p>
      <w:pPr>
        <w:keepNext w:val="0"/>
        <w:spacing w:before="0" w:after="10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--output runs/ami-report-99-new</w:t>
      </w:r>
    </w:p>
    <w:p>
      <w:pPr>
        <w:keepNext w:val="0"/>
        <w:spacing w:after="80" w:before="0"/>
      </w:pPr>
      <w:r>
        <w:rPr>
          <w:rFonts w:ascii="Noto Sans CJK SC" w:hAnsi="Noto Sans CJK SC" w:eastAsia="Noto Sans CJK SC" w:cs="Noto Sans CJK SC"/>
          <w:b w:val="0"/>
          <w:color w:val="213547"/>
          <w:sz w:val="18"/>
        </w:rPr>
        <w:t>建议在 tmux 中执行。队列串行调度 38 个历史/方法任务，自动保存阶段检查点；中断后在同一条命令末尾加 --resume，修复失败原因后再加 --retry-failed。新评测使用新的结果目录；续跑复用原目录。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④ 核验完成度并读取结果</w:t>
      </w:r>
    </w:p>
    <w:p>
      <w:pPr>
        <w:keepNext/>
        <w:spacing w:before="6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python - &lt;&lt;'PY'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import json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from pathlib import Path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r = Path('runs/ami-report-99-new')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p = json.loads((r / 'progress.json').read_text())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assert p['status'] == 'complete' and p['failed_jobs'] == 0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assert p['completed_jobs'] == 38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for method in ('mem0', 'activememoryindex'):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  s = json.loads((r / f'{method}.summary.json').read_text())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  assert s['complete'] and s['expected'] == s['scored'] == 99</w:t>
      </w:r>
    </w:p>
    <w:p>
      <w:pPr>
        <w:keepNext/>
        <w:spacing w:before="0" w:after="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 xml:space="preserve">    print(method, s['local_overall_macro_benchmark'])</w:t>
      </w:r>
    </w:p>
    <w:p>
      <w:pPr>
        <w:keepNext w:val="0"/>
        <w:spacing w:before="0" w:after="100" w:line="224" w:lineRule="exact"/>
        <w:ind w:left="102" w:right="57"/>
        <w:shd w:fill="F0F5F7"/>
      </w:pPr>
      <w:r>
        <w:rPr>
          <w:rFonts w:ascii="DejaVu Sans Mono" w:hAnsi="DejaVu Sans Mono" w:eastAsia="DejaVu Sans Mono" w:cs="DejaVu Sans Mono"/>
          <w:b w:val="0"/>
          <w:color w:val="213547"/>
          <w:sz w:val="16"/>
        </w:rPr>
        <w:t>PY</w:t>
      </w:r>
    </w:p>
    <w:p>
      <w:pPr>
        <w:keepNext w:val="0"/>
        <w:spacing w:after="80" w:before="0"/>
      </w:pPr>
      <w:r>
        <w:rPr>
          <w:rFonts w:ascii="Noto Sans CJK SC" w:hAnsi="Noto Sans CJK SC" w:eastAsia="Noto Sans CJK SC" w:cs="Noto Sans CJK SC"/>
          <w:b w:val="0"/>
          <w:color w:val="213547"/>
          <w:sz w:val="18"/>
        </w:rPr>
        <w:t>各方法的 *.summary.json 包含六个数据集、Overall、大类及细类分数；*.scores.jsonl 保存逐题主分，*.reliability.json 提供可靠性诊断。各任务目录保存检索证据、答案、原生评分和 usage 账本，可回溯分数与调用成本。</w:t>
      </w:r>
    </w:p>
    <w:p>
      <w:pPr>
        <w:keepNext w:val="0"/>
        <w:spacing w:after="100" w:before="0"/>
      </w:pPr>
      <w:r>
        <w:rPr>
          <w:rFonts w:ascii="Noto Sans CJK SC" w:hAnsi="Noto Sans CJK SC" w:eastAsia="Noto Sans CJK SC" w:cs="Noto Sans CJK SC"/>
          <w:b w:val="0"/>
          <w:color w:val="5E6C77"/>
          <w:sz w:val="16"/>
        </w:rPr>
        <w:t>扩展到四方法：完成 LightMem/MemMA 环境、补丁与压缩权重准备后，使用含四方法的配置和新的结果目录；验收为 76 个任务、每方法 99/99。</w:t>
      </w:r>
    </w:p>
    <w:p>
      <w:pPr>
        <w:keepNext/>
        <w:spacing w:after="80" w:before="60"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>核对依据（仓库内）</w:t>
      </w:r>
    </w:p>
    <w:p>
      <w:pPr>
        <w:keepNext w:val="0"/>
        <w:spacing w:after="0" w:before="0"/>
      </w:pPr>
      <w:r>
        <w:rPr>
          <w:rFonts w:ascii="Noto Sans CJK SC" w:hAnsi="Noto Sans CJK SC" w:eastAsia="Noto Sans CJK SC" w:cs="Noto Sans CJK SC"/>
          <w:b w:val="0"/>
          <w:color w:val="5E6C77"/>
          <w:sz w:val="16"/>
        </w:rPr>
        <w:t>数据与抽样：runs/prepared-99-local/manifest.json、sampling.json、runtime_estimate.json；能力：sources/taxonomy.json；计分：src/memory_benchmark/pipeline/aggregate.py、evaluate.py 与 benchmarks/public_contract.py；复现：sources/baselines.lock.json、docs/evaluation_contract.md、docs/model_handoff_99.md。</w:t>
      </w:r>
    </w:p>
    <w:p>
      <w:pPr>
        <w:pStyle w:val="Heading1"/>
        <w:widowControl/>
        <w:pageBreakBefore/>
      </w:pPr>
      <w:r>
        <w:t xml:space="preserve">6  五轮历史优先的随机抽样实验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本节报告离线抽样统计。母题库仍为原来的 4,050 题，解除旧 99 个问题 ID、旧 19 个历史 ID 及单一 seed 的限制。没有构建或更新模型记忆，也没有调用 Answer/Judge；五轮 API 调用数均为 0。表 3 的小类名称和旧题数作为统计口径与对照，不作为新轮次的小类配额。</w:t>
      </w:r>
    </w:p>
    <w:p>
      <w:pPr>
        <w:pStyle w:val="Heading2"/>
        <w:widowControl/>
      </w:pPr>
      <w:r>
        <w:t xml:space="preserve">6.1  五轮的处理思路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1. 恢复母题库索引。根据原 4,050 题的 ID 配置和本机原始数据，恢复问题 ID、原生题型、历史实例 ID、小类和历史定位信息；不依据参考答案或方法得分选题。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2. 每轮先抽聊天历史。使用 seed 17、18、19、20、21；每轮 LoCoMo 2、LongMemEval 7、CLBench 4、PersonaMem v1/v2 各 2、BEAM 2，合计 19 个原生历史实例。历史 ID 重新抽取，不采用最短历史优先或能力覆盖补齐。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3. 筛出对应问题。仅从母题库保留 benchmark 与历史实例 ID 均匹配的问题。LongMemEval 使用每题自己的完整 haystack；PersonaMem v1 保留原生合法前缀；BEAM 同时匹配长度分片和 conversation ID；CLBench 保留 query 内原生参考材料。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4. 在关联候选中抽题。每个能力大类内部按伪随机优先级抽取最多 20 题；小类不设配额。候选不足时全部保留，不从未选历史补题。历史阶段与问题阶段使用各自的确定性 SHA-256 优先级，按同一 seed 可复现。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5. 统计并核验。轮内问题与历史实例均不重复抽取，轮间允许重合。保存每轮历史、关联候选和入选题清单，再核对大类上限、小类计数以及原生数据加载器中的题目—历史对应关系。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抽题应依据原始历史的关联信息完成，再用入选题对应的完整历史构建记忆。若先检查生成的记忆再选择可回答的题目，会偏向模型已经记住的内容。拒答题可以故意缺少答案，不能因其不可回答而删除。</w:t>
      </w:r>
    </w:p>
    <w:p>
      <w:pPr>
        <w:pStyle w:val="Heading2"/>
        <w:widowControl/>
      </w:pPr>
      <w:r>
        <w:t xml:space="preserve">6.2  每轮规模与大类分布</w:t>
      </w:r>
    </w:p>
    <w:p>
      <w:pPr>
        <w:keepNext/>
        <w:spacing w:after="80" w:before="60"/>
        <w:widowControl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 xml:space="preserve">表 7  五轮抽样规模与历史关联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28" w:type="dxa"/>
          <w:bottom w:w="28" w:type="dxa"/>
          <w:left w:w="70" w:type="dxa"/>
          <w:right w:w="70" w:type="dxa"/>
        </w:tblCellMar>
      </w:tblPr>
      <w:tblGrid>
        <w:gridCol w:w="700"/>
        <w:gridCol w:w="1000"/>
        <w:gridCol w:w="1450"/>
        <w:gridCol w:w="1200"/>
        <w:gridCol w:w="1700"/>
        <w:gridCol w:w="1700"/>
        <w:gridCol w:w="2116"/>
      </w:tblGrid>
      <w:tr>
        <w:trPr>
          <w:cantSplit/>
          <w:tblHeader/>
        </w:trPr>
        <w:tc>
          <w:tcPr>
            <w:tcW w:type="dxa" w:w="7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</w:t>
            </w:r>
          </w:p>
        </w:tc>
        <w:tc>
          <w:tcPr>
            <w:tcW w:type="dxa" w:w="10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初选历史</w:t>
            </w:r>
          </w:p>
        </w:tc>
        <w:tc>
          <w:tcPr>
            <w:tcW w:type="dxa" w:w="145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关联候选题</w:t>
            </w:r>
          </w:p>
        </w:tc>
        <w:tc>
          <w:tcPr>
            <w:tcW w:type="dxa" w:w="12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最终题数</w:t>
            </w:r>
          </w:p>
        </w:tc>
        <w:tc>
          <w:tcPr>
            <w:tcW w:type="dxa" w:w="17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题目涉及历史</w:t>
            </w:r>
          </w:p>
        </w:tc>
        <w:tc>
          <w:tcPr>
            <w:tcW w:type="dxa" w:w="17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覆盖小类/24</w:t>
            </w:r>
          </w:p>
        </w:tc>
        <w:tc>
          <w:tcPr>
            <w:tcW w:type="dxa" w:w="2116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BEAM 长度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17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248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91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16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17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500K/1M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18</w:t>
            </w:r>
          </w:p>
        </w:tc>
        <w:tc>
          <w:tcPr>
            <w:tcW w:type="dxa" w:w="10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145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204</w:t>
            </w:r>
          </w:p>
        </w:tc>
        <w:tc>
          <w:tcPr>
            <w:tcW w:type="dxa" w:w="12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85</w:t>
            </w:r>
          </w:p>
        </w:tc>
        <w:tc>
          <w:tcPr>
            <w:tcW w:type="dxa" w:w="17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16</w:t>
            </w:r>
          </w:p>
        </w:tc>
        <w:tc>
          <w:tcPr>
            <w:tcW w:type="dxa" w:w="17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18</w:t>
            </w:r>
          </w:p>
        </w:tc>
        <w:tc>
          <w:tcPr>
            <w:tcW w:type="dxa" w:w="211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500K/1M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229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91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16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18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500K/1M</w:t>
            </w:r>
          </w:p>
        </w:tc>
      </w:tr>
      <w:tr>
        <w:trPr>
          <w:cantSplit/>
        </w:trPr>
        <w:tc>
          <w:tcPr>
            <w:tcW w:type="dxa" w:w="7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0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145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196</w:t>
            </w:r>
          </w:p>
        </w:tc>
        <w:tc>
          <w:tcPr>
            <w:tcW w:type="dxa" w:w="12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85</w:t>
            </w:r>
          </w:p>
        </w:tc>
        <w:tc>
          <w:tcPr>
            <w:tcW w:type="dxa" w:w="17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15</w:t>
            </w:r>
          </w:p>
        </w:tc>
        <w:tc>
          <w:tcPr>
            <w:tcW w:type="dxa" w:w="17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18</w:t>
            </w:r>
          </w:p>
        </w:tc>
        <w:tc>
          <w:tcPr>
            <w:tcW w:type="dxa" w:w="211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500K/100K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21</w:t>
            </w:r>
          </w:p>
        </w:tc>
        <w:tc>
          <w:tcPr>
            <w:tcW w:type="dxa" w:w="10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194</w:t>
            </w:r>
          </w:p>
        </w:tc>
        <w:tc>
          <w:tcPr>
            <w:tcW w:type="dxa" w:w="12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90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15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100K/100K</w:t>
            </w:r>
          </w:p>
        </w:tc>
      </w:tr>
    </w:tbl>
    <w:p>
      <w:pPr>
        <w:keepNext/>
        <w:spacing w:after="80" w:before="60"/>
        <w:widowControl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 xml:space="preserve">表 8  五轮能力大类题数（每类上限 20）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28" w:type="dxa"/>
          <w:bottom w:w="28" w:type="dxa"/>
          <w:left w:w="70" w:type="dxa"/>
          <w:right w:w="70" w:type="dxa"/>
        </w:tblCellMar>
      </w:tblPr>
      <w:tblGrid>
        <w:gridCol w:w="2466"/>
        <w:gridCol w:w="900"/>
        <w:gridCol w:w="130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2466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大类</w:t>
            </w:r>
          </w:p>
        </w:tc>
        <w:tc>
          <w:tcPr>
            <w:tcW w:type="dxa" w:w="9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原99题</w:t>
            </w:r>
          </w:p>
        </w:tc>
        <w:tc>
          <w:tcPr>
            <w:tcW w:type="dxa" w:w="13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17</w:t>
            </w:r>
          </w:p>
        </w:tc>
        <w:tc>
          <w:tcPr>
            <w:tcW w:type="dxa" w:w="13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18</w:t>
            </w:r>
          </w:p>
        </w:tc>
        <w:tc>
          <w:tcPr>
            <w:tcW w:type="dxa" w:w="13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19</w:t>
            </w:r>
          </w:p>
        </w:tc>
        <w:tc>
          <w:tcPr>
            <w:tcW w:type="dxa" w:w="13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20</w:t>
            </w:r>
          </w:p>
        </w:tc>
        <w:tc>
          <w:tcPr>
            <w:tcW w:type="dxa" w:w="13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21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A 显式事实召回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B 关系与多跳推理</w:t>
            </w:r>
          </w:p>
        </w:tc>
        <w:tc>
          <w:tcPr>
            <w:tcW w:type="dxa" w:w="9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C 时间与事件序列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D 记忆治理</w:t>
            </w:r>
          </w:p>
        </w:tc>
        <w:tc>
          <w:tcPr>
            <w:tcW w:type="dxa" w:w="9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12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10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9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E 个性化与关怀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7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10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6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G 上下文学习与执行</w:t>
            </w:r>
          </w:p>
        </w:tc>
        <w:tc>
          <w:tcPr>
            <w:tcW w:type="dxa" w:w="9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6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6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7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</w:t>
            </w:r>
          </w:p>
        </w:tc>
        <w:tc>
          <w:tcPr>
            <w:tcW w:type="dxa" w:w="13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4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H 认识论安全与隐私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66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合计</w:t>
            </w:r>
          </w:p>
        </w:tc>
        <w:tc>
          <w:tcPr>
            <w:tcW w:type="dxa" w:w="9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99</w:t>
            </w:r>
          </w:p>
        </w:tc>
        <w:tc>
          <w:tcPr>
            <w:tcW w:type="dxa" w:w="13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91</w:t>
            </w:r>
          </w:p>
        </w:tc>
        <w:tc>
          <w:tcPr>
            <w:tcW w:type="dxa" w:w="13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85</w:t>
            </w:r>
          </w:p>
        </w:tc>
        <w:tc>
          <w:tcPr>
            <w:tcW w:type="dxa" w:w="13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91</w:t>
            </w:r>
          </w:p>
        </w:tc>
        <w:tc>
          <w:tcPr>
            <w:tcW w:type="dxa" w:w="13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85</w:t>
            </w:r>
          </w:p>
        </w:tc>
        <w:tc>
          <w:tcPr>
            <w:tcW w:type="dxa" w:w="13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90</w:t>
            </w:r>
          </w:p>
        </w:tc>
      </w:tr>
    </w:tbl>
    <w:p>
      <w:pPr>
        <w:keepNext w:val="0"/>
        <w:spacing w:after="80" w:before="0"/>
        <w:widowControl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 xml:space="preserve">每轮初选 19 个历史，配额抽题后实际问题涉及其中 15–16 个历史；其余历史本轮没有问题入选。每类最多 20 题不是总量固定 99 题，因此不同轮次的题量可不同。BEAM 本次允许母库中的全部长度分片，历史长度没有保持一致。</w:t>
      </w:r>
    </w:p>
    <w:p>
      <w:pPr>
        <w:pStyle w:val="Heading2"/>
        <w:widowControl/>
        <w:pageBreakBefore/>
      </w:pPr>
      <w:r>
        <w:t xml:space="preserve">6.3  24 个小类的五轮数量结果</w:t>
      </w:r>
    </w:p>
    <w:p>
      <w:pPr>
        <w:keepNext/>
        <w:spacing w:after="80" w:before="60"/>
        <w:widowControl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 xml:space="preserve">表 9  五轮小类题数与原表 3 对照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28" w:type="dxa"/>
          <w:bottom w:w="28" w:type="dxa"/>
          <w:left w:w="70" w:type="dxa"/>
          <w:right w:w="70" w:type="dxa"/>
        </w:tblCellMar>
      </w:tblPr>
      <w:tblGrid>
        <w:gridCol w:w="600"/>
        <w:gridCol w:w="3666"/>
        <w:gridCol w:w="800"/>
        <w:gridCol w:w="960"/>
        <w:gridCol w:w="960"/>
        <w:gridCol w:w="960"/>
        <w:gridCol w:w="960"/>
        <w:gridCol w:w="960"/>
      </w:tblGrid>
      <w:tr>
        <w:trPr>
          <w:cantSplit/>
          <w:tblHeader/>
        </w:trPr>
        <w:tc>
          <w:tcPr>
            <w:tcW w:type="dxa" w:w="6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指标</w:t>
            </w:r>
          </w:p>
        </w:tc>
        <w:tc>
          <w:tcPr>
            <w:tcW w:type="dxa" w:w="3666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细分内容</w:t>
            </w:r>
          </w:p>
        </w:tc>
        <w:tc>
          <w:tcPr>
            <w:tcW w:type="dxa" w:w="8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原表3</w:t>
            </w:r>
          </w:p>
        </w:tc>
        <w:tc>
          <w:tcPr>
            <w:tcW w:type="dxa" w:w="96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17</w:t>
            </w:r>
          </w:p>
        </w:tc>
        <w:tc>
          <w:tcPr>
            <w:tcW w:type="dxa" w:w="96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18</w:t>
            </w:r>
          </w:p>
        </w:tc>
        <w:tc>
          <w:tcPr>
            <w:tcW w:type="dxa" w:w="96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19</w:t>
            </w:r>
          </w:p>
        </w:tc>
        <w:tc>
          <w:tcPr>
            <w:tcW w:type="dxa" w:w="96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20</w:t>
            </w:r>
          </w:p>
        </w:tc>
        <w:tc>
          <w:tcPr>
            <w:tcW w:type="dxa" w:w="96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seed 21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A1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单点事实/属性与来源回忆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17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A2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实体、角色、说话人、行动与归因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A3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结构化字段/集合/枚举抽取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B1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跨片段/跨 session 多证据聚合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15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14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14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B2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因果链、路径与中间步骤恢复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B3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证据集合/路径支持与有效性验证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B4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受控开放域/常识补全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7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6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6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C1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日期、相对时间、间隔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15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19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17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16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18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C2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事件顺序/阶段排序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C3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事件/立场轨迹变化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D1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新值覆盖与当前状态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5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D2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矛盾检测与冲突消解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D3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删除、遗忘与抑制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F1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摘要与压缩/长历史全局综合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E1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偏好回忆与个性化遵循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15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E2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刻板/反刻板偏好鲁棒性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E3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个人背景、健康与心理关怀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G1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领域知识推理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G2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规则系统应用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G3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程序/工作流执行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G4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经验数据发现与模拟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G5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指令/格式约束遵循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H1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拒答、未知与证据不足</w:t>
            </w:r>
          </w:p>
        </w:tc>
        <w:tc>
          <w:tcPr>
            <w:tcW w:type="dxa" w:w="80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3</w:t>
            </w:r>
          </w:p>
        </w:tc>
        <w:tc>
          <w:tcPr>
            <w:tcW w:type="dxa" w:w="960"/>
            <w:vAlign w:val="center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H2</w:t>
            </w:r>
          </w:p>
        </w:tc>
        <w:tc>
          <w:tcPr>
            <w:tcW w:type="dxa" w:w="36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敏感信息最小披露/隐私</w:t>
            </w:r>
          </w:p>
        </w:tc>
        <w:tc>
          <w:tcPr>
            <w:tcW w:type="dxa" w:w="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2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0</w:t>
            </w:r>
          </w:p>
        </w:tc>
        <w:tc>
          <w:tcPr>
            <w:tcW w:type="dxa" w:w="96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合计</w:t>
            </w:r>
          </w:p>
        </w:tc>
        <w:tc>
          <w:tcPr>
            <w:tcW w:type="dxa" w:w="3666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小类题数合计</w:t>
            </w:r>
          </w:p>
        </w:tc>
        <w:tc>
          <w:tcPr>
            <w:tcW w:type="dxa" w:w="80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99</w:t>
            </w:r>
          </w:p>
        </w:tc>
        <w:tc>
          <w:tcPr>
            <w:tcW w:type="dxa" w:w="96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91</w:t>
            </w:r>
          </w:p>
        </w:tc>
        <w:tc>
          <w:tcPr>
            <w:tcW w:type="dxa" w:w="96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85</w:t>
            </w:r>
          </w:p>
        </w:tc>
        <w:tc>
          <w:tcPr>
            <w:tcW w:type="dxa" w:w="96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91</w:t>
            </w:r>
          </w:p>
        </w:tc>
        <w:tc>
          <w:tcPr>
            <w:tcW w:type="dxa" w:w="96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85</w:t>
            </w:r>
          </w:p>
        </w:tc>
        <w:tc>
          <w:tcPr>
            <w:tcW w:type="dxa" w:w="960"/>
            <w:vAlign w:val="center"/>
            <w:shd w:fill="E8F0F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1"/>
              </w:rPr>
              <w:t xml:space="preserve">90</w:t>
            </w:r>
          </w:p>
        </w:tc>
      </w:tr>
    </w:tbl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五轮共 442 题次、389 道不同题目。全部入选题已通过原生 loader 的问题 ID、历史实例 ID 和小类映射核验；五组历史清单均不同。F1 继续归在 D 大类，A2/B2/B3 保留零计数。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覆盖范围为 17–19 个小类，低于原 99 题样本的 21 项。A3 在前四轮均为 0，G1 只在后两轮出现；这说明每个大类最多 20 题的纯随机策略，不能保证小类覆盖。0 题表示该轮没有相应标签的问题，不表示方法在该能力上得 0 分。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五轮同时改变历史和问题，数量波动包含两个抽样阶段的影响，不能解释为固定历史条件下仅换问题的波动。本节仅描述样本组成，不用于比较方法性能、估计方法得分稳定性或宣称统计显著性。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同一原生历史、相同方法和配置下，完整记忆原则上可以复用；新历史必须构建对应记忆。当前跨新题集复用需要单独校验，未来真实评测应依据每轮清单重新准备 History、Query 和评分目标，并建立新的执行版本。</w:t>
      </w:r>
    </w:p>
    <w:p>
      <w:pPr>
        <w:pStyle w:val="Heading1"/>
        <w:widowControl/>
        <w:pageBreakBefore/>
      </w:pPr>
      <w:r>
        <w:t xml:space="preserve">7  题目小类标签的来源与有效性边界</w:t>
      </w:r>
    </w:p>
    <w:p>
      <w:pPr>
        <w:pStyle w:val="Heading2"/>
        <w:widowControl/>
      </w:pPr>
      <w:r>
        <w:t xml:space="preserve">7.1  原生题型经本地规则映射，小类不是本次由 LLM 标注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本项目采用“数据集自带的原生题型字段 → 本地预先定义的确定性规则 → A1–H2 小类”的处理链。本次没有调用 LLM 为每道题重新打小类标签。原始数据通常带有 category、question_type、pref_type 或任务类别，但不统一携带本报告的 24 类编号。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7 个大类和 24 个小类的展示定义来自仓库 taxonomy；该来源没有提供官方逐题映射。本地代码将六个数据集的原生类别映射到这套 taxonomy，属于本地粗粒度代理标签，不能写成 AML 官方逐题标注或已由专家逐题审核的真值。</w:t>
      </w:r>
    </w:p>
    <w:p>
      <w:pPr>
        <w:keepNext/>
        <w:spacing w:after="80" w:before="60"/>
        <w:widowControl/>
      </w:pPr>
      <w:r>
        <w:rPr>
          <w:rFonts w:ascii="Noto Sans CJK SC" w:hAnsi="Noto Sans CJK SC" w:eastAsia="Noto Sans CJK SC" w:cs="Noto Sans CJK SC"/>
          <w:b/>
          <w:color w:val="24586A"/>
          <w:sz w:val="18"/>
        </w:rPr>
        <w:t xml:space="preserve">表 10  六个数据集的标签来源及本地映射概要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color="D9E2E7"/>
          <w:left w:val="single" w:sz="4" w:color="D9E2E7"/>
          <w:bottom w:val="single" w:sz="4" w:color="D9E2E7"/>
          <w:right w:val="single" w:sz="4" w:color="D9E2E7"/>
          <w:insideH w:val="single" w:sz="4" w:color="D9E2E7"/>
          <w:insideV w:val="single" w:sz="4" w:color="D9E2E7"/>
        </w:tblBorders>
        <w:tblCellMar>
          <w:top w:w="28" w:type="dxa"/>
          <w:bottom w:w="28" w:type="dxa"/>
          <w:left w:w="70" w:type="dxa"/>
          <w:right w:w="70" w:type="dxa"/>
        </w:tblCellMar>
      </w:tblPr>
      <w:tblGrid>
        <w:gridCol w:w="1800"/>
        <w:gridCol w:w="2200"/>
        <w:gridCol w:w="5866"/>
      </w:tblGrid>
      <w:tr>
        <w:trPr>
          <w:cantSplit/>
          <w:tblHeader/>
        </w:trPr>
        <w:tc>
          <w:tcPr>
            <w:tcW w:type="dxa" w:w="18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数据集</w:t>
            </w:r>
          </w:p>
        </w:tc>
        <w:tc>
          <w:tcPr>
            <w:tcW w:type="dxa" w:w="2200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原生字段</w:t>
            </w:r>
          </w:p>
        </w:tc>
        <w:tc>
          <w:tcPr>
            <w:tcW w:type="dxa" w:w="5866"/>
            <w:vAlign w:val="center"/>
            <w:shd w:fill="24586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FFFFFF"/>
                <w:b w:val="1"/>
              </w:rPr>
              <w:t xml:space="preserve">固定映射概要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LoCoMo-Refined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category</w:t>
            </w:r>
          </w:p>
        </w:tc>
        <w:tc>
          <w:tcPr>
            <w:tcW w:type="dxa" w:w="58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1→B1；2→C1；3→B4；4→A1。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LongMemEval-S</w:t>
            </w:r>
          </w:p>
        </w:tc>
        <w:tc>
          <w:tcPr>
            <w:tcW w:type="dxa" w:w="22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question_type；question_id 后缀</w:t>
            </w:r>
          </w:p>
        </w:tc>
        <w:tc>
          <w:tcPr>
            <w:tcW w:type="dxa" w:w="58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用户/助手单会话→A1；单会话偏好→E1；多会话→B1；知识更新→D1；时间推理→C1。ID 以 _abs 结尾时优先映射 H1。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CLBench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metadata.</w:t>
              <w:br/>
              <w:t xml:space="preserve">context_category</w:t>
            </w:r>
          </w:p>
        </w:tc>
        <w:tc>
          <w:tcPr>
            <w:tcW w:type="dxa" w:w="58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领域知识推理→G1；规则系统应用→G2；程序任务执行→G3；经验发现与模拟→G4。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PersonaMem v1</w:t>
            </w:r>
          </w:p>
        </w:tc>
        <w:tc>
          <w:tcPr>
            <w:tcW w:type="dxa" w:w="22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question_type</w:t>
            </w:r>
          </w:p>
        </w:tc>
        <w:tc>
          <w:tcPr>
            <w:tcW w:type="dxa" w:w="58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事实召回类→A1；偏好演变、更新原因类→C3；偏好推荐、新情景迁移及新想法类→E1。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PersonaMem v2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pref_type</w:t>
            </w:r>
          </w:p>
        </w:tc>
        <w:tc>
          <w:tcPr>
            <w:tcW w:type="dxa" w:w="5866"/>
            <w:vAlign w:val="center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常规偏好→E1；刻板/反刻板偏好→E2；健康与心理背景→E3；要求遗忘→D3；敏感信息→H2。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BEAM</w:t>
            </w:r>
          </w:p>
        </w:tc>
        <w:tc>
          <w:tcPr>
            <w:tcW w:type="dxa" w:w="2200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probing_questions 的原生类型键</w:t>
            </w:r>
          </w:p>
        </w:tc>
        <w:tc>
          <w:tcPr>
            <w:tcW w:type="dxa" w:w="5866"/>
            <w:vAlign w:val="center"/>
            <w:shd w:fill="F5F8FA"/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  <w:color w:val="213547"/>
                <w:b w:val="0"/>
              </w:rPr>
              <w:t xml:space="preserve">信息抽取→A3；偏好遵循→E1；拒答→H1；知识更新→D1；冲突消解→D2；事件顺序→C2；时间推理→C1；跨会话推理→B1；摘要→F1；指令遵循→G5。</w:t>
            </w:r>
          </w:p>
        </w:tc>
      </w:tr>
    </w:tbl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例如，LongMemEval 的 question_type=multi-session 映射为 B1，PersonaMem v2 的 pref_type=ask_to_forget 映射为 D3，BEAM 的 information_extraction 映射为 A3。映射由代码或 JSON 查表完成；原生 loader 核验确认本次清单与这些规则一致，没有额外进行逐题语义重标注。</w:t>
      </w:r>
    </w:p>
    <w:p>
      <w:pPr>
        <w:pStyle w:val="Heading2"/>
        <w:widowControl/>
      </w:pPr>
      <w:r>
        <w:t xml:space="preserve">7.2  应如何解释这些标签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这些规则按原生题型作粗粒度归类，当前每题只分配一个小类，尚未进行逐题、多标签的语义审核。一道题可能同时需要多种能力，标签统计因此反映当前映射口径，不能完整代表问题的全部认知需求。A2/B2/B3 为 0 说明现有六数据集版本没有对应的已验证代理映射，不能据此断言原题完全不涉及这些能力。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D3、H2 仅观测回答中的遗忘遵循和敏感信息披露行为，不能直接证明底层存储已删除记忆或具备访问控制。真实评测中的记忆 LLM、Answer 与 Judge 用于提取、作答和判分；其用途与这里的小类规则映射不同。能力标签留在评测侧，不作为记忆方法的历史或查询输入。</w:t>
      </w:r>
    </w:p>
    <w:p>
      <w:pPr>
        <w:keepNext w:val="0"/>
        <w:spacing w:after="90" w:before="0" w:line="250" w:lineRule="auto"/>
        <w:widowControl/>
      </w:pPr>
      <w:r>
        <w:rPr>
          <w:rFonts w:ascii="Noto Sans CJK SC" w:hAnsi="Noto Sans CJK SC" w:eastAsia="Noto Sans CJK SC" w:cs="Noto Sans CJK SC"/>
          <w:b w:val="0"/>
          <w:color w:val="213547"/>
          <w:sz w:val="20"/>
        </w:rPr>
        <w:t xml:space="preserve">“本项目未用 LLM 逐题标注”仅描述本地映射和本次抽样流程。数据集作者最初是否使用 LLM 生成题目或标注原生类别，需要另查各数据集制作说明；仅凭本次代码和字段不能认定其制作过程完全没有 LLM 参与。</w:t>
      </w:r>
    </w:p>
    <w:p>
      <w:pPr>
        <w:pStyle w:val="Heading2"/>
        <w:widowControl/>
      </w:pPr>
      <w:r>
        <w:t xml:space="preserve">核验与复现依据</w:t>
      </w:r>
    </w:p>
    <w:p>
      <w:pPr>
        <w:keepNext w:val="0"/>
        <w:spacing w:after="80" w:before="0"/>
        <w:widowControl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 xml:space="preserve">抽样与计数：scripts/sample_five_seeds.py；runs/sampling-five-seeds-20261015-v1/summary.json、leaf_counts.csv、family_counts.csv。</w:t>
      </w:r>
    </w:p>
    <w:p>
      <w:pPr>
        <w:keepNext w:val="0"/>
        <w:spacing w:after="80" w:before="0"/>
        <w:widowControl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 xml:space="preserve">每轮来源：同目录 seed-{seed}/selected_histories.json、eligible_questions.jsonl、selected_questions.jsonl；原生对应核验见 validation.json。</w:t>
      </w:r>
    </w:p>
    <w:p>
      <w:pPr>
        <w:keepNext w:val="0"/>
        <w:spacing w:after="80" w:before="0"/>
        <w:widowControl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 xml:space="preserve">映射规则：src/memory_benchmark/benchmarks/locomo_refined/capability_map.json；longmemeval/capability_map.json；public_datasets.py 中 BEAM_LEAVES、CL_LEAVES、V1_LEAVES、V2_LEAVES。</w:t>
      </w:r>
    </w:p>
    <w:p>
      <w:pPr>
        <w:keepNext w:val="0"/>
        <w:spacing w:after="80" w:before="0"/>
        <w:widowControl/>
      </w:pPr>
      <w:r>
        <w:rPr>
          <w:rFonts w:ascii="Noto Sans CJK SC" w:hAnsi="Noto Sans CJK SC" w:eastAsia="Noto Sans CJK SC" w:cs="Noto Sans CJK SC"/>
          <w:b w:val="0"/>
          <w:color w:val="5E6C77"/>
          <w:sz w:val="17"/>
        </w:rPr>
        <w:t xml:space="preserve">taxonomy：sources/taxonomy.json；分组关系：src/memory_benchmark/pipeline/aggregate.py。原表 3 的 24 个小类、旧题数和来源构成已保持原值。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5E6C77"/>
        <w:sz w:val="16"/>
      </w:rPr>
      <w:t xml:space="preserve">2026-10-15     ·     </w:t>
    </w:r>
    <w:r>
      <w:rPr>
        <w:rFonts w:ascii="Noto Sans CJK SC" w:hAnsi="Noto Sans CJK SC" w:eastAsia="Noto Sans CJK SC" w:cs="Noto Sans CJK SC"/>
        <w:b w:val="0"/>
        <w:color w:val="5E6C77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b w:val="0"/>
        <w:color w:val="5E6C77"/>
        <w:sz w:val="16"/>
      </w:rPr>
      <w:t xml:space="preserve"> / </w:t>
    </w:r>
    <w:r>
      <w:rPr>
        <w:rFonts w:ascii="Noto Sans CJK SC" w:hAnsi="Noto Sans CJK SC" w:eastAsia="Noto Sans CJK SC" w:cs="Noto Sans CJK SC"/>
        <w:b w:val="0"/>
        <w:color w:val="5E6C77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 w:cs="Noto Sans CJK SC"/>
        <w:b w:val="0"/>
        <w:color w:val="5E6C77"/>
        <w:sz w:val="16"/>
      </w:rPr>
      <w:t>AMI_Benchmark / 记忆评测与抽样分析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eastAsia="Noto Sans CJK SC"/>
      <w:b/>
      <w:bCs/>
      <w:color w:val="2458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eastAsia="Noto Sans CJK SC"/>
      <w:b/>
      <w:bCs/>
      <w:color w:val="24586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AMI_Benchmark</dc:title>
  <dc:subject>智能体记忆评测与五轮抽样分析报告</dc:subject>
  <dc:creator>Agent Memory Benchmark</dc:creator>
  <cp:keywords>AMI, Benchmark, memory, evaluation, sampling, taxonomy, 99, 4050</cp:keywords>
  <dc:description>依据仓库冻结数据及计分实现整理；生成过程未运行真实评测。</dc:description>
  <cp:lastModifiedBy/>
  <cp:revision>1</cp:revision>
  <dcterms:created xsi:type="dcterms:W3CDTF">2013-12-23T23:15:00Z</dcterms:created>
  <dcterms:modified xsi:type="dcterms:W3CDTF">2026-10-15T07:14:13Z</dcterms:modified>
  <cp:category/>
</cp:coreProperties>
</file>