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723FA3">
      <w:pPr>
        <w:spacing w:after="40"/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F56B00"/>
          <w:sz w:val="32"/>
        </w:rPr>
        <w:t>团崽 AI：基于美团小团的多人周末出行规划 Agent</w:t>
      </w:r>
    </w:p>
    <w:p w14:paraId="594D596D">
      <w:pPr>
        <w:spacing w:after="160"/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585858"/>
          <w:sz w:val="17"/>
        </w:rPr>
        <w:t>比赛提交设计文档｜Planning + Tool-use + Execution + Recovery</w:t>
      </w:r>
    </w:p>
    <w:p w14:paraId="2077609F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1. 产品目标与场景</w:t>
      </w:r>
    </w:p>
    <w:p w14:paraId="2A6BAA10">
      <w:pPr>
        <w:spacing w:after="40" w:line="259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1F1F1F"/>
          <w:sz w:val="17"/>
        </w:rPr>
        <w:t>团崽 AI 不是替代美团现有“小团”，而是基于美团小团能力的场景化升级。它聚焦多人周末出行场景，帮助用户通过一句话输入时间、预算、同行人和偏好，生成可执行的本地生活方案，并模拟完成活动安排、餐厅预约、路线提醒、异常兜底和同行人同步。</w:t>
      </w:r>
    </w:p>
    <w:p w14:paraId="62013409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2. Planning 策略</w:t>
      </w:r>
    </w:p>
    <w:p w14:paraId="0CECF8F9">
      <w:pPr>
        <w:spacing w:after="40" w:line="259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1F1F1F"/>
          <w:sz w:val="17"/>
        </w:rPr>
        <w:t>Agent 首先解析时间、预算、同行人、场景偏好、天气、距离、是否少走路、是否室内、是否不要太晚、是否安静，以及是否可预约、可排队、可买券等约束；再合并用户个人偏好、美团好友授权偏好、手动创建同行人偏好和分享邀请同行人偏好。</w:t>
      </w:r>
    </w:p>
    <w:p w14:paraId="3B54AF8A">
      <w:pPr>
        <w:pStyle w:val="16"/>
        <w:spacing w:after="20" w:line="25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1F1F1F"/>
          <w:sz w:val="16"/>
        </w:rPr>
        <w:t>场景识别：情侣约会、朋友聚会、亲子周末、带老人少走路、雨天室内、低预算不踩雷、安静餐厅优先、多人偏好平衡。</w:t>
      </w:r>
    </w:p>
    <w:p w14:paraId="5E97B00D">
      <w:pPr>
        <w:pStyle w:val="16"/>
        <w:spacing w:after="20" w:line="25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1F1F1F"/>
          <w:sz w:val="16"/>
        </w:rPr>
        <w:t>排序公式：preferenceMatch + distanceScore + budgetScore + availabilityScore + timeFitScore + ratingScore - riskPenalty。</w:t>
      </w:r>
    </w:p>
    <w:p w14:paraId="2A327855">
      <w:pPr>
        <w:pStyle w:val="16"/>
        <w:spacing w:after="20" w:line="25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1F1F1F"/>
          <w:sz w:val="16"/>
        </w:rPr>
        <w:t>约束目标：优先同商圈、少走路、预算内、低排队、可预约，并根据同行人类型调整活动和餐厅组合。</w:t>
      </w:r>
    </w:p>
    <w:p w14:paraId="7132A6DA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3. Tool 调用链路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23"/>
        <w:gridCol w:w="3523"/>
        <w:gridCol w:w="3523"/>
      </w:tblGrid>
      <w:tr w14:paraId="570FCF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23" w:type="dxa"/>
            <w:tcBorders>
              <w:top w:val="single" w:color="E6E6E6" w:sz="4" w:space="0"/>
              <w:left w:val="single" w:color="E6E6E6" w:sz="4" w:space="0"/>
              <w:bottom w:val="single" w:color="E6E6E6" w:sz="4" w:space="0"/>
              <w:right w:val="single" w:color="E6E6E6" w:sz="4" w:space="0"/>
            </w:tcBorders>
            <w:shd w:val="clear" w:color="auto" w:fill="FFF4CC"/>
            <w:vAlign w:val="center"/>
          </w:tcPr>
          <w:p w14:paraId="113A7C49">
            <w:pPr>
              <w:spacing w:before="0" w:after="0" w:line="259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F1F1F"/>
                <w:sz w:val="16"/>
              </w:rPr>
              <w:t>阶段</w:t>
            </w:r>
          </w:p>
        </w:tc>
        <w:tc>
          <w:tcPr>
            <w:tcW w:w="3523" w:type="dxa"/>
            <w:tcBorders>
              <w:top w:val="single" w:color="E6E6E6" w:sz="4" w:space="0"/>
              <w:left w:val="single" w:color="E6E6E6" w:sz="4" w:space="0"/>
              <w:bottom w:val="single" w:color="E6E6E6" w:sz="4" w:space="0"/>
              <w:right w:val="single" w:color="E6E6E6" w:sz="4" w:space="0"/>
            </w:tcBorders>
            <w:shd w:val="clear" w:color="auto" w:fill="FFF4CC"/>
            <w:vAlign w:val="center"/>
          </w:tcPr>
          <w:p w14:paraId="533DE76F">
            <w:pPr>
              <w:spacing w:before="0" w:after="0" w:line="259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F1F1F"/>
                <w:sz w:val="16"/>
              </w:rPr>
              <w:t>Mock Tools</w:t>
            </w:r>
          </w:p>
        </w:tc>
        <w:tc>
          <w:tcPr>
            <w:tcW w:w="3523" w:type="dxa"/>
            <w:tcBorders>
              <w:top w:val="single" w:color="E6E6E6" w:sz="4" w:space="0"/>
              <w:left w:val="single" w:color="E6E6E6" w:sz="4" w:space="0"/>
              <w:bottom w:val="single" w:color="E6E6E6" w:sz="4" w:space="0"/>
              <w:right w:val="single" w:color="E6E6E6" w:sz="4" w:space="0"/>
            </w:tcBorders>
            <w:shd w:val="clear" w:color="auto" w:fill="FFF4CC"/>
            <w:vAlign w:val="center"/>
          </w:tcPr>
          <w:p w14:paraId="67ECEE7E">
            <w:pPr>
              <w:spacing w:before="0" w:after="0" w:line="259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F1F1F"/>
                <w:sz w:val="16"/>
              </w:rPr>
              <w:t>作用</w:t>
            </w:r>
          </w:p>
        </w:tc>
      </w:tr>
      <w:tr w14:paraId="1FA49D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23" w:type="dxa"/>
            <w:tcBorders>
              <w:top w:val="single" w:color="E6E6E6" w:sz="4" w:space="0"/>
              <w:left w:val="single" w:color="E6E6E6" w:sz="4" w:space="0"/>
              <w:bottom w:val="single" w:color="E6E6E6" w:sz="4" w:space="0"/>
              <w:right w:val="single" w:color="E6E6E6" w:sz="4" w:space="0"/>
            </w:tcBorders>
            <w:shd w:val="clear" w:color="auto" w:fill="F8F8F8"/>
            <w:vAlign w:val="center"/>
          </w:tcPr>
          <w:p w14:paraId="09A8C44E">
            <w:pPr>
              <w:spacing w:before="0" w:after="0" w:line="259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1F1F"/>
                <w:sz w:val="15"/>
              </w:rPr>
              <w:t>需求理解</w:t>
            </w:r>
          </w:p>
        </w:tc>
        <w:tc>
          <w:tcPr>
            <w:tcW w:w="3523" w:type="dxa"/>
            <w:tcBorders>
              <w:top w:val="single" w:color="E6E6E6" w:sz="4" w:space="0"/>
              <w:left w:val="single" w:color="E6E6E6" w:sz="4" w:space="0"/>
              <w:bottom w:val="single" w:color="E6E6E6" w:sz="4" w:space="0"/>
              <w:right w:val="single" w:color="E6E6E6" w:sz="4" w:space="0"/>
            </w:tcBorders>
            <w:shd w:val="clear" w:color="auto" w:fill="F8F8F8"/>
            <w:vAlign w:val="center"/>
          </w:tcPr>
          <w:p w14:paraId="2D6178A2">
            <w:pPr>
              <w:spacing w:before="0" w:after="0" w:line="259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1F1F"/>
                <w:sz w:val="15"/>
              </w:rPr>
              <w:t>parseUserIntent(), getUserPreferenceMemory()</w:t>
            </w:r>
          </w:p>
        </w:tc>
        <w:tc>
          <w:tcPr>
            <w:tcW w:w="3523" w:type="dxa"/>
            <w:tcBorders>
              <w:top w:val="single" w:color="E6E6E6" w:sz="4" w:space="0"/>
              <w:left w:val="single" w:color="E6E6E6" w:sz="4" w:space="0"/>
              <w:bottom w:val="single" w:color="E6E6E6" w:sz="4" w:space="0"/>
              <w:right w:val="single" w:color="E6E6E6" w:sz="4" w:space="0"/>
            </w:tcBorders>
            <w:shd w:val="clear" w:color="auto" w:fill="F8F8F8"/>
            <w:vAlign w:val="center"/>
          </w:tcPr>
          <w:p w14:paraId="6AEF96C3">
            <w:pPr>
              <w:spacing w:before="0" w:after="0" w:line="259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1F1F"/>
                <w:sz w:val="15"/>
              </w:rPr>
              <w:t>解析自然语言，读取用户偏好记忆。</w:t>
            </w:r>
          </w:p>
        </w:tc>
      </w:tr>
      <w:tr w14:paraId="556C6A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23" w:type="dxa"/>
            <w:tcBorders>
              <w:top w:val="single" w:color="E6E6E6" w:sz="4" w:space="0"/>
              <w:left w:val="single" w:color="E6E6E6" w:sz="4" w:space="0"/>
              <w:bottom w:val="single" w:color="E6E6E6" w:sz="4" w:space="0"/>
              <w:right w:val="single" w:color="E6E6E6" w:sz="4" w:space="0"/>
            </w:tcBorders>
            <w:shd w:val="clear" w:color="auto" w:fill="F8F8F8"/>
            <w:vAlign w:val="center"/>
          </w:tcPr>
          <w:p w14:paraId="60B3217E">
            <w:pPr>
              <w:spacing w:before="0" w:after="0" w:line="259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1F1F"/>
                <w:sz w:val="15"/>
              </w:rPr>
              <w:t>同行协调</w:t>
            </w:r>
          </w:p>
        </w:tc>
        <w:tc>
          <w:tcPr>
            <w:tcW w:w="3523" w:type="dxa"/>
            <w:tcBorders>
              <w:top w:val="single" w:color="E6E6E6" w:sz="4" w:space="0"/>
              <w:left w:val="single" w:color="E6E6E6" w:sz="4" w:space="0"/>
              <w:bottom w:val="single" w:color="E6E6E6" w:sz="4" w:space="0"/>
              <w:right w:val="single" w:color="E6E6E6" w:sz="4" w:space="0"/>
            </w:tcBorders>
            <w:shd w:val="clear" w:color="auto" w:fill="F8F8F8"/>
            <w:vAlign w:val="center"/>
          </w:tcPr>
          <w:p w14:paraId="5B729C9F">
            <w:pPr>
              <w:spacing w:before="0" w:after="0" w:line="259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1F1F"/>
                <w:sz w:val="15"/>
              </w:rPr>
              <w:t>requestCompanionAuthorization(), mergeGroupPreferences()</w:t>
            </w:r>
          </w:p>
        </w:tc>
        <w:tc>
          <w:tcPr>
            <w:tcW w:w="3523" w:type="dxa"/>
            <w:tcBorders>
              <w:top w:val="single" w:color="E6E6E6" w:sz="4" w:space="0"/>
              <w:left w:val="single" w:color="E6E6E6" w:sz="4" w:space="0"/>
              <w:bottom w:val="single" w:color="E6E6E6" w:sz="4" w:space="0"/>
              <w:right w:val="single" w:color="E6E6E6" w:sz="4" w:space="0"/>
            </w:tcBorders>
            <w:shd w:val="clear" w:color="auto" w:fill="F8F8F8"/>
            <w:vAlign w:val="center"/>
          </w:tcPr>
          <w:p w14:paraId="060D2918">
            <w:pPr>
              <w:spacing w:before="0" w:after="0" w:line="259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1F1F"/>
                <w:sz w:val="15"/>
              </w:rPr>
              <w:t>模拟本次偏好授权，合并多人偏好。</w:t>
            </w:r>
          </w:p>
        </w:tc>
      </w:tr>
      <w:tr w14:paraId="5DEB6C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23" w:type="dxa"/>
            <w:tcBorders>
              <w:top w:val="single" w:color="E6E6E6" w:sz="4" w:space="0"/>
              <w:left w:val="single" w:color="E6E6E6" w:sz="4" w:space="0"/>
              <w:bottom w:val="single" w:color="E6E6E6" w:sz="4" w:space="0"/>
              <w:right w:val="single" w:color="E6E6E6" w:sz="4" w:space="0"/>
            </w:tcBorders>
            <w:shd w:val="clear" w:color="auto" w:fill="F8F8F8"/>
            <w:vAlign w:val="center"/>
          </w:tcPr>
          <w:p w14:paraId="798EB211">
            <w:pPr>
              <w:spacing w:before="0" w:after="0" w:line="259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1F1F"/>
                <w:sz w:val="15"/>
              </w:rPr>
              <w:t>场景判断</w:t>
            </w:r>
          </w:p>
        </w:tc>
        <w:tc>
          <w:tcPr>
            <w:tcW w:w="3523" w:type="dxa"/>
            <w:tcBorders>
              <w:top w:val="single" w:color="E6E6E6" w:sz="4" w:space="0"/>
              <w:left w:val="single" w:color="E6E6E6" w:sz="4" w:space="0"/>
              <w:bottom w:val="single" w:color="E6E6E6" w:sz="4" w:space="0"/>
              <w:right w:val="single" w:color="E6E6E6" w:sz="4" w:space="0"/>
            </w:tcBorders>
            <w:shd w:val="clear" w:color="auto" w:fill="F8F8F8"/>
            <w:vAlign w:val="center"/>
          </w:tcPr>
          <w:p w14:paraId="21836FDE">
            <w:pPr>
              <w:spacing w:before="0" w:after="0" w:line="259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1F1F"/>
                <w:sz w:val="15"/>
              </w:rPr>
              <w:t>detectSceneType()</w:t>
            </w:r>
          </w:p>
        </w:tc>
        <w:tc>
          <w:tcPr>
            <w:tcW w:w="3523" w:type="dxa"/>
            <w:tcBorders>
              <w:top w:val="single" w:color="E6E6E6" w:sz="4" w:space="0"/>
              <w:left w:val="single" w:color="E6E6E6" w:sz="4" w:space="0"/>
              <w:bottom w:val="single" w:color="E6E6E6" w:sz="4" w:space="0"/>
              <w:right w:val="single" w:color="E6E6E6" w:sz="4" w:space="0"/>
            </w:tcBorders>
            <w:shd w:val="clear" w:color="auto" w:fill="F8F8F8"/>
            <w:vAlign w:val="center"/>
          </w:tcPr>
          <w:p w14:paraId="08212ACC">
            <w:pPr>
              <w:spacing w:before="0" w:after="0" w:line="259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1F1F"/>
                <w:sz w:val="15"/>
              </w:rPr>
              <w:t>识别约会、朋友、亲子、老人、雨天、低预算等场景。</w:t>
            </w:r>
          </w:p>
        </w:tc>
      </w:tr>
      <w:tr w14:paraId="551B86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23" w:type="dxa"/>
            <w:tcBorders>
              <w:top w:val="single" w:color="E6E6E6" w:sz="4" w:space="0"/>
              <w:left w:val="single" w:color="E6E6E6" w:sz="4" w:space="0"/>
              <w:bottom w:val="single" w:color="E6E6E6" w:sz="4" w:space="0"/>
              <w:right w:val="single" w:color="E6E6E6" w:sz="4" w:space="0"/>
            </w:tcBorders>
            <w:shd w:val="clear" w:color="auto" w:fill="F8F8F8"/>
            <w:vAlign w:val="center"/>
          </w:tcPr>
          <w:p w14:paraId="152A930C">
            <w:pPr>
              <w:spacing w:before="0" w:after="0" w:line="259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1F1F"/>
                <w:sz w:val="15"/>
              </w:rPr>
              <w:t>供给检索</w:t>
            </w:r>
          </w:p>
        </w:tc>
        <w:tc>
          <w:tcPr>
            <w:tcW w:w="3523" w:type="dxa"/>
            <w:tcBorders>
              <w:top w:val="single" w:color="E6E6E6" w:sz="4" w:space="0"/>
              <w:left w:val="single" w:color="E6E6E6" w:sz="4" w:space="0"/>
              <w:bottom w:val="single" w:color="E6E6E6" w:sz="4" w:space="0"/>
              <w:right w:val="single" w:color="E6E6E6" w:sz="4" w:space="0"/>
            </w:tcBorders>
            <w:shd w:val="clear" w:color="auto" w:fill="F8F8F8"/>
            <w:vAlign w:val="center"/>
          </w:tcPr>
          <w:p w14:paraId="081AAE7C">
            <w:pPr>
              <w:spacing w:before="0" w:after="0" w:line="259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1F1F"/>
                <w:sz w:val="15"/>
              </w:rPr>
              <w:t>searchNearbyActivities(), searchRestaurants()</w:t>
            </w:r>
          </w:p>
        </w:tc>
        <w:tc>
          <w:tcPr>
            <w:tcW w:w="3523" w:type="dxa"/>
            <w:tcBorders>
              <w:top w:val="single" w:color="E6E6E6" w:sz="4" w:space="0"/>
              <w:left w:val="single" w:color="E6E6E6" w:sz="4" w:space="0"/>
              <w:bottom w:val="single" w:color="E6E6E6" w:sz="4" w:space="0"/>
              <w:right w:val="single" w:color="E6E6E6" w:sz="4" w:space="0"/>
            </w:tcBorders>
            <w:shd w:val="clear" w:color="auto" w:fill="F8F8F8"/>
            <w:vAlign w:val="center"/>
          </w:tcPr>
          <w:p w14:paraId="7F1EE2B2">
            <w:pPr>
              <w:spacing w:before="0" w:after="0" w:line="259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1F1F"/>
                <w:sz w:val="15"/>
              </w:rPr>
              <w:t>检索活动、餐厅、咖啡、电影等本地生活供给。</w:t>
            </w:r>
          </w:p>
        </w:tc>
      </w:tr>
      <w:tr w14:paraId="7E5E69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23" w:type="dxa"/>
            <w:tcBorders>
              <w:top w:val="single" w:color="E6E6E6" w:sz="4" w:space="0"/>
              <w:left w:val="single" w:color="E6E6E6" w:sz="4" w:space="0"/>
              <w:bottom w:val="single" w:color="E6E6E6" w:sz="4" w:space="0"/>
              <w:right w:val="single" w:color="E6E6E6" w:sz="4" w:space="0"/>
            </w:tcBorders>
            <w:shd w:val="clear" w:color="auto" w:fill="F8F8F8"/>
            <w:vAlign w:val="center"/>
          </w:tcPr>
          <w:p w14:paraId="49FB1923">
            <w:pPr>
              <w:spacing w:before="0" w:after="0" w:line="259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1F1F"/>
                <w:sz w:val="15"/>
              </w:rPr>
              <w:t>可执行校验</w:t>
            </w:r>
          </w:p>
        </w:tc>
        <w:tc>
          <w:tcPr>
            <w:tcW w:w="3523" w:type="dxa"/>
            <w:tcBorders>
              <w:top w:val="single" w:color="E6E6E6" w:sz="4" w:space="0"/>
              <w:left w:val="single" w:color="E6E6E6" w:sz="4" w:space="0"/>
              <w:bottom w:val="single" w:color="E6E6E6" w:sz="4" w:space="0"/>
              <w:right w:val="single" w:color="E6E6E6" w:sz="4" w:space="0"/>
            </w:tcBorders>
            <w:shd w:val="clear" w:color="auto" w:fill="F8F8F8"/>
            <w:vAlign w:val="center"/>
          </w:tcPr>
          <w:p w14:paraId="00CED1CD">
            <w:pPr>
              <w:spacing w:before="0" w:after="0" w:line="259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1F1F"/>
                <w:sz w:val="15"/>
              </w:rPr>
              <w:t>checkBusinessHours(), checkAvailability()</w:t>
            </w:r>
          </w:p>
        </w:tc>
        <w:tc>
          <w:tcPr>
            <w:tcW w:w="3523" w:type="dxa"/>
            <w:tcBorders>
              <w:top w:val="single" w:color="E6E6E6" w:sz="4" w:space="0"/>
              <w:left w:val="single" w:color="E6E6E6" w:sz="4" w:space="0"/>
              <w:bottom w:val="single" w:color="E6E6E6" w:sz="4" w:space="0"/>
              <w:right w:val="single" w:color="E6E6E6" w:sz="4" w:space="0"/>
            </w:tcBorders>
            <w:shd w:val="clear" w:color="auto" w:fill="F8F8F8"/>
            <w:vAlign w:val="center"/>
          </w:tcPr>
          <w:p w14:paraId="43CFF6EF">
            <w:pPr>
              <w:spacing w:before="0" w:after="0" w:line="259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1F1F"/>
                <w:sz w:val="15"/>
              </w:rPr>
              <w:t>检查营业时间、余票、预约、排队和可买券状态。</w:t>
            </w:r>
          </w:p>
        </w:tc>
      </w:tr>
      <w:tr w14:paraId="71DC8C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23" w:type="dxa"/>
            <w:tcBorders>
              <w:top w:val="single" w:color="E6E6E6" w:sz="4" w:space="0"/>
              <w:left w:val="single" w:color="E6E6E6" w:sz="4" w:space="0"/>
              <w:bottom w:val="single" w:color="E6E6E6" w:sz="4" w:space="0"/>
              <w:right w:val="single" w:color="E6E6E6" w:sz="4" w:space="0"/>
            </w:tcBorders>
            <w:shd w:val="clear" w:color="auto" w:fill="F8F8F8"/>
            <w:vAlign w:val="center"/>
          </w:tcPr>
          <w:p w14:paraId="107C8F55">
            <w:pPr>
              <w:spacing w:before="0" w:after="0" w:line="259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1F1F"/>
                <w:sz w:val="15"/>
              </w:rPr>
              <w:t>规划排序</w:t>
            </w:r>
          </w:p>
        </w:tc>
        <w:tc>
          <w:tcPr>
            <w:tcW w:w="3523" w:type="dxa"/>
            <w:tcBorders>
              <w:top w:val="single" w:color="E6E6E6" w:sz="4" w:space="0"/>
              <w:left w:val="single" w:color="E6E6E6" w:sz="4" w:space="0"/>
              <w:bottom w:val="single" w:color="E6E6E6" w:sz="4" w:space="0"/>
              <w:right w:val="single" w:color="E6E6E6" w:sz="4" w:space="0"/>
            </w:tcBorders>
            <w:shd w:val="clear" w:color="auto" w:fill="F8F8F8"/>
            <w:vAlign w:val="center"/>
          </w:tcPr>
          <w:p w14:paraId="7992E974">
            <w:pPr>
              <w:spacing w:before="0" w:after="0" w:line="259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1F1F"/>
                <w:sz w:val="15"/>
              </w:rPr>
              <w:t>estimateRoute(), calculateBudget(), rankPlans()</w:t>
            </w:r>
          </w:p>
        </w:tc>
        <w:tc>
          <w:tcPr>
            <w:tcW w:w="3523" w:type="dxa"/>
            <w:tcBorders>
              <w:top w:val="single" w:color="E6E6E6" w:sz="4" w:space="0"/>
              <w:left w:val="single" w:color="E6E6E6" w:sz="4" w:space="0"/>
              <w:bottom w:val="single" w:color="E6E6E6" w:sz="4" w:space="0"/>
              <w:right w:val="single" w:color="E6E6E6" w:sz="4" w:space="0"/>
            </w:tcBorders>
            <w:shd w:val="clear" w:color="auto" w:fill="F8F8F8"/>
            <w:vAlign w:val="center"/>
          </w:tcPr>
          <w:p w14:paraId="2BEDA50D">
            <w:pPr>
              <w:spacing w:before="0" w:after="0" w:line="259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1F1F"/>
                <w:sz w:val="15"/>
              </w:rPr>
              <w:t>计算路线、预算和综合分，生成 3 个方案。</w:t>
            </w:r>
          </w:p>
        </w:tc>
      </w:tr>
      <w:tr w14:paraId="4DCEB9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23" w:type="dxa"/>
            <w:tcBorders>
              <w:top w:val="single" w:color="E6E6E6" w:sz="4" w:space="0"/>
              <w:left w:val="single" w:color="E6E6E6" w:sz="4" w:space="0"/>
              <w:bottom w:val="single" w:color="E6E6E6" w:sz="4" w:space="0"/>
              <w:right w:val="single" w:color="E6E6E6" w:sz="4" w:space="0"/>
            </w:tcBorders>
            <w:shd w:val="clear" w:color="auto" w:fill="F8F8F8"/>
            <w:vAlign w:val="center"/>
          </w:tcPr>
          <w:p w14:paraId="283CD4C6">
            <w:pPr>
              <w:spacing w:before="0" w:after="0" w:line="259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1F1F"/>
                <w:sz w:val="15"/>
              </w:rPr>
              <w:t>执行闭环</w:t>
            </w:r>
          </w:p>
        </w:tc>
        <w:tc>
          <w:tcPr>
            <w:tcW w:w="3523" w:type="dxa"/>
            <w:tcBorders>
              <w:top w:val="single" w:color="E6E6E6" w:sz="4" w:space="0"/>
              <w:left w:val="single" w:color="E6E6E6" w:sz="4" w:space="0"/>
              <w:bottom w:val="single" w:color="E6E6E6" w:sz="4" w:space="0"/>
              <w:right w:val="single" w:color="E6E6E6" w:sz="4" w:space="0"/>
            </w:tcBorders>
            <w:shd w:val="clear" w:color="auto" w:fill="F8F8F8"/>
            <w:vAlign w:val="center"/>
          </w:tcPr>
          <w:p w14:paraId="6E7AC0FA">
            <w:pPr>
              <w:spacing w:before="0" w:after="0" w:line="259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1F1F"/>
                <w:sz w:val="15"/>
              </w:rPr>
              <w:t>createTicketOrder(), createRestaurantReservation(), createRouteReminder(), saveWeekendTrip(), syncTripToCompanions()</w:t>
            </w:r>
          </w:p>
        </w:tc>
        <w:tc>
          <w:tcPr>
            <w:tcW w:w="3523" w:type="dxa"/>
            <w:tcBorders>
              <w:top w:val="single" w:color="E6E6E6" w:sz="4" w:space="0"/>
              <w:left w:val="single" w:color="E6E6E6" w:sz="4" w:space="0"/>
              <w:bottom w:val="single" w:color="E6E6E6" w:sz="4" w:space="0"/>
              <w:right w:val="single" w:color="E6E6E6" w:sz="4" w:space="0"/>
            </w:tcBorders>
            <w:shd w:val="clear" w:color="auto" w:fill="F8F8F8"/>
            <w:vAlign w:val="center"/>
          </w:tcPr>
          <w:p w14:paraId="19958AD9">
            <w:pPr>
              <w:spacing w:before="0" w:after="0" w:line="259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1F1F"/>
                <w:sz w:val="15"/>
              </w:rPr>
              <w:t>模拟订票、订座、提醒、保存和同步。</w:t>
            </w:r>
          </w:p>
        </w:tc>
      </w:tr>
      <w:tr w14:paraId="72A49A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23" w:type="dxa"/>
            <w:tcBorders>
              <w:top w:val="single" w:color="E6E6E6" w:sz="4" w:space="0"/>
              <w:left w:val="single" w:color="E6E6E6" w:sz="4" w:space="0"/>
              <w:bottom w:val="single" w:color="E6E6E6" w:sz="4" w:space="0"/>
              <w:right w:val="single" w:color="E6E6E6" w:sz="4" w:space="0"/>
            </w:tcBorders>
            <w:shd w:val="clear" w:color="auto" w:fill="F8F8F8"/>
            <w:vAlign w:val="center"/>
          </w:tcPr>
          <w:p w14:paraId="7DA43C30">
            <w:pPr>
              <w:spacing w:before="0" w:after="0" w:line="259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1F1F"/>
                <w:sz w:val="15"/>
              </w:rPr>
              <w:t>异常恢复</w:t>
            </w:r>
          </w:p>
        </w:tc>
        <w:tc>
          <w:tcPr>
            <w:tcW w:w="3523" w:type="dxa"/>
            <w:tcBorders>
              <w:top w:val="single" w:color="E6E6E6" w:sz="4" w:space="0"/>
              <w:left w:val="single" w:color="E6E6E6" w:sz="4" w:space="0"/>
              <w:bottom w:val="single" w:color="E6E6E6" w:sz="4" w:space="0"/>
              <w:right w:val="single" w:color="E6E6E6" w:sz="4" w:space="0"/>
            </w:tcBorders>
            <w:shd w:val="clear" w:color="auto" w:fill="F8F8F8"/>
            <w:vAlign w:val="center"/>
          </w:tcPr>
          <w:p w14:paraId="68505BB9">
            <w:pPr>
              <w:spacing w:before="0" w:after="0" w:line="259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1F1F"/>
                <w:sz w:val="15"/>
              </w:rPr>
              <w:t>generateFallbackPlan()</w:t>
            </w:r>
          </w:p>
        </w:tc>
        <w:tc>
          <w:tcPr>
            <w:tcW w:w="3523" w:type="dxa"/>
            <w:tcBorders>
              <w:top w:val="single" w:color="E6E6E6" w:sz="4" w:space="0"/>
              <w:left w:val="single" w:color="E6E6E6" w:sz="4" w:space="0"/>
              <w:bottom w:val="single" w:color="E6E6E6" w:sz="4" w:space="0"/>
              <w:right w:val="single" w:color="E6E6E6" w:sz="4" w:space="0"/>
            </w:tcBorders>
            <w:shd w:val="clear" w:color="auto" w:fill="F8F8F8"/>
            <w:vAlign w:val="center"/>
          </w:tcPr>
          <w:p w14:paraId="2733C049">
            <w:pPr>
              <w:spacing w:before="0" w:after="0" w:line="259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F1F1F"/>
                <w:sz w:val="15"/>
              </w:rPr>
              <w:t>在满座、超预算、天气等异常下生成替代方案。</w:t>
            </w:r>
          </w:p>
        </w:tc>
      </w:tr>
    </w:tbl>
    <w:p w14:paraId="3DAFD800">
      <w:pPr>
        <w:spacing w:after="40" w:line="259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1F1F1F"/>
          <w:sz w:val="17"/>
        </w:rPr>
        <w:t>以上均为 Mock API 调用，不接真实美团 API，但模拟真实美团工具链和 Agent Tool Trace。</w:t>
      </w:r>
    </w:p>
    <w:p w14:paraId="556D08A0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4. 异常处理机制</w:t>
      </w:r>
    </w:p>
    <w:p w14:paraId="0D0CA385">
      <w:pPr>
        <w:pStyle w:val="16"/>
        <w:spacing w:after="20" w:line="25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1F1F1F"/>
          <w:sz w:val="16"/>
        </w:rPr>
        <w:t>餐厅满座：自动搜索同商圈、同预算、同偏好、可预约餐厅。</w:t>
      </w:r>
    </w:p>
    <w:p w14:paraId="245E4F8C">
      <w:pPr>
        <w:pStyle w:val="16"/>
        <w:spacing w:after="20" w:line="25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1F1F1F"/>
          <w:sz w:val="16"/>
        </w:rPr>
        <w:t>活动不可预订：替换同类型活动或室内备选。</w:t>
      </w:r>
    </w:p>
    <w:p w14:paraId="6D6281C0">
      <w:pPr>
        <w:pStyle w:val="16"/>
        <w:spacing w:after="20" w:line="25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1F1F1F"/>
          <w:sz w:val="16"/>
        </w:rPr>
        <w:t>超预算：降级套餐或替换更低价商家。</w:t>
      </w:r>
    </w:p>
    <w:p w14:paraId="349E4BD4">
      <w:pPr>
        <w:pStyle w:val="16"/>
        <w:spacing w:after="20" w:line="25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1F1F1F"/>
          <w:sz w:val="16"/>
        </w:rPr>
        <w:t>距离过远：替换为同商圈路线。</w:t>
      </w:r>
      <w:bookmarkStart w:id="0" w:name="_GoBack"/>
      <w:bookmarkEnd w:id="0"/>
    </w:p>
    <w:p w14:paraId="75A8BB68">
      <w:pPr>
        <w:pStyle w:val="16"/>
        <w:spacing w:after="20" w:line="25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1F1F1F"/>
          <w:sz w:val="16"/>
        </w:rPr>
        <w:t>天气不佳：切换为室内活动和商场动线。</w:t>
      </w:r>
    </w:p>
    <w:p w14:paraId="36AB7704">
      <w:pPr>
        <w:spacing w:after="40" w:line="259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1F1F1F"/>
          <w:sz w:val="17"/>
        </w:rPr>
        <w:t>Demo 重点展示：原推荐餐厅 18:00 已满 → 团崽调用商家预约状态 → 搜索可预约替代餐厅 → 比较评分、预算、距离和同行人偏好 → 切换餐厅 → 继续完成订座、路线提醒和行程保存。</w:t>
      </w:r>
    </w:p>
    <w:p w14:paraId="089E296D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5. 创新点与商业价值</w:t>
      </w:r>
    </w:p>
    <w:p w14:paraId="704F70BC">
      <w:pPr>
        <w:pStyle w:val="16"/>
        <w:spacing w:after="20" w:line="25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1F1F1F"/>
          <w:sz w:val="16"/>
        </w:rPr>
        <w:t>多人偏好协调：从“我去哪”升级为“我们适合去哪”，兼顾老人少走路、朋友喜欢热闹、情侣偏好拍照、孩子需要亲子友好等差异。</w:t>
      </w:r>
    </w:p>
    <w:p w14:paraId="034A229A">
      <w:pPr>
        <w:pStyle w:val="16"/>
        <w:spacing w:after="20" w:line="25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1F1F1F"/>
          <w:sz w:val="16"/>
        </w:rPr>
        <w:t>社交属性增强：支持选择美团好友、手动创建同行人、分享链接邀请；行程可同步给同行人的美团账号，临时同行人可通过链接查看。</w:t>
      </w:r>
    </w:p>
    <w:p w14:paraId="1C05860B">
      <w:pPr>
        <w:pStyle w:val="16"/>
        <w:spacing w:after="20" w:line="25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1F1F1F"/>
          <w:sz w:val="16"/>
        </w:rPr>
        <w:t>本地生活中台调度：利用预约、排队、营业时间、距离和库存状态，将用户从过热商家调度到同商圈合适替代供给，减少等待并平衡客流。</w:t>
      </w:r>
    </w:p>
    <w:p w14:paraId="07047F8B">
      <w:pPr>
        <w:pStyle w:val="16"/>
        <w:spacing w:after="20" w:line="25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1F1F1F"/>
          <w:sz w:val="16"/>
        </w:rPr>
        <w:t>执行闭环：不是只给攻略，而是模拟订票、订座、提醒、异常兜底和行程保存，体现“把事情做完”的 Agent 思路。</w:t>
      </w:r>
    </w:p>
    <w:p w14:paraId="13AD1E58">
      <w:pPr>
        <w:pStyle w:val="16"/>
        <w:spacing w:after="20" w:line="25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1F1F1F"/>
          <w:sz w:val="16"/>
        </w:rPr>
        <w:t>商业价值：提升美团周末打开频率，增加活动票、餐饮、咖啡、电影、休闲娱乐跨品类消费，提高预约订座和团购转化，增强用户粘性和商家资源利用率。</w:t>
      </w:r>
    </w:p>
    <w:sectPr>
      <w:pgSz w:w="12240" w:h="15840"/>
      <w:pgMar w:top="648" w:right="835" w:bottom="648" w:left="835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5C84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40" w:line="259" w:lineRule="auto"/>
    </w:pPr>
    <w:rPr>
      <w:rFonts w:ascii="微软雅黑" w:hAnsi="微软雅黑" w:eastAsia="微软雅黑" w:cstheme="minorBidi"/>
      <w:color w:val="1F1F1F"/>
      <w:sz w:val="17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100" w:after="40"/>
      <w:outlineLvl w:val="0"/>
    </w:pPr>
    <w:rPr>
      <w:rFonts w:asciiTheme="majorHAnsi" w:hAnsiTheme="majorHAnsi" w:eastAsiaTheme="majorEastAsia" w:cstheme="majorBidi"/>
      <w:b/>
      <w:bCs/>
      <w:color w:val="F56B00"/>
      <w:sz w:val="24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100" w:after="40"/>
      <w:outlineLvl w:val="1"/>
    </w:pPr>
    <w:rPr>
      <w:rFonts w:asciiTheme="majorHAnsi" w:hAnsiTheme="majorHAnsi" w:eastAsiaTheme="majorEastAsia" w:cstheme="majorBidi"/>
      <w:b/>
      <w:bCs/>
      <w:color w:val="1F1F1F"/>
      <w:sz w:val="20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00" w:after="40"/>
      <w:outlineLvl w:val="2"/>
    </w:pPr>
    <w:rPr>
      <w:rFonts w:asciiTheme="majorHAnsi" w:hAnsiTheme="majorHAnsi" w:eastAsiaTheme="majorEastAsia" w:cstheme="majorBidi"/>
      <w:b/>
      <w:bCs/>
      <w:color w:val="1F1F1F"/>
      <w:sz w:val="18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1119</Words>
  <Characters>1652</Characters>
  <Lines>0</Lines>
  <Paragraphs>0</Paragraphs>
  <TotalTime>0</TotalTime>
  <ScaleCrop>false</ScaleCrop>
  <LinksUpToDate>false</LinksUpToDate>
  <CharactersWithSpaces>1717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WPS_1630215696</cp:lastModifiedBy>
  <dcterms:modified xsi:type="dcterms:W3CDTF">2026-06-07T07:11:46Z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eyJoZGlkIjoiZmMwYzdjYTdlNjFiMTgyYjI5MzRkMDEwNTJjNDI0Y2QiLCJ1c2VySWQiOiIxMjYxODY3MDgyIn0=</vt:lpwstr>
  </property>
  <property fmtid="{D5CDD505-2E9C-101B-9397-08002B2CF9AE}" pid="3" name="KSOProductBuildVer">
    <vt:lpwstr>2052-12.1.0.26895</vt:lpwstr>
  </property>
  <property fmtid="{D5CDD505-2E9C-101B-9397-08002B2CF9AE}" pid="4" name="ICV">
    <vt:lpwstr>A39B8886EC764B759D5EFE8E43826C85_12</vt:lpwstr>
  </property>
</Properties>
</file>