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0"/>
        <w:gridCol w:w="9160"/>
      </w:tblGrid>
      <w:tr w:rsidR="00280934" w:rsidRPr="004964AF" w14:paraId="0C60C371" w14:textId="77777777">
        <w:tblPrEx>
          <w:tblCellMar>
            <w:top w:w="0" w:type="dxa"/>
            <w:bottom w:w="0" w:type="dxa"/>
          </w:tblCellMar>
        </w:tblPrEx>
        <w:trPr>
          <w:trHeight w:val="12000"/>
        </w:trPr>
        <w:tc>
          <w:tcPr>
            <w:tcW w:w="200" w:type="dxa"/>
            <w:tcBorders>
              <w:top w:val="none" w:sz="0" w:space="0" w:color="FFFFFF"/>
              <w:left w:val="none" w:sz="0" w:space="0" w:color="FFFFFF"/>
              <w:bottom w:val="none" w:sz="0" w:space="0" w:color="FFFFFF"/>
              <w:right w:val="none" w:sz="0" w:space="0" w:color="FFFFFF"/>
            </w:tcBorders>
            <w:shd w:val="clear" w:color="auto" w:fill="8B0000"/>
            <w:tcMar>
              <w:top w:w="0" w:type="dxa"/>
              <w:left w:w="0" w:type="dxa"/>
              <w:bottom w:w="0" w:type="dxa"/>
              <w:right w:w="0" w:type="dxa"/>
            </w:tcMar>
          </w:tcPr>
          <w:p w14:paraId="7D146AC9" w14:textId="77777777" w:rsidR="00280934" w:rsidRPr="004964AF" w:rsidRDefault="00280934">
            <w:pPr>
              <w:rPr>
                <w:rFonts w:ascii="CPN" w:hAnsi="CPN" w:cs="CPN" w:hint="cs"/>
              </w:rPr>
            </w:pPr>
          </w:p>
        </w:tc>
        <w:tc>
          <w:tcPr>
            <w:tcW w:w="9160" w:type="dxa"/>
            <w:tcBorders>
              <w:top w:val="none" w:sz="0" w:space="0" w:color="FFFFFF"/>
              <w:left w:val="none" w:sz="0" w:space="0" w:color="FFFFFF"/>
              <w:bottom w:val="none" w:sz="0" w:space="0" w:color="FFFFFF"/>
              <w:right w:val="none" w:sz="0" w:space="0" w:color="FFFFFF"/>
            </w:tcBorders>
            <w:tcMar>
              <w:top w:w="0" w:type="dxa"/>
              <w:left w:w="600" w:type="dxa"/>
              <w:bottom w:w="0" w:type="dxa"/>
              <w:right w:w="0" w:type="dxa"/>
            </w:tcMar>
          </w:tcPr>
          <w:p w14:paraId="1351AE30" w14:textId="77777777" w:rsidR="00280934" w:rsidRPr="004964AF" w:rsidRDefault="00000000">
            <w:pPr>
              <w:spacing w:before="600"/>
              <w:rPr>
                <w:rFonts w:ascii="CPN" w:hAnsi="CPN" w:cs="CPN" w:hint="cs"/>
              </w:rPr>
            </w:pPr>
            <w:r w:rsidRPr="004964AF">
              <w:rPr>
                <w:rFonts w:ascii="CPN" w:hAnsi="CPN" w:cs="CPN" w:hint="cs"/>
                <w:color w:val="595959"/>
                <w:spacing w:val="40"/>
                <w:sz w:val="16"/>
                <w:szCs w:val="16"/>
              </w:rPr>
              <w:t>CENTRAL GROUP   |   CMG ONLINE</w:t>
            </w:r>
          </w:p>
          <w:p w14:paraId="3F942301" w14:textId="77777777" w:rsidR="00280934" w:rsidRPr="004964AF" w:rsidRDefault="00280934">
            <w:pPr>
              <w:spacing w:before="3600"/>
              <w:rPr>
                <w:rFonts w:ascii="CPN" w:hAnsi="CPN" w:cs="CPN" w:hint="cs"/>
              </w:rPr>
            </w:pPr>
          </w:p>
          <w:p w14:paraId="310FC6B7" w14:textId="77777777" w:rsidR="00280934" w:rsidRPr="004964AF" w:rsidRDefault="00000000">
            <w:pPr>
              <w:spacing w:after="80"/>
              <w:rPr>
                <w:rFonts w:ascii="CPN" w:hAnsi="CPN" w:cs="CPN" w:hint="cs"/>
              </w:rPr>
            </w:pPr>
            <w:r w:rsidRPr="004964AF">
              <w:rPr>
                <w:rFonts w:ascii="CPN" w:hAnsi="CPN" w:cs="CPN" w:hint="cs"/>
                <w:b/>
                <w:bCs/>
                <w:color w:val="8B0000"/>
                <w:spacing w:val="80"/>
                <w:sz w:val="20"/>
                <w:szCs w:val="20"/>
              </w:rPr>
              <w:t>PROMOTION PROFILE</w:t>
            </w:r>
          </w:p>
          <w:p w14:paraId="45471CCB" w14:textId="77777777" w:rsidR="00280934" w:rsidRPr="004964AF" w:rsidRDefault="00000000">
            <w:pPr>
              <w:spacing w:before="120" w:after="80"/>
              <w:rPr>
                <w:rFonts w:ascii="CPN" w:hAnsi="CPN" w:cs="CPN" w:hint="cs"/>
              </w:rPr>
            </w:pPr>
            <w:r w:rsidRPr="004964AF">
              <w:rPr>
                <w:rFonts w:ascii="CPN" w:hAnsi="CPN" w:cs="CPN" w:hint="cs"/>
                <w:b/>
                <w:bCs/>
                <w:sz w:val="56"/>
                <w:szCs w:val="56"/>
              </w:rPr>
              <w:t>Department Manager</w:t>
            </w:r>
          </w:p>
          <w:p w14:paraId="54286811" w14:textId="77777777" w:rsidR="00280934" w:rsidRPr="004964AF" w:rsidRDefault="00000000">
            <w:pPr>
              <w:spacing w:after="80"/>
              <w:rPr>
                <w:rFonts w:ascii="CPN" w:hAnsi="CPN" w:cs="CPN" w:hint="cs"/>
              </w:rPr>
            </w:pPr>
            <w:proofErr w:type="gramStart"/>
            <w:r w:rsidRPr="004964AF">
              <w:rPr>
                <w:rFonts w:ascii="Courier New" w:hAnsi="Courier New" w:cs="Courier New"/>
                <w:b/>
                <w:bCs/>
                <w:color w:val="8B0000"/>
                <w:sz w:val="56"/>
                <w:szCs w:val="56"/>
              </w:rPr>
              <w:t>→</w:t>
            </w:r>
            <w:r w:rsidRPr="004964AF">
              <w:rPr>
                <w:rFonts w:ascii="CPN" w:hAnsi="CPN" w:cs="CPN" w:hint="cs"/>
                <w:b/>
                <w:bCs/>
                <w:color w:val="8B0000"/>
                <w:sz w:val="56"/>
                <w:szCs w:val="56"/>
              </w:rPr>
              <w:t xml:space="preserve">  Division</w:t>
            </w:r>
            <w:proofErr w:type="gramEnd"/>
            <w:r w:rsidRPr="004964AF">
              <w:rPr>
                <w:rFonts w:ascii="CPN" w:hAnsi="CPN" w:cs="CPN" w:hint="cs"/>
                <w:b/>
                <w:bCs/>
                <w:color w:val="8B0000"/>
                <w:sz w:val="56"/>
                <w:szCs w:val="56"/>
              </w:rPr>
              <w:t xml:space="preserve"> Manager</w:t>
            </w:r>
          </w:p>
          <w:p w14:paraId="2D2D4997" w14:textId="77777777" w:rsidR="00280934" w:rsidRPr="004964AF" w:rsidRDefault="00000000">
            <w:pPr>
              <w:spacing w:before="200"/>
              <w:rPr>
                <w:rFonts w:ascii="CPN" w:hAnsi="CPN" w:cs="CPN" w:hint="cs"/>
              </w:rPr>
            </w:pPr>
            <w:r w:rsidRPr="004964AF">
              <w:rPr>
                <w:rFonts w:ascii="CPN" w:hAnsi="CPN" w:cs="CPN" w:hint="cs"/>
                <w:color w:val="595959"/>
                <w:sz w:val="28"/>
                <w:szCs w:val="28"/>
              </w:rPr>
              <w:t>AI-Driven Process Optimization</w:t>
            </w:r>
          </w:p>
          <w:p w14:paraId="3D6CF189" w14:textId="77777777" w:rsidR="00280934" w:rsidRPr="004964AF" w:rsidRDefault="00000000">
            <w:pPr>
              <w:spacing w:before="60"/>
              <w:rPr>
                <w:rFonts w:ascii="CPN" w:hAnsi="CPN" w:cs="CPN" w:hint="cs"/>
              </w:rPr>
            </w:pPr>
            <w:r w:rsidRPr="004964AF">
              <w:rPr>
                <w:rFonts w:ascii="CPN" w:hAnsi="CPN" w:cs="CPN" w:hint="cs"/>
                <w:color w:val="595959"/>
                <w:sz w:val="20"/>
                <w:szCs w:val="20"/>
              </w:rPr>
              <w:t xml:space="preserve">Intelligent </w:t>
            </w:r>
            <w:proofErr w:type="gramStart"/>
            <w:r w:rsidRPr="004964AF">
              <w:rPr>
                <w:rFonts w:ascii="CPN" w:hAnsi="CPN" w:cs="CPN" w:hint="cs"/>
                <w:color w:val="595959"/>
                <w:sz w:val="20"/>
                <w:szCs w:val="20"/>
              </w:rPr>
              <w:t>Operations  ·</w:t>
            </w:r>
            <w:proofErr w:type="gramEnd"/>
            <w:r w:rsidRPr="004964AF">
              <w:rPr>
                <w:rFonts w:ascii="CPN" w:hAnsi="CPN" w:cs="CPN" w:hint="cs"/>
                <w:color w:val="595959"/>
                <w:sz w:val="20"/>
                <w:szCs w:val="20"/>
              </w:rPr>
              <w:t xml:space="preserve">  CMG WH Operation</w:t>
            </w:r>
          </w:p>
          <w:p w14:paraId="177AD9C8" w14:textId="77777777" w:rsidR="00280934" w:rsidRPr="004964AF" w:rsidRDefault="00280934">
            <w:pPr>
              <w:spacing w:before="3600"/>
              <w:rPr>
                <w:rFonts w:ascii="CPN" w:hAnsi="CPN" w:cs="CPN" w:hint="cs"/>
              </w:rPr>
            </w:pPr>
          </w:p>
          <w:p w14:paraId="5F018C4B" w14:textId="77777777" w:rsidR="00280934" w:rsidRPr="004964AF" w:rsidRDefault="00000000">
            <w:pPr>
              <w:spacing w:after="60"/>
              <w:rPr>
                <w:rFonts w:ascii="CPN" w:hAnsi="CPN" w:cs="CPN" w:hint="cs"/>
              </w:rPr>
            </w:pPr>
            <w:r w:rsidRPr="004964AF">
              <w:rPr>
                <w:rFonts w:ascii="CPN" w:hAnsi="CPN" w:cs="CPN" w:hint="cs"/>
                <w:b/>
                <w:bCs/>
                <w:color w:val="8B0000"/>
                <w:spacing w:val="80"/>
                <w:sz w:val="16"/>
                <w:szCs w:val="16"/>
              </w:rPr>
              <w:t>CANDIDATE</w:t>
            </w:r>
          </w:p>
          <w:p w14:paraId="597013C1" w14:textId="77777777" w:rsidR="00280934" w:rsidRPr="004964AF" w:rsidRDefault="00000000">
            <w:pPr>
              <w:spacing w:after="60"/>
              <w:rPr>
                <w:rFonts w:ascii="CPN" w:hAnsi="CPN" w:cs="CPN" w:hint="cs"/>
              </w:rPr>
            </w:pPr>
            <w:r w:rsidRPr="004964AF">
              <w:rPr>
                <w:rFonts w:ascii="CPN" w:hAnsi="CPN" w:cs="CPN" w:hint="cs"/>
                <w:b/>
                <w:bCs/>
                <w:sz w:val="36"/>
                <w:szCs w:val="36"/>
              </w:rPr>
              <w:t>Nonpawit Saisuwan</w:t>
            </w:r>
          </w:p>
          <w:p w14:paraId="3BB2AC47" w14:textId="77777777" w:rsidR="00280934" w:rsidRPr="004964AF" w:rsidRDefault="00000000">
            <w:pPr>
              <w:rPr>
                <w:rFonts w:ascii="CPN" w:hAnsi="CPN" w:cs="CPN" w:hint="cs"/>
              </w:rPr>
            </w:pPr>
            <w:r w:rsidRPr="004964AF">
              <w:rPr>
                <w:rFonts w:ascii="CPN" w:hAnsi="CPN" w:cs="CPN" w:hint="cs"/>
                <w:color w:val="595959"/>
              </w:rPr>
              <w:t>CMG Online Order Management Department Manager</w:t>
            </w:r>
          </w:p>
          <w:p w14:paraId="5087FF7A" w14:textId="77777777" w:rsidR="00280934" w:rsidRPr="004964AF" w:rsidRDefault="00000000">
            <w:pPr>
              <w:spacing w:before="40"/>
              <w:rPr>
                <w:rFonts w:ascii="CPN" w:hAnsi="CPN" w:cs="CPN" w:hint="cs"/>
              </w:rPr>
            </w:pPr>
            <w:r w:rsidRPr="004964AF">
              <w:rPr>
                <w:rFonts w:ascii="CPN" w:hAnsi="CPN" w:cs="CPN" w:hint="cs"/>
                <w:color w:val="595959"/>
                <w:sz w:val="18"/>
                <w:szCs w:val="18"/>
              </w:rPr>
              <w:t xml:space="preserve">Employee ID </w:t>
            </w:r>
            <w:proofErr w:type="gramStart"/>
            <w:r w:rsidRPr="004964AF">
              <w:rPr>
                <w:rFonts w:ascii="CPN" w:hAnsi="CPN" w:cs="CPN" w:hint="cs"/>
                <w:color w:val="595959"/>
                <w:sz w:val="18"/>
                <w:szCs w:val="18"/>
              </w:rPr>
              <w:t>20241332  ·</w:t>
            </w:r>
            <w:proofErr w:type="gramEnd"/>
            <w:r w:rsidRPr="004964AF">
              <w:rPr>
                <w:rFonts w:ascii="CPN" w:hAnsi="CPN" w:cs="CPN" w:hint="cs"/>
                <w:color w:val="595959"/>
                <w:sz w:val="18"/>
                <w:szCs w:val="18"/>
              </w:rPr>
              <w:t xml:space="preserve">  Service Year 3 Y 5 M</w:t>
            </w:r>
          </w:p>
        </w:tc>
      </w:tr>
    </w:tbl>
    <w:p w14:paraId="77366A8A" w14:textId="77777777" w:rsidR="00280934" w:rsidRPr="004964AF" w:rsidRDefault="00000000">
      <w:pPr>
        <w:rPr>
          <w:rFonts w:ascii="CPN" w:hAnsi="CPN" w:cs="CPN" w:hint="cs"/>
        </w:rPr>
      </w:pPr>
      <w:r w:rsidRPr="004964AF">
        <w:rPr>
          <w:rFonts w:ascii="CPN" w:hAnsi="CPN" w:cs="CPN" w:hint="cs"/>
        </w:rPr>
        <w:lastRenderedPageBreak/>
        <w:br w:type="page"/>
      </w:r>
    </w:p>
    <w:p w14:paraId="7DA21B94"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lastRenderedPageBreak/>
        <w:t>01</w:t>
      </w:r>
      <w:r w:rsidRPr="004964AF">
        <w:rPr>
          <w:rFonts w:ascii="CPN" w:hAnsi="CPN" w:cs="CPN" w:hint="cs"/>
          <w:sz w:val="20"/>
          <w:szCs w:val="20"/>
        </w:rPr>
        <w:t xml:space="preserve">    </w:t>
      </w:r>
      <w:r w:rsidRPr="004964AF">
        <w:rPr>
          <w:rFonts w:ascii="CPN" w:hAnsi="CPN" w:cs="CPN" w:hint="cs"/>
          <w:b/>
          <w:bCs/>
          <w:sz w:val="26"/>
          <w:szCs w:val="26"/>
        </w:rPr>
        <w:t>Executive Summary</w:t>
      </w:r>
    </w:p>
    <w:p w14:paraId="4F08E8E3" w14:textId="77777777" w:rsidR="00280934" w:rsidRPr="004964AF" w:rsidRDefault="00280934">
      <w:pPr>
        <w:spacing w:after="120"/>
        <w:rPr>
          <w:rFonts w:ascii="CPN" w:hAnsi="CPN" w:cs="CPN" w:hint="cs"/>
        </w:rPr>
      </w:pPr>
    </w:p>
    <w:p w14:paraId="23DB2A80" w14:textId="77777777" w:rsidR="00280934" w:rsidRPr="004964AF" w:rsidRDefault="00000000">
      <w:pPr>
        <w:spacing w:after="160" w:line="320" w:lineRule="auto"/>
        <w:rPr>
          <w:rFonts w:ascii="CPN" w:hAnsi="CPN" w:cs="CPN" w:hint="cs"/>
        </w:rPr>
      </w:pPr>
      <w:r w:rsidRPr="004964AF">
        <w:rPr>
          <w:rFonts w:ascii="CPN" w:hAnsi="CPN" w:cs="CPN" w:hint="cs"/>
        </w:rPr>
        <w:t>Nonpawit Saisuwan is a Department Manager at CMG Online with a proven track record of delivering operational excellence at scale while consistently expanding his mandate into AI, automation, and data engineering.</w:t>
      </w:r>
    </w:p>
    <w:p w14:paraId="29FA48C4" w14:textId="77777777" w:rsidR="00280934" w:rsidRPr="004964AF" w:rsidRDefault="00000000">
      <w:pPr>
        <w:spacing w:after="160" w:line="320" w:lineRule="auto"/>
        <w:rPr>
          <w:rFonts w:ascii="CPN" w:hAnsi="CPN" w:cs="CPN" w:hint="cs"/>
        </w:rPr>
      </w:pPr>
      <w:r w:rsidRPr="004964AF">
        <w:rPr>
          <w:rFonts w:ascii="CPN" w:hAnsi="CPN" w:cs="CPN" w:hint="cs"/>
        </w:rPr>
        <w:t xml:space="preserve">He has led major campaign operations, implemented end-to-end automation systems, and built data infrastructure that </w:t>
      </w:r>
      <w:proofErr w:type="gramStart"/>
      <w:r w:rsidRPr="004964AF">
        <w:rPr>
          <w:rFonts w:ascii="CPN" w:hAnsi="CPN" w:cs="CPN" w:hint="cs"/>
        </w:rPr>
        <w:t>have</w:t>
      </w:r>
      <w:proofErr w:type="gramEnd"/>
      <w:r w:rsidRPr="004964AF">
        <w:rPr>
          <w:rFonts w:ascii="CPN" w:hAnsi="CPN" w:cs="CPN" w:hint="cs"/>
        </w:rPr>
        <w:t xml:space="preserve"> measurably improved how the department operates.</w:t>
      </w:r>
    </w:p>
    <w:p w14:paraId="01C65FFF" w14:textId="77777777" w:rsidR="00280934" w:rsidRPr="004964AF" w:rsidRDefault="00000000">
      <w:pPr>
        <w:spacing w:after="160" w:line="320" w:lineRule="auto"/>
        <w:rPr>
          <w:rFonts w:ascii="CPN" w:hAnsi="CPN" w:cs="CPN" w:hint="cs"/>
        </w:rPr>
      </w:pPr>
      <w:r w:rsidRPr="004964AF">
        <w:rPr>
          <w:rFonts w:ascii="CPN" w:hAnsi="CPN" w:cs="CPN" w:hint="cs"/>
        </w:rPr>
        <w:t>He is now positioned to lead division-wide intelligent operations transformation as Division Manager — AI-Driven Process Optimization. His combination of operational delivery, engineering foundation, and demonstrated initiative beyond current scope makes him a credible candidate for the next leadership level.</w:t>
      </w:r>
    </w:p>
    <w:p w14:paraId="325D767B"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t>02</w:t>
      </w:r>
      <w:r w:rsidRPr="004964AF">
        <w:rPr>
          <w:rFonts w:ascii="CPN" w:hAnsi="CPN" w:cs="CPN" w:hint="cs"/>
          <w:sz w:val="20"/>
          <w:szCs w:val="20"/>
        </w:rPr>
        <w:t xml:space="preserve">    </w:t>
      </w:r>
      <w:r w:rsidRPr="004964AF">
        <w:rPr>
          <w:rFonts w:ascii="CPN" w:hAnsi="CPN" w:cs="CPN" w:hint="cs"/>
          <w:b/>
          <w:bCs/>
          <w:sz w:val="26"/>
          <w:szCs w:val="26"/>
        </w:rPr>
        <w:t>Candidate Overview</w:t>
      </w:r>
    </w:p>
    <w:p w14:paraId="4697130B" w14:textId="77777777" w:rsidR="00280934" w:rsidRPr="004964AF" w:rsidRDefault="00280934">
      <w:pPr>
        <w:spacing w:after="120"/>
        <w:rPr>
          <w:rFonts w:ascii="CPN" w:hAnsi="CPN" w:cs="CPN" w:hint="cs"/>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80"/>
        <w:gridCol w:w="6480"/>
      </w:tblGrid>
      <w:tr w:rsidR="00280934" w:rsidRPr="004964AF" w14:paraId="3A9B33EF" w14:textId="77777777">
        <w:tblPrEx>
          <w:tblCellMar>
            <w:top w:w="0" w:type="dxa"/>
            <w:bottom w:w="0" w:type="dxa"/>
          </w:tblCellMar>
        </w:tblPrEx>
        <w:tc>
          <w:tcPr>
            <w:tcW w:w="2880" w:type="dxa"/>
            <w:tcBorders>
              <w:top w:val="none" w:sz="0" w:space="0" w:color="FFFFFF"/>
              <w:left w:val="none" w:sz="0" w:space="0" w:color="FFFFFF"/>
              <w:bottom w:val="single" w:sz="4" w:space="0" w:color="D9D9D9"/>
              <w:right w:val="none" w:sz="0" w:space="0" w:color="FFFFFF"/>
            </w:tcBorders>
            <w:tcMar>
              <w:top w:w="120" w:type="dxa"/>
              <w:left w:w="0" w:type="dxa"/>
              <w:bottom w:w="120" w:type="dxa"/>
              <w:right w:w="120" w:type="dxa"/>
            </w:tcMar>
          </w:tcPr>
          <w:p w14:paraId="2CC26CFB" w14:textId="77777777" w:rsidR="00280934" w:rsidRPr="004964AF" w:rsidRDefault="00000000">
            <w:pPr>
              <w:rPr>
                <w:rFonts w:ascii="CPN" w:hAnsi="CPN" w:cs="CPN" w:hint="cs"/>
              </w:rPr>
            </w:pPr>
            <w:r w:rsidRPr="004964AF">
              <w:rPr>
                <w:rFonts w:ascii="CPN" w:hAnsi="CPN" w:cs="CPN" w:hint="cs"/>
                <w:color w:val="595959"/>
                <w:sz w:val="20"/>
                <w:szCs w:val="20"/>
              </w:rPr>
              <w:t>Name</w:t>
            </w:r>
          </w:p>
        </w:tc>
        <w:tc>
          <w:tcPr>
            <w:tcW w:w="6480" w:type="dxa"/>
            <w:tcBorders>
              <w:top w:val="none" w:sz="0" w:space="0" w:color="FFFFFF"/>
              <w:left w:val="none" w:sz="0" w:space="0" w:color="FFFFFF"/>
              <w:bottom w:val="single" w:sz="4" w:space="0" w:color="D9D9D9"/>
              <w:right w:val="none" w:sz="0" w:space="0" w:color="FFFFFF"/>
            </w:tcBorders>
            <w:tcMar>
              <w:top w:w="120" w:type="dxa"/>
              <w:left w:w="120" w:type="dxa"/>
              <w:bottom w:w="120" w:type="dxa"/>
              <w:right w:w="0" w:type="dxa"/>
            </w:tcMar>
          </w:tcPr>
          <w:p w14:paraId="39DBA6CF" w14:textId="77777777" w:rsidR="00280934" w:rsidRPr="004964AF" w:rsidRDefault="00000000">
            <w:pPr>
              <w:rPr>
                <w:rFonts w:ascii="CPN" w:hAnsi="CPN" w:cs="CPN" w:hint="cs"/>
              </w:rPr>
            </w:pPr>
            <w:r w:rsidRPr="004964AF">
              <w:rPr>
                <w:rFonts w:ascii="CPN" w:hAnsi="CPN" w:cs="CPN" w:hint="cs"/>
              </w:rPr>
              <w:t>Nonpawit Saisuwan</w:t>
            </w:r>
          </w:p>
        </w:tc>
      </w:tr>
      <w:tr w:rsidR="00280934" w:rsidRPr="004964AF" w14:paraId="7D0FBF86" w14:textId="77777777">
        <w:tblPrEx>
          <w:tblCellMar>
            <w:top w:w="0" w:type="dxa"/>
            <w:bottom w:w="0" w:type="dxa"/>
          </w:tblCellMar>
        </w:tblPrEx>
        <w:tc>
          <w:tcPr>
            <w:tcW w:w="2880" w:type="dxa"/>
            <w:tcBorders>
              <w:top w:val="none" w:sz="0" w:space="0" w:color="FFFFFF"/>
              <w:left w:val="none" w:sz="0" w:space="0" w:color="FFFFFF"/>
              <w:bottom w:val="single" w:sz="4" w:space="0" w:color="D9D9D9"/>
              <w:right w:val="none" w:sz="0" w:space="0" w:color="FFFFFF"/>
            </w:tcBorders>
            <w:tcMar>
              <w:top w:w="120" w:type="dxa"/>
              <w:left w:w="0" w:type="dxa"/>
              <w:bottom w:w="120" w:type="dxa"/>
              <w:right w:w="120" w:type="dxa"/>
            </w:tcMar>
          </w:tcPr>
          <w:p w14:paraId="6F241E67" w14:textId="77777777" w:rsidR="00280934" w:rsidRPr="004964AF" w:rsidRDefault="00000000">
            <w:pPr>
              <w:rPr>
                <w:rFonts w:ascii="CPN" w:hAnsi="CPN" w:cs="CPN" w:hint="cs"/>
              </w:rPr>
            </w:pPr>
            <w:r w:rsidRPr="004964AF">
              <w:rPr>
                <w:rFonts w:ascii="CPN" w:hAnsi="CPN" w:cs="CPN" w:hint="cs"/>
                <w:color w:val="595959"/>
                <w:sz w:val="20"/>
                <w:szCs w:val="20"/>
              </w:rPr>
              <w:t>Employee ID</w:t>
            </w:r>
          </w:p>
        </w:tc>
        <w:tc>
          <w:tcPr>
            <w:tcW w:w="6480" w:type="dxa"/>
            <w:tcBorders>
              <w:top w:val="none" w:sz="0" w:space="0" w:color="FFFFFF"/>
              <w:left w:val="none" w:sz="0" w:space="0" w:color="FFFFFF"/>
              <w:bottom w:val="single" w:sz="4" w:space="0" w:color="D9D9D9"/>
              <w:right w:val="none" w:sz="0" w:space="0" w:color="FFFFFF"/>
            </w:tcBorders>
            <w:tcMar>
              <w:top w:w="120" w:type="dxa"/>
              <w:left w:w="120" w:type="dxa"/>
              <w:bottom w:w="120" w:type="dxa"/>
              <w:right w:w="0" w:type="dxa"/>
            </w:tcMar>
          </w:tcPr>
          <w:p w14:paraId="57AF59AA" w14:textId="77777777" w:rsidR="00280934" w:rsidRPr="004964AF" w:rsidRDefault="00000000">
            <w:pPr>
              <w:rPr>
                <w:rFonts w:ascii="CPN" w:hAnsi="CPN" w:cs="CPN" w:hint="cs"/>
              </w:rPr>
            </w:pPr>
            <w:r w:rsidRPr="004964AF">
              <w:rPr>
                <w:rFonts w:ascii="CPN" w:hAnsi="CPN" w:cs="CPN" w:hint="cs"/>
              </w:rPr>
              <w:t>20241332</w:t>
            </w:r>
          </w:p>
        </w:tc>
      </w:tr>
      <w:tr w:rsidR="00280934" w:rsidRPr="004964AF" w14:paraId="1685ECA3" w14:textId="77777777">
        <w:tblPrEx>
          <w:tblCellMar>
            <w:top w:w="0" w:type="dxa"/>
            <w:bottom w:w="0" w:type="dxa"/>
          </w:tblCellMar>
        </w:tblPrEx>
        <w:tc>
          <w:tcPr>
            <w:tcW w:w="2880" w:type="dxa"/>
            <w:tcBorders>
              <w:top w:val="none" w:sz="0" w:space="0" w:color="FFFFFF"/>
              <w:left w:val="none" w:sz="0" w:space="0" w:color="FFFFFF"/>
              <w:bottom w:val="single" w:sz="4" w:space="0" w:color="D9D9D9"/>
              <w:right w:val="none" w:sz="0" w:space="0" w:color="FFFFFF"/>
            </w:tcBorders>
            <w:tcMar>
              <w:top w:w="120" w:type="dxa"/>
              <w:left w:w="0" w:type="dxa"/>
              <w:bottom w:w="120" w:type="dxa"/>
              <w:right w:w="120" w:type="dxa"/>
            </w:tcMar>
          </w:tcPr>
          <w:p w14:paraId="60335FAE" w14:textId="77777777" w:rsidR="00280934" w:rsidRPr="004964AF" w:rsidRDefault="00000000">
            <w:pPr>
              <w:rPr>
                <w:rFonts w:ascii="CPN" w:hAnsi="CPN" w:cs="CPN" w:hint="cs"/>
              </w:rPr>
            </w:pPr>
            <w:r w:rsidRPr="004964AF">
              <w:rPr>
                <w:rFonts w:ascii="CPN" w:hAnsi="CPN" w:cs="CPN" w:hint="cs"/>
                <w:color w:val="595959"/>
                <w:sz w:val="20"/>
                <w:szCs w:val="20"/>
              </w:rPr>
              <w:t>Current Position</w:t>
            </w:r>
          </w:p>
        </w:tc>
        <w:tc>
          <w:tcPr>
            <w:tcW w:w="6480" w:type="dxa"/>
            <w:tcBorders>
              <w:top w:val="none" w:sz="0" w:space="0" w:color="FFFFFF"/>
              <w:left w:val="none" w:sz="0" w:space="0" w:color="FFFFFF"/>
              <w:bottom w:val="single" w:sz="4" w:space="0" w:color="D9D9D9"/>
              <w:right w:val="none" w:sz="0" w:space="0" w:color="FFFFFF"/>
            </w:tcBorders>
            <w:tcMar>
              <w:top w:w="120" w:type="dxa"/>
              <w:left w:w="120" w:type="dxa"/>
              <w:bottom w:w="120" w:type="dxa"/>
              <w:right w:w="0" w:type="dxa"/>
            </w:tcMar>
          </w:tcPr>
          <w:p w14:paraId="2DEA748C" w14:textId="77777777" w:rsidR="00280934" w:rsidRPr="004964AF" w:rsidRDefault="00000000">
            <w:pPr>
              <w:rPr>
                <w:rFonts w:ascii="CPN" w:hAnsi="CPN" w:cs="CPN" w:hint="cs"/>
              </w:rPr>
            </w:pPr>
            <w:r w:rsidRPr="004964AF">
              <w:rPr>
                <w:rFonts w:ascii="CPN" w:hAnsi="CPN" w:cs="CPN" w:hint="cs"/>
              </w:rPr>
              <w:t>CMG Online Order Management Department Manager</w:t>
            </w:r>
          </w:p>
        </w:tc>
      </w:tr>
      <w:tr w:rsidR="00280934" w:rsidRPr="004964AF" w14:paraId="3DA17E74" w14:textId="77777777">
        <w:tblPrEx>
          <w:tblCellMar>
            <w:top w:w="0" w:type="dxa"/>
            <w:bottom w:w="0" w:type="dxa"/>
          </w:tblCellMar>
        </w:tblPrEx>
        <w:tc>
          <w:tcPr>
            <w:tcW w:w="2880" w:type="dxa"/>
            <w:tcBorders>
              <w:top w:val="none" w:sz="0" w:space="0" w:color="FFFFFF"/>
              <w:left w:val="none" w:sz="0" w:space="0" w:color="FFFFFF"/>
              <w:bottom w:val="single" w:sz="4" w:space="0" w:color="D9D9D9"/>
              <w:right w:val="none" w:sz="0" w:space="0" w:color="FFFFFF"/>
            </w:tcBorders>
            <w:tcMar>
              <w:top w:w="120" w:type="dxa"/>
              <w:left w:w="0" w:type="dxa"/>
              <w:bottom w:w="120" w:type="dxa"/>
              <w:right w:w="120" w:type="dxa"/>
            </w:tcMar>
          </w:tcPr>
          <w:p w14:paraId="2AD3F186" w14:textId="77777777" w:rsidR="00280934" w:rsidRPr="004964AF" w:rsidRDefault="00000000">
            <w:pPr>
              <w:rPr>
                <w:rFonts w:ascii="CPN" w:hAnsi="CPN" w:cs="CPN" w:hint="cs"/>
              </w:rPr>
            </w:pPr>
            <w:r w:rsidRPr="004964AF">
              <w:rPr>
                <w:rFonts w:ascii="CPN" w:hAnsi="CPN" w:cs="CPN" w:hint="cs"/>
                <w:color w:val="595959"/>
                <w:sz w:val="20"/>
                <w:szCs w:val="20"/>
              </w:rPr>
              <w:t>Reporting Manager</w:t>
            </w:r>
          </w:p>
        </w:tc>
        <w:tc>
          <w:tcPr>
            <w:tcW w:w="6480" w:type="dxa"/>
            <w:tcBorders>
              <w:top w:val="none" w:sz="0" w:space="0" w:color="FFFFFF"/>
              <w:left w:val="none" w:sz="0" w:space="0" w:color="FFFFFF"/>
              <w:bottom w:val="single" w:sz="4" w:space="0" w:color="D9D9D9"/>
              <w:right w:val="none" w:sz="0" w:space="0" w:color="FFFFFF"/>
            </w:tcBorders>
            <w:tcMar>
              <w:top w:w="120" w:type="dxa"/>
              <w:left w:w="120" w:type="dxa"/>
              <w:bottom w:w="120" w:type="dxa"/>
              <w:right w:w="0" w:type="dxa"/>
            </w:tcMar>
          </w:tcPr>
          <w:p w14:paraId="1FE56006" w14:textId="77777777" w:rsidR="00280934" w:rsidRPr="004964AF" w:rsidRDefault="00000000">
            <w:pPr>
              <w:rPr>
                <w:rFonts w:ascii="CPN" w:hAnsi="CPN" w:cs="CPN" w:hint="cs"/>
              </w:rPr>
            </w:pPr>
            <w:r w:rsidRPr="004964AF">
              <w:rPr>
                <w:rFonts w:ascii="CPN" w:hAnsi="CPN" w:cs="CPN" w:hint="cs"/>
              </w:rPr>
              <w:t>Kiattipong Suprratccheep</w:t>
            </w:r>
          </w:p>
        </w:tc>
      </w:tr>
      <w:tr w:rsidR="00280934" w:rsidRPr="004964AF" w14:paraId="29EBE8EF" w14:textId="77777777">
        <w:tblPrEx>
          <w:tblCellMar>
            <w:top w:w="0" w:type="dxa"/>
            <w:bottom w:w="0" w:type="dxa"/>
          </w:tblCellMar>
        </w:tblPrEx>
        <w:tc>
          <w:tcPr>
            <w:tcW w:w="2880" w:type="dxa"/>
            <w:tcBorders>
              <w:top w:val="none" w:sz="0" w:space="0" w:color="FFFFFF"/>
              <w:left w:val="none" w:sz="0" w:space="0" w:color="FFFFFF"/>
              <w:bottom w:val="single" w:sz="4" w:space="0" w:color="D9D9D9"/>
              <w:right w:val="none" w:sz="0" w:space="0" w:color="FFFFFF"/>
            </w:tcBorders>
            <w:tcMar>
              <w:top w:w="120" w:type="dxa"/>
              <w:left w:w="0" w:type="dxa"/>
              <w:bottom w:w="120" w:type="dxa"/>
              <w:right w:w="120" w:type="dxa"/>
            </w:tcMar>
          </w:tcPr>
          <w:p w14:paraId="777CEB6C" w14:textId="77777777" w:rsidR="00280934" w:rsidRPr="004964AF" w:rsidRDefault="00000000">
            <w:pPr>
              <w:rPr>
                <w:rFonts w:ascii="CPN" w:hAnsi="CPN" w:cs="CPN" w:hint="cs"/>
              </w:rPr>
            </w:pPr>
            <w:r w:rsidRPr="004964AF">
              <w:rPr>
                <w:rFonts w:ascii="CPN" w:hAnsi="CPN" w:cs="CPN" w:hint="cs"/>
                <w:color w:val="595959"/>
                <w:sz w:val="20"/>
                <w:szCs w:val="20"/>
              </w:rPr>
              <w:t>Service Year</w:t>
            </w:r>
          </w:p>
        </w:tc>
        <w:tc>
          <w:tcPr>
            <w:tcW w:w="6480" w:type="dxa"/>
            <w:tcBorders>
              <w:top w:val="none" w:sz="0" w:space="0" w:color="FFFFFF"/>
              <w:left w:val="none" w:sz="0" w:space="0" w:color="FFFFFF"/>
              <w:bottom w:val="single" w:sz="4" w:space="0" w:color="D9D9D9"/>
              <w:right w:val="none" w:sz="0" w:space="0" w:color="FFFFFF"/>
            </w:tcBorders>
            <w:tcMar>
              <w:top w:w="120" w:type="dxa"/>
              <w:left w:w="120" w:type="dxa"/>
              <w:bottom w:w="120" w:type="dxa"/>
              <w:right w:w="0" w:type="dxa"/>
            </w:tcMar>
          </w:tcPr>
          <w:p w14:paraId="0E6092C9" w14:textId="77777777" w:rsidR="00280934" w:rsidRPr="004964AF" w:rsidRDefault="00000000">
            <w:pPr>
              <w:rPr>
                <w:rFonts w:ascii="CPN" w:hAnsi="CPN" w:cs="CPN" w:hint="cs"/>
              </w:rPr>
            </w:pPr>
            <w:r w:rsidRPr="004964AF">
              <w:rPr>
                <w:rFonts w:ascii="CPN" w:hAnsi="CPN" w:cs="CPN" w:hint="cs"/>
              </w:rPr>
              <w:t>3 Years 5 Months</w:t>
            </w:r>
          </w:p>
        </w:tc>
      </w:tr>
      <w:tr w:rsidR="00280934" w:rsidRPr="004964AF" w14:paraId="4034C3BD" w14:textId="77777777">
        <w:tblPrEx>
          <w:tblCellMar>
            <w:top w:w="0" w:type="dxa"/>
            <w:bottom w:w="0" w:type="dxa"/>
          </w:tblCellMar>
        </w:tblPrEx>
        <w:tc>
          <w:tcPr>
            <w:tcW w:w="2880" w:type="dxa"/>
            <w:tcBorders>
              <w:top w:val="none" w:sz="0" w:space="0" w:color="FFFFFF"/>
              <w:left w:val="none" w:sz="0" w:space="0" w:color="FFFFFF"/>
              <w:bottom w:val="single" w:sz="4" w:space="0" w:color="D9D9D9"/>
              <w:right w:val="none" w:sz="0" w:space="0" w:color="FFFFFF"/>
            </w:tcBorders>
            <w:tcMar>
              <w:top w:w="120" w:type="dxa"/>
              <w:left w:w="0" w:type="dxa"/>
              <w:bottom w:w="120" w:type="dxa"/>
              <w:right w:w="120" w:type="dxa"/>
            </w:tcMar>
          </w:tcPr>
          <w:p w14:paraId="5A53F057" w14:textId="77777777" w:rsidR="00280934" w:rsidRPr="004964AF" w:rsidRDefault="00000000">
            <w:pPr>
              <w:rPr>
                <w:rFonts w:ascii="CPN" w:hAnsi="CPN" w:cs="CPN" w:hint="cs"/>
              </w:rPr>
            </w:pPr>
            <w:r w:rsidRPr="004964AF">
              <w:rPr>
                <w:rFonts w:ascii="CPN" w:hAnsi="CPN" w:cs="CPN" w:hint="cs"/>
                <w:color w:val="595959"/>
                <w:sz w:val="20"/>
                <w:szCs w:val="20"/>
              </w:rPr>
              <w:t>Business Unit</w:t>
            </w:r>
          </w:p>
        </w:tc>
        <w:tc>
          <w:tcPr>
            <w:tcW w:w="6480" w:type="dxa"/>
            <w:tcBorders>
              <w:top w:val="none" w:sz="0" w:space="0" w:color="FFFFFF"/>
              <w:left w:val="none" w:sz="0" w:space="0" w:color="FFFFFF"/>
              <w:bottom w:val="single" w:sz="4" w:space="0" w:color="D9D9D9"/>
              <w:right w:val="none" w:sz="0" w:space="0" w:color="FFFFFF"/>
            </w:tcBorders>
            <w:tcMar>
              <w:top w:w="120" w:type="dxa"/>
              <w:left w:w="120" w:type="dxa"/>
              <w:bottom w:w="120" w:type="dxa"/>
              <w:right w:w="0" w:type="dxa"/>
            </w:tcMar>
          </w:tcPr>
          <w:p w14:paraId="61381970" w14:textId="77777777" w:rsidR="00280934" w:rsidRPr="004964AF" w:rsidRDefault="00000000">
            <w:pPr>
              <w:rPr>
                <w:rFonts w:ascii="CPN" w:hAnsi="CPN" w:cs="CPN" w:hint="cs"/>
              </w:rPr>
            </w:pPr>
            <w:r w:rsidRPr="004964AF">
              <w:rPr>
                <w:rFonts w:ascii="CPN" w:hAnsi="CPN" w:cs="CPN" w:hint="cs"/>
              </w:rPr>
              <w:t>SCM — Logistics / Depot (CMG WH)</w:t>
            </w:r>
          </w:p>
        </w:tc>
      </w:tr>
      <w:tr w:rsidR="00280934" w:rsidRPr="004964AF" w14:paraId="78725A49" w14:textId="77777777">
        <w:tblPrEx>
          <w:tblCellMar>
            <w:top w:w="0" w:type="dxa"/>
            <w:bottom w:w="0" w:type="dxa"/>
          </w:tblCellMar>
        </w:tblPrEx>
        <w:tc>
          <w:tcPr>
            <w:tcW w:w="2880" w:type="dxa"/>
            <w:tcBorders>
              <w:top w:val="none" w:sz="0" w:space="0" w:color="FFFFFF"/>
              <w:left w:val="none" w:sz="0" w:space="0" w:color="FFFFFF"/>
              <w:bottom w:val="single" w:sz="4" w:space="0" w:color="D9D9D9"/>
              <w:right w:val="none" w:sz="0" w:space="0" w:color="FFFFFF"/>
            </w:tcBorders>
            <w:tcMar>
              <w:top w:w="120" w:type="dxa"/>
              <w:left w:w="0" w:type="dxa"/>
              <w:bottom w:w="120" w:type="dxa"/>
              <w:right w:w="120" w:type="dxa"/>
            </w:tcMar>
          </w:tcPr>
          <w:p w14:paraId="434612A3" w14:textId="77777777" w:rsidR="00280934" w:rsidRPr="004964AF" w:rsidRDefault="00000000">
            <w:pPr>
              <w:rPr>
                <w:rFonts w:ascii="CPN" w:hAnsi="CPN" w:cs="CPN" w:hint="cs"/>
              </w:rPr>
            </w:pPr>
            <w:r w:rsidRPr="004964AF">
              <w:rPr>
                <w:rFonts w:ascii="CPN" w:hAnsi="CPN" w:cs="CPN" w:hint="cs"/>
                <w:color w:val="595959"/>
                <w:sz w:val="20"/>
                <w:szCs w:val="20"/>
              </w:rPr>
              <w:t>Organization</w:t>
            </w:r>
          </w:p>
        </w:tc>
        <w:tc>
          <w:tcPr>
            <w:tcW w:w="6480" w:type="dxa"/>
            <w:tcBorders>
              <w:top w:val="none" w:sz="0" w:space="0" w:color="FFFFFF"/>
              <w:left w:val="none" w:sz="0" w:space="0" w:color="FFFFFF"/>
              <w:bottom w:val="single" w:sz="4" w:space="0" w:color="D9D9D9"/>
              <w:right w:val="none" w:sz="0" w:space="0" w:color="FFFFFF"/>
            </w:tcBorders>
            <w:tcMar>
              <w:top w:w="120" w:type="dxa"/>
              <w:left w:w="120" w:type="dxa"/>
              <w:bottom w:w="120" w:type="dxa"/>
              <w:right w:w="0" w:type="dxa"/>
            </w:tcMar>
          </w:tcPr>
          <w:p w14:paraId="7245BD0C" w14:textId="77777777" w:rsidR="00280934" w:rsidRPr="004964AF" w:rsidRDefault="00000000">
            <w:pPr>
              <w:rPr>
                <w:rFonts w:ascii="CPN" w:hAnsi="CPN" w:cs="CPN" w:hint="cs"/>
              </w:rPr>
            </w:pPr>
            <w:r w:rsidRPr="004964AF">
              <w:rPr>
                <w:rFonts w:ascii="CPN" w:hAnsi="CPN" w:cs="CPN" w:hint="cs"/>
              </w:rPr>
              <w:t>CMG WH Operation</w:t>
            </w:r>
          </w:p>
        </w:tc>
      </w:tr>
      <w:tr w:rsidR="00280934" w:rsidRPr="004964AF" w14:paraId="7FB9475D" w14:textId="77777777">
        <w:tblPrEx>
          <w:tblCellMar>
            <w:top w:w="0" w:type="dxa"/>
            <w:bottom w:w="0" w:type="dxa"/>
          </w:tblCellMar>
        </w:tblPrEx>
        <w:tc>
          <w:tcPr>
            <w:tcW w:w="2880" w:type="dxa"/>
            <w:tcBorders>
              <w:top w:val="none" w:sz="0" w:space="0" w:color="FFFFFF"/>
              <w:left w:val="none" w:sz="0" w:space="0" w:color="FFFFFF"/>
              <w:bottom w:val="single" w:sz="4" w:space="0" w:color="D9D9D9"/>
              <w:right w:val="none" w:sz="0" w:space="0" w:color="FFFFFF"/>
            </w:tcBorders>
            <w:tcMar>
              <w:top w:w="120" w:type="dxa"/>
              <w:left w:w="0" w:type="dxa"/>
              <w:bottom w:w="120" w:type="dxa"/>
              <w:right w:w="120" w:type="dxa"/>
            </w:tcMar>
          </w:tcPr>
          <w:p w14:paraId="55FE9622" w14:textId="77777777" w:rsidR="00280934" w:rsidRPr="004964AF" w:rsidRDefault="00000000">
            <w:pPr>
              <w:rPr>
                <w:rFonts w:ascii="CPN" w:hAnsi="CPN" w:cs="CPN" w:hint="cs"/>
              </w:rPr>
            </w:pPr>
            <w:r w:rsidRPr="004964AF">
              <w:rPr>
                <w:rFonts w:ascii="CPN" w:hAnsi="CPN" w:cs="CPN" w:hint="cs"/>
                <w:color w:val="595959"/>
                <w:sz w:val="20"/>
                <w:szCs w:val="20"/>
              </w:rPr>
              <w:t>Work Location</w:t>
            </w:r>
          </w:p>
        </w:tc>
        <w:tc>
          <w:tcPr>
            <w:tcW w:w="6480" w:type="dxa"/>
            <w:tcBorders>
              <w:top w:val="none" w:sz="0" w:space="0" w:color="FFFFFF"/>
              <w:left w:val="none" w:sz="0" w:space="0" w:color="FFFFFF"/>
              <w:bottom w:val="single" w:sz="4" w:space="0" w:color="D9D9D9"/>
              <w:right w:val="none" w:sz="0" w:space="0" w:color="FFFFFF"/>
            </w:tcBorders>
            <w:tcMar>
              <w:top w:w="120" w:type="dxa"/>
              <w:left w:w="120" w:type="dxa"/>
              <w:bottom w:w="120" w:type="dxa"/>
              <w:right w:w="0" w:type="dxa"/>
            </w:tcMar>
          </w:tcPr>
          <w:p w14:paraId="22D27AAF" w14:textId="77777777" w:rsidR="00280934" w:rsidRPr="004964AF" w:rsidRDefault="00000000">
            <w:pPr>
              <w:rPr>
                <w:rFonts w:ascii="CPN" w:hAnsi="CPN" w:cs="CPN" w:hint="cs"/>
              </w:rPr>
            </w:pPr>
            <w:proofErr w:type="spellStart"/>
            <w:r w:rsidRPr="004964AF">
              <w:rPr>
                <w:rFonts w:ascii="CPN" w:hAnsi="CPN" w:cs="CPN" w:hint="cs"/>
              </w:rPr>
              <w:t>Bangna</w:t>
            </w:r>
            <w:proofErr w:type="spellEnd"/>
            <w:r w:rsidRPr="004964AF">
              <w:rPr>
                <w:rFonts w:ascii="CPN" w:hAnsi="CPN" w:cs="CPN" w:hint="cs"/>
              </w:rPr>
              <w:t xml:space="preserve"> Distribution Center KM.21</w:t>
            </w:r>
          </w:p>
        </w:tc>
      </w:tr>
      <w:tr w:rsidR="00280934" w:rsidRPr="004964AF" w14:paraId="0FDE453D" w14:textId="77777777">
        <w:tblPrEx>
          <w:tblCellMar>
            <w:top w:w="0" w:type="dxa"/>
            <w:bottom w:w="0" w:type="dxa"/>
          </w:tblCellMar>
        </w:tblPrEx>
        <w:tc>
          <w:tcPr>
            <w:tcW w:w="2880" w:type="dxa"/>
            <w:tcBorders>
              <w:top w:val="none" w:sz="0" w:space="0" w:color="FFFFFF"/>
              <w:left w:val="none" w:sz="0" w:space="0" w:color="FFFFFF"/>
              <w:bottom w:val="single" w:sz="4" w:space="0" w:color="D9D9D9"/>
              <w:right w:val="none" w:sz="0" w:space="0" w:color="FFFFFF"/>
            </w:tcBorders>
            <w:tcMar>
              <w:top w:w="120" w:type="dxa"/>
              <w:left w:w="0" w:type="dxa"/>
              <w:bottom w:w="120" w:type="dxa"/>
              <w:right w:w="120" w:type="dxa"/>
            </w:tcMar>
          </w:tcPr>
          <w:p w14:paraId="01F3B90B" w14:textId="77777777" w:rsidR="00280934" w:rsidRPr="004964AF" w:rsidRDefault="00000000">
            <w:pPr>
              <w:rPr>
                <w:rFonts w:ascii="CPN" w:hAnsi="CPN" w:cs="CPN" w:hint="cs"/>
              </w:rPr>
            </w:pPr>
            <w:r w:rsidRPr="004964AF">
              <w:rPr>
                <w:rFonts w:ascii="CPN" w:hAnsi="CPN" w:cs="CPN" w:hint="cs"/>
                <w:color w:val="595959"/>
                <w:sz w:val="20"/>
                <w:szCs w:val="20"/>
              </w:rPr>
              <w:t>Education</w:t>
            </w:r>
          </w:p>
        </w:tc>
        <w:tc>
          <w:tcPr>
            <w:tcW w:w="6480" w:type="dxa"/>
            <w:tcBorders>
              <w:top w:val="none" w:sz="0" w:space="0" w:color="FFFFFF"/>
              <w:left w:val="none" w:sz="0" w:space="0" w:color="FFFFFF"/>
              <w:bottom w:val="single" w:sz="4" w:space="0" w:color="D9D9D9"/>
              <w:right w:val="none" w:sz="0" w:space="0" w:color="FFFFFF"/>
            </w:tcBorders>
            <w:tcMar>
              <w:top w:w="120" w:type="dxa"/>
              <w:left w:w="120" w:type="dxa"/>
              <w:bottom w:w="120" w:type="dxa"/>
              <w:right w:w="0" w:type="dxa"/>
            </w:tcMar>
          </w:tcPr>
          <w:p w14:paraId="7E0E9104" w14:textId="77777777" w:rsidR="00280934" w:rsidRPr="004964AF" w:rsidRDefault="00000000">
            <w:pPr>
              <w:rPr>
                <w:rFonts w:ascii="CPN" w:hAnsi="CPN" w:cs="CPN" w:hint="cs"/>
              </w:rPr>
            </w:pPr>
            <w:r w:rsidRPr="004964AF">
              <w:rPr>
                <w:rFonts w:ascii="CPN" w:hAnsi="CPN" w:cs="CPN" w:hint="cs"/>
              </w:rPr>
              <w:t xml:space="preserve">Bachelor of Engineering, </w:t>
            </w:r>
            <w:proofErr w:type="spellStart"/>
            <w:r w:rsidRPr="004964AF">
              <w:rPr>
                <w:rFonts w:ascii="CPN" w:hAnsi="CPN" w:cs="CPN" w:hint="cs"/>
              </w:rPr>
              <w:t>Silpakorn</w:t>
            </w:r>
            <w:proofErr w:type="spellEnd"/>
            <w:r w:rsidRPr="004964AF">
              <w:rPr>
                <w:rFonts w:ascii="CPN" w:hAnsi="CPN" w:cs="CPN" w:hint="cs"/>
              </w:rPr>
              <w:t xml:space="preserve"> University — Management Engineering and Logistics</w:t>
            </w:r>
          </w:p>
        </w:tc>
      </w:tr>
      <w:tr w:rsidR="00280934" w:rsidRPr="004964AF" w14:paraId="573D4F5A" w14:textId="77777777">
        <w:tblPrEx>
          <w:tblCellMar>
            <w:top w:w="0" w:type="dxa"/>
            <w:bottom w:w="0" w:type="dxa"/>
          </w:tblCellMar>
        </w:tblPrEx>
        <w:tc>
          <w:tcPr>
            <w:tcW w:w="2880" w:type="dxa"/>
            <w:tcBorders>
              <w:top w:val="none" w:sz="0" w:space="0" w:color="FFFFFF"/>
              <w:left w:val="none" w:sz="0" w:space="0" w:color="FFFFFF"/>
              <w:bottom w:val="single" w:sz="4" w:space="0" w:color="D9D9D9"/>
              <w:right w:val="none" w:sz="0" w:space="0" w:color="FFFFFF"/>
            </w:tcBorders>
            <w:tcMar>
              <w:top w:w="120" w:type="dxa"/>
              <w:left w:w="0" w:type="dxa"/>
              <w:bottom w:w="120" w:type="dxa"/>
              <w:right w:w="120" w:type="dxa"/>
            </w:tcMar>
          </w:tcPr>
          <w:p w14:paraId="5D12E63D" w14:textId="77777777" w:rsidR="00280934" w:rsidRPr="004964AF" w:rsidRDefault="00000000">
            <w:pPr>
              <w:rPr>
                <w:rFonts w:ascii="CPN" w:hAnsi="CPN" w:cs="CPN" w:hint="cs"/>
              </w:rPr>
            </w:pPr>
            <w:r w:rsidRPr="004964AF">
              <w:rPr>
                <w:rFonts w:ascii="CPN" w:hAnsi="CPN" w:cs="CPN" w:hint="cs"/>
                <w:color w:val="595959"/>
                <w:sz w:val="20"/>
                <w:szCs w:val="20"/>
              </w:rPr>
              <w:t>Prior Experience</w:t>
            </w:r>
          </w:p>
        </w:tc>
        <w:tc>
          <w:tcPr>
            <w:tcW w:w="6480" w:type="dxa"/>
            <w:tcBorders>
              <w:top w:val="none" w:sz="0" w:space="0" w:color="FFFFFF"/>
              <w:left w:val="none" w:sz="0" w:space="0" w:color="FFFFFF"/>
              <w:bottom w:val="single" w:sz="4" w:space="0" w:color="D9D9D9"/>
              <w:right w:val="none" w:sz="0" w:space="0" w:color="FFFFFF"/>
            </w:tcBorders>
            <w:tcMar>
              <w:top w:w="120" w:type="dxa"/>
              <w:left w:w="120" w:type="dxa"/>
              <w:bottom w:w="120" w:type="dxa"/>
              <w:right w:w="0" w:type="dxa"/>
            </w:tcMar>
          </w:tcPr>
          <w:p w14:paraId="39178B07" w14:textId="77777777" w:rsidR="00280934" w:rsidRPr="004964AF" w:rsidRDefault="00000000">
            <w:pPr>
              <w:rPr>
                <w:rFonts w:ascii="CPN" w:hAnsi="CPN" w:cs="CPN" w:hint="cs"/>
              </w:rPr>
            </w:pPr>
            <w:r w:rsidRPr="004964AF">
              <w:rPr>
                <w:rFonts w:ascii="CPN" w:hAnsi="CPN" w:cs="CPN" w:hint="cs"/>
              </w:rPr>
              <w:t>Analyst, SC Group (Transportation Business) — 2014 to 2022</w:t>
            </w:r>
          </w:p>
        </w:tc>
      </w:tr>
    </w:tbl>
    <w:p w14:paraId="661A184B"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lastRenderedPageBreak/>
        <w:t>03</w:t>
      </w:r>
      <w:r w:rsidRPr="004964AF">
        <w:rPr>
          <w:rFonts w:ascii="CPN" w:hAnsi="CPN" w:cs="CPN" w:hint="cs"/>
          <w:sz w:val="20"/>
          <w:szCs w:val="20"/>
        </w:rPr>
        <w:t xml:space="preserve">    </w:t>
      </w:r>
      <w:r w:rsidRPr="004964AF">
        <w:rPr>
          <w:rFonts w:ascii="CPN" w:hAnsi="CPN" w:cs="CPN" w:hint="cs"/>
          <w:b/>
          <w:bCs/>
          <w:sz w:val="26"/>
          <w:szCs w:val="26"/>
        </w:rPr>
        <w:t>Career Progression</w:t>
      </w:r>
    </w:p>
    <w:p w14:paraId="1222E4F8" w14:textId="77777777" w:rsidR="00280934" w:rsidRPr="004964AF" w:rsidRDefault="00280934">
      <w:pPr>
        <w:spacing w:after="120"/>
        <w:rPr>
          <w:rFonts w:ascii="CPN" w:hAnsi="CPN" w:cs="CPN" w:hint="cs"/>
        </w:rPr>
      </w:pPr>
    </w:p>
    <w:p w14:paraId="5FB6AAE6" w14:textId="77777777" w:rsidR="00280934" w:rsidRPr="004964AF" w:rsidRDefault="00000000">
      <w:pPr>
        <w:spacing w:after="120" w:line="320" w:lineRule="auto"/>
        <w:rPr>
          <w:rFonts w:ascii="CPN" w:hAnsi="CPN" w:cs="CPN" w:hint="cs"/>
        </w:rPr>
      </w:pPr>
      <w:r w:rsidRPr="004964AF">
        <w:rPr>
          <w:rFonts w:ascii="CPN" w:hAnsi="CPN" w:cs="CPN" w:hint="cs"/>
          <w:b/>
          <w:bCs/>
          <w:color w:val="8B0000"/>
          <w:sz w:val="20"/>
          <w:szCs w:val="20"/>
        </w:rPr>
        <w:t xml:space="preserve">2014 – 2022   </w:t>
      </w:r>
      <w:r w:rsidRPr="004964AF">
        <w:rPr>
          <w:rFonts w:ascii="CPN" w:hAnsi="CPN" w:cs="CPN" w:hint="cs"/>
        </w:rPr>
        <w:t>Analyst, SC Group — Transportation Business</w:t>
      </w:r>
    </w:p>
    <w:p w14:paraId="7DC72B38" w14:textId="77777777" w:rsidR="00280934" w:rsidRPr="004964AF" w:rsidRDefault="00000000">
      <w:pPr>
        <w:spacing w:after="160" w:line="320" w:lineRule="auto"/>
        <w:rPr>
          <w:rFonts w:ascii="CPN" w:hAnsi="CPN" w:cs="CPN" w:hint="cs"/>
        </w:rPr>
      </w:pPr>
      <w:r w:rsidRPr="004964AF">
        <w:rPr>
          <w:rFonts w:ascii="CPN" w:hAnsi="CPN" w:cs="CPN" w:hint="cs"/>
          <w:color w:val="595959"/>
          <w:sz w:val="20"/>
          <w:szCs w:val="20"/>
        </w:rPr>
        <w:t xml:space="preserve">Nine years of foundational experience in </w:t>
      </w:r>
      <w:proofErr w:type="gramStart"/>
      <w:r w:rsidRPr="004964AF">
        <w:rPr>
          <w:rFonts w:ascii="CPN" w:hAnsi="CPN" w:cs="CPN" w:hint="cs"/>
          <w:color w:val="595959"/>
          <w:sz w:val="20"/>
          <w:szCs w:val="20"/>
        </w:rPr>
        <w:t>logistics</w:t>
      </w:r>
      <w:proofErr w:type="gramEnd"/>
      <w:r w:rsidRPr="004964AF">
        <w:rPr>
          <w:rFonts w:ascii="CPN" w:hAnsi="CPN" w:cs="CPN" w:hint="cs"/>
          <w:color w:val="595959"/>
          <w:sz w:val="20"/>
          <w:szCs w:val="20"/>
        </w:rPr>
        <w:t xml:space="preserve"> analytics and operational coordination.</w:t>
      </w:r>
    </w:p>
    <w:p w14:paraId="5CD1F23C" w14:textId="77777777" w:rsidR="00280934" w:rsidRPr="004964AF" w:rsidRDefault="00000000">
      <w:pPr>
        <w:spacing w:after="120" w:line="320" w:lineRule="auto"/>
        <w:rPr>
          <w:rFonts w:ascii="CPN" w:hAnsi="CPN" w:cs="CPN" w:hint="cs"/>
        </w:rPr>
      </w:pPr>
      <w:r w:rsidRPr="004964AF">
        <w:rPr>
          <w:rFonts w:ascii="CPN" w:hAnsi="CPN" w:cs="CPN" w:hint="cs"/>
          <w:b/>
          <w:bCs/>
          <w:color w:val="8B0000"/>
          <w:sz w:val="20"/>
          <w:szCs w:val="20"/>
        </w:rPr>
        <w:t xml:space="preserve">Nov 2022       </w:t>
      </w:r>
      <w:r w:rsidRPr="004964AF">
        <w:rPr>
          <w:rFonts w:ascii="CPN" w:hAnsi="CPN" w:cs="CPN" w:hint="cs"/>
        </w:rPr>
        <w:t>Joined Central Group / CMG Online</w:t>
      </w:r>
    </w:p>
    <w:p w14:paraId="7D46E167" w14:textId="77777777" w:rsidR="00280934" w:rsidRPr="004964AF" w:rsidRDefault="00000000">
      <w:pPr>
        <w:spacing w:after="160" w:line="320" w:lineRule="auto"/>
        <w:rPr>
          <w:rFonts w:ascii="CPN" w:hAnsi="CPN" w:cs="CPN" w:hint="cs"/>
        </w:rPr>
      </w:pPr>
      <w:r w:rsidRPr="004964AF">
        <w:rPr>
          <w:rFonts w:ascii="CPN" w:hAnsi="CPN" w:cs="CPN" w:hint="cs"/>
          <w:color w:val="595959"/>
          <w:sz w:val="20"/>
          <w:szCs w:val="20"/>
        </w:rPr>
        <w:t>Onboarded into the CMG WH Operation function under SCM.</w:t>
      </w:r>
    </w:p>
    <w:p w14:paraId="2342250E" w14:textId="77777777" w:rsidR="00280934" w:rsidRPr="004964AF" w:rsidRDefault="00000000">
      <w:pPr>
        <w:spacing w:after="120" w:line="320" w:lineRule="auto"/>
        <w:rPr>
          <w:rFonts w:ascii="CPN" w:hAnsi="CPN" w:cs="CPN" w:hint="cs"/>
        </w:rPr>
      </w:pPr>
      <w:r w:rsidRPr="004964AF">
        <w:rPr>
          <w:rFonts w:ascii="CPN" w:hAnsi="CPN" w:cs="CPN" w:hint="cs"/>
          <w:b/>
          <w:bCs/>
          <w:color w:val="8B0000"/>
          <w:sz w:val="20"/>
          <w:szCs w:val="20"/>
        </w:rPr>
        <w:t xml:space="preserve">2023 – 2025   </w:t>
      </w:r>
      <w:r w:rsidRPr="004964AF">
        <w:rPr>
          <w:rFonts w:ascii="CPN" w:hAnsi="CPN" w:cs="CPN" w:hint="cs"/>
        </w:rPr>
        <w:t>Operational ramp-up to Department Manager scope</w:t>
      </w:r>
    </w:p>
    <w:p w14:paraId="3B944EA5" w14:textId="77777777" w:rsidR="00280934" w:rsidRPr="004964AF" w:rsidRDefault="00000000">
      <w:pPr>
        <w:spacing w:after="160" w:line="320" w:lineRule="auto"/>
        <w:rPr>
          <w:rFonts w:ascii="CPN" w:hAnsi="CPN" w:cs="CPN" w:hint="cs"/>
        </w:rPr>
      </w:pPr>
      <w:r w:rsidRPr="004964AF">
        <w:rPr>
          <w:rFonts w:ascii="CPN" w:hAnsi="CPN" w:cs="CPN" w:hint="cs"/>
          <w:color w:val="595959"/>
          <w:sz w:val="20"/>
          <w:szCs w:val="20"/>
        </w:rPr>
        <w:t>Progressed into ownership of CMG Online order management across Shopee, Lazada, and TikTok platforms.</w:t>
      </w:r>
    </w:p>
    <w:p w14:paraId="4399F180" w14:textId="77777777" w:rsidR="00280934" w:rsidRPr="004964AF" w:rsidRDefault="00000000">
      <w:pPr>
        <w:spacing w:after="120" w:line="320" w:lineRule="auto"/>
        <w:rPr>
          <w:rFonts w:ascii="CPN" w:hAnsi="CPN" w:cs="CPN" w:hint="cs"/>
        </w:rPr>
      </w:pPr>
      <w:r w:rsidRPr="004964AF">
        <w:rPr>
          <w:rFonts w:ascii="CPN" w:hAnsi="CPN" w:cs="CPN" w:hint="cs"/>
          <w:b/>
          <w:bCs/>
          <w:color w:val="8B0000"/>
          <w:sz w:val="20"/>
          <w:szCs w:val="20"/>
        </w:rPr>
        <w:t xml:space="preserve">Proposed </w:t>
      </w:r>
      <w:proofErr w:type="gramStart"/>
      <w:r w:rsidRPr="004964AF">
        <w:rPr>
          <w:rFonts w:ascii="CPN" w:hAnsi="CPN" w:cs="CPN" w:hint="cs"/>
          <w:b/>
          <w:bCs/>
          <w:color w:val="8B0000"/>
          <w:sz w:val="20"/>
          <w:szCs w:val="20"/>
        </w:rPr>
        <w:t xml:space="preserve">2026  </w:t>
      </w:r>
      <w:r w:rsidRPr="004964AF">
        <w:rPr>
          <w:rFonts w:ascii="CPN" w:hAnsi="CPN" w:cs="CPN" w:hint="cs"/>
        </w:rPr>
        <w:t>Division</w:t>
      </w:r>
      <w:proofErr w:type="gramEnd"/>
      <w:r w:rsidRPr="004964AF">
        <w:rPr>
          <w:rFonts w:ascii="CPN" w:hAnsi="CPN" w:cs="CPN" w:hint="cs"/>
        </w:rPr>
        <w:t xml:space="preserve"> Manager — AI-Driven Process Optimization</w:t>
      </w:r>
    </w:p>
    <w:p w14:paraId="03D28203"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t>04</w:t>
      </w:r>
      <w:r w:rsidRPr="004964AF">
        <w:rPr>
          <w:rFonts w:ascii="CPN" w:hAnsi="CPN" w:cs="CPN" w:hint="cs"/>
          <w:sz w:val="20"/>
          <w:szCs w:val="20"/>
        </w:rPr>
        <w:t xml:space="preserve">    </w:t>
      </w:r>
      <w:r w:rsidRPr="004964AF">
        <w:rPr>
          <w:rFonts w:ascii="CPN" w:hAnsi="CPN" w:cs="CPN" w:hint="cs"/>
          <w:b/>
          <w:bCs/>
          <w:sz w:val="26"/>
          <w:szCs w:val="26"/>
        </w:rPr>
        <w:t>Current Scope of Responsibility</w:t>
      </w:r>
    </w:p>
    <w:p w14:paraId="3DD25DA5" w14:textId="77777777" w:rsidR="00280934" w:rsidRPr="004964AF" w:rsidRDefault="00280934">
      <w:pPr>
        <w:spacing w:after="120"/>
        <w:rPr>
          <w:rFonts w:ascii="CPN" w:hAnsi="CPN" w:cs="CPN" w:hint="cs"/>
        </w:rPr>
      </w:pPr>
    </w:p>
    <w:p w14:paraId="4A5F5164" w14:textId="77777777" w:rsidR="00280934" w:rsidRPr="004964AF" w:rsidRDefault="00000000">
      <w:pPr>
        <w:spacing w:after="140" w:line="320" w:lineRule="auto"/>
        <w:rPr>
          <w:rFonts w:ascii="CPN" w:hAnsi="CPN" w:cs="CPN" w:hint="cs"/>
        </w:rPr>
      </w:pPr>
      <w:r w:rsidRPr="004964AF">
        <w:rPr>
          <w:rFonts w:ascii="CPN" w:hAnsi="CPN" w:cs="CPN" w:hint="cs"/>
        </w:rPr>
        <w:t>Manages end-to-end CMG Online order operations across Shopee, Lazada, and TikTok platforms, with daily operational capacity covering tens of thousands of orders through picking and 3PL handover.</w:t>
      </w:r>
    </w:p>
    <w:p w14:paraId="45C249FC" w14:textId="77777777" w:rsidR="00280934" w:rsidRDefault="00000000">
      <w:pPr>
        <w:spacing w:after="140" w:line="320" w:lineRule="auto"/>
        <w:rPr>
          <w:rFonts w:ascii="CPN" w:hAnsi="CPN" w:cs="CPN"/>
        </w:rPr>
      </w:pPr>
      <w:proofErr w:type="gramStart"/>
      <w:r w:rsidRPr="004964AF">
        <w:rPr>
          <w:rFonts w:ascii="CPN" w:hAnsi="CPN" w:cs="CPN" w:hint="cs"/>
        </w:rPr>
        <w:t>Oversees</w:t>
      </w:r>
      <w:proofErr w:type="gramEnd"/>
      <w:r w:rsidRPr="004964AF">
        <w:rPr>
          <w:rFonts w:ascii="CPN" w:hAnsi="CPN" w:cs="CPN" w:hint="cs"/>
        </w:rPr>
        <w:t xml:space="preserve"> cross-functional coordination across warehouse operations, systems, and business teams. Owns SLA management for same-day delivery commitments, operational reporting governance, and exception management.</w:t>
      </w:r>
    </w:p>
    <w:p w14:paraId="7EA1F69A" w14:textId="77777777" w:rsidR="004964AF" w:rsidRDefault="004964AF">
      <w:pPr>
        <w:spacing w:after="140" w:line="320" w:lineRule="auto"/>
        <w:rPr>
          <w:rFonts w:ascii="CPN" w:hAnsi="CPN" w:cs="CPN"/>
        </w:rPr>
      </w:pPr>
    </w:p>
    <w:p w14:paraId="5D18E01A" w14:textId="77777777" w:rsidR="004964AF" w:rsidRDefault="004964AF">
      <w:pPr>
        <w:spacing w:after="140" w:line="320" w:lineRule="auto"/>
        <w:rPr>
          <w:rFonts w:ascii="CPN" w:hAnsi="CPN" w:cs="CPN"/>
        </w:rPr>
      </w:pPr>
    </w:p>
    <w:p w14:paraId="026C2553" w14:textId="77777777" w:rsidR="004964AF" w:rsidRDefault="004964AF">
      <w:pPr>
        <w:spacing w:after="140" w:line="320" w:lineRule="auto"/>
        <w:rPr>
          <w:rFonts w:ascii="CPN" w:hAnsi="CPN" w:cs="CPN"/>
        </w:rPr>
      </w:pPr>
    </w:p>
    <w:p w14:paraId="083F8FD4" w14:textId="77777777" w:rsidR="004964AF" w:rsidRDefault="004964AF">
      <w:pPr>
        <w:spacing w:after="140" w:line="320" w:lineRule="auto"/>
        <w:rPr>
          <w:rFonts w:ascii="CPN" w:hAnsi="CPN" w:cs="CPN"/>
        </w:rPr>
      </w:pPr>
    </w:p>
    <w:p w14:paraId="2D6E60FF" w14:textId="77777777" w:rsidR="004964AF" w:rsidRPr="004964AF" w:rsidRDefault="004964AF">
      <w:pPr>
        <w:spacing w:after="140" w:line="320" w:lineRule="auto"/>
        <w:rPr>
          <w:rFonts w:ascii="CPN" w:hAnsi="CPN" w:cs="CPN" w:hint="cs"/>
        </w:rPr>
      </w:pPr>
    </w:p>
    <w:p w14:paraId="499D2E86"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lastRenderedPageBreak/>
        <w:t>05</w:t>
      </w:r>
      <w:r w:rsidRPr="004964AF">
        <w:rPr>
          <w:rFonts w:ascii="CPN" w:hAnsi="CPN" w:cs="CPN" w:hint="cs"/>
          <w:sz w:val="20"/>
          <w:szCs w:val="20"/>
        </w:rPr>
        <w:t xml:space="preserve">    </w:t>
      </w:r>
      <w:r w:rsidRPr="004964AF">
        <w:rPr>
          <w:rFonts w:ascii="CPN" w:hAnsi="CPN" w:cs="CPN" w:hint="cs"/>
          <w:b/>
          <w:bCs/>
          <w:sz w:val="26"/>
          <w:szCs w:val="26"/>
        </w:rPr>
        <w:t>What Has Been Built and Led</w:t>
      </w:r>
    </w:p>
    <w:p w14:paraId="0403A5E5" w14:textId="77777777" w:rsidR="00280934" w:rsidRPr="004964AF" w:rsidRDefault="00000000" w:rsidP="00AB4F68">
      <w:pPr>
        <w:spacing w:before="200" w:after="80"/>
        <w:rPr>
          <w:rFonts w:ascii="CPN" w:hAnsi="CPN" w:cs="CPN" w:hint="cs"/>
        </w:rPr>
      </w:pPr>
      <w:r w:rsidRPr="004964AF">
        <w:rPr>
          <w:rFonts w:ascii="CPN" w:hAnsi="CPN" w:cs="CPN" w:hint="cs"/>
          <w:b/>
          <w:bCs/>
          <w:color w:val="8B0000"/>
        </w:rPr>
        <w:t>Automation</w:t>
      </w:r>
    </w:p>
    <w:p w14:paraId="1B000062" w14:textId="77777777" w:rsidR="00280934" w:rsidRPr="004964AF" w:rsidRDefault="00000000" w:rsidP="00AB4F68">
      <w:pPr>
        <w:spacing w:after="120"/>
        <w:rPr>
          <w:rFonts w:ascii="CPN" w:hAnsi="CPN" w:cs="CPN" w:hint="cs"/>
        </w:rPr>
      </w:pPr>
      <w:r w:rsidRPr="004964AF">
        <w:rPr>
          <w:rFonts w:ascii="CPN" w:hAnsi="CPN" w:cs="CPN" w:hint="cs"/>
        </w:rPr>
        <w:t xml:space="preserve">Led the implementation of the </w:t>
      </w:r>
      <w:proofErr w:type="spellStart"/>
      <w:r w:rsidRPr="004964AF">
        <w:rPr>
          <w:rFonts w:ascii="CPN" w:hAnsi="CPN" w:cs="CPN" w:hint="cs"/>
        </w:rPr>
        <w:t>Autorunwave</w:t>
      </w:r>
      <w:proofErr w:type="spellEnd"/>
      <w:r w:rsidRPr="004964AF">
        <w:rPr>
          <w:rFonts w:ascii="CPN" w:hAnsi="CPN" w:cs="CPN" w:hint="cs"/>
        </w:rPr>
        <w:t xml:space="preserve"> system — an automated wave processing engine that replaced manual wave creation and scaled platform-specific order handling. Established automated campaign reporting workflows with real-time exception alerting integrated into LINE for the operations team.</w:t>
      </w:r>
    </w:p>
    <w:p w14:paraId="6A1B804C" w14:textId="77777777" w:rsidR="00280934" w:rsidRPr="004964AF" w:rsidRDefault="00000000" w:rsidP="00AB4F68">
      <w:pPr>
        <w:spacing w:before="200" w:after="80"/>
        <w:rPr>
          <w:rFonts w:ascii="CPN" w:hAnsi="CPN" w:cs="CPN" w:hint="cs"/>
        </w:rPr>
      </w:pPr>
      <w:r w:rsidRPr="004964AF">
        <w:rPr>
          <w:rFonts w:ascii="CPN" w:hAnsi="CPN" w:cs="CPN" w:hint="cs"/>
          <w:b/>
          <w:bCs/>
          <w:color w:val="8B0000"/>
        </w:rPr>
        <w:t>Data Infrastructure</w:t>
      </w:r>
    </w:p>
    <w:p w14:paraId="3C15D580" w14:textId="77777777" w:rsidR="00280934" w:rsidRPr="004964AF" w:rsidRDefault="00000000" w:rsidP="00AB4F68">
      <w:pPr>
        <w:spacing w:after="120"/>
        <w:rPr>
          <w:rFonts w:ascii="CPN" w:hAnsi="CPN" w:cs="CPN" w:hint="cs"/>
        </w:rPr>
      </w:pPr>
      <w:r w:rsidRPr="004964AF">
        <w:rPr>
          <w:rFonts w:ascii="CPN" w:hAnsi="CPN" w:cs="CPN" w:hint="cs"/>
        </w:rPr>
        <w:t xml:space="preserve">Built and integrated operational data pipelines into Google </w:t>
      </w:r>
      <w:proofErr w:type="spellStart"/>
      <w:r w:rsidRPr="004964AF">
        <w:rPr>
          <w:rFonts w:ascii="CPN" w:hAnsi="CPN" w:cs="CPN" w:hint="cs"/>
        </w:rPr>
        <w:t>BigQuery</w:t>
      </w:r>
      <w:proofErr w:type="spellEnd"/>
      <w:r w:rsidRPr="004964AF">
        <w:rPr>
          <w:rFonts w:ascii="CPN" w:hAnsi="CPN" w:cs="CPN" w:hint="cs"/>
        </w:rPr>
        <w:t>, creating scalable reporting infrastructure for the department. Developed Python and Node.js automation scripts that replaced repetitive manual reporting work and improved data accessibility for cross-functional decisions.</w:t>
      </w:r>
    </w:p>
    <w:p w14:paraId="2CAC6CF0" w14:textId="77777777" w:rsidR="00280934" w:rsidRPr="004964AF" w:rsidRDefault="00000000" w:rsidP="00AB4F68">
      <w:pPr>
        <w:spacing w:before="200" w:after="80"/>
        <w:rPr>
          <w:rFonts w:ascii="CPN" w:hAnsi="CPN" w:cs="CPN" w:hint="cs"/>
        </w:rPr>
      </w:pPr>
      <w:r w:rsidRPr="004964AF">
        <w:rPr>
          <w:rFonts w:ascii="CPN" w:hAnsi="CPN" w:cs="CPN" w:hint="cs"/>
          <w:b/>
          <w:bCs/>
          <w:color w:val="8B0000"/>
        </w:rPr>
        <w:t>Internal Tools</w:t>
      </w:r>
    </w:p>
    <w:p w14:paraId="6DDBFA11" w14:textId="77777777" w:rsidR="00280934" w:rsidRPr="004964AF" w:rsidRDefault="00000000" w:rsidP="00AB4F68">
      <w:pPr>
        <w:spacing w:after="120"/>
        <w:rPr>
          <w:rFonts w:ascii="CPN" w:hAnsi="CPN" w:cs="CPN" w:hint="cs"/>
        </w:rPr>
      </w:pPr>
      <w:r w:rsidRPr="004964AF">
        <w:rPr>
          <w:rFonts w:ascii="CPN" w:hAnsi="CPN" w:cs="CPN" w:hint="cs"/>
        </w:rPr>
        <w:t xml:space="preserve">Personally developed </w:t>
      </w:r>
      <w:proofErr w:type="spellStart"/>
      <w:r w:rsidRPr="004964AF">
        <w:rPr>
          <w:rFonts w:ascii="CPN" w:hAnsi="CPN" w:cs="CPN" w:hint="cs"/>
        </w:rPr>
        <w:t>cmg</w:t>
      </w:r>
      <w:proofErr w:type="spellEnd"/>
      <w:r w:rsidRPr="004964AF">
        <w:rPr>
          <w:rFonts w:ascii="CPN" w:hAnsi="CPN" w:cs="CPN" w:hint="cs"/>
        </w:rPr>
        <w:t>-stock-control — an internal stock management tool deployed on production infrastructure — addressing a real operational need that previously relied on manual coordination. Designed Stock Dashboard and Q2 Consumable Forecast systems supporting both warehouse readiness and brand-level monitoring.</w:t>
      </w:r>
    </w:p>
    <w:p w14:paraId="2B1557F0" w14:textId="77777777" w:rsidR="00280934" w:rsidRPr="004964AF" w:rsidRDefault="00000000" w:rsidP="00AB4F68">
      <w:pPr>
        <w:spacing w:before="200" w:after="80"/>
        <w:rPr>
          <w:rFonts w:ascii="CPN" w:hAnsi="CPN" w:cs="CPN" w:hint="cs"/>
        </w:rPr>
      </w:pPr>
      <w:r w:rsidRPr="004964AF">
        <w:rPr>
          <w:rFonts w:ascii="CPN" w:hAnsi="CPN" w:cs="CPN" w:hint="cs"/>
          <w:b/>
          <w:bCs/>
          <w:color w:val="8B0000"/>
        </w:rPr>
        <w:t>Operational Excellence</w:t>
      </w:r>
    </w:p>
    <w:p w14:paraId="54200E21" w14:textId="0D1A8580" w:rsidR="00AB4F68" w:rsidRDefault="007578B6" w:rsidP="00AB4F68">
      <w:pPr>
        <w:spacing w:before="200" w:after="80"/>
        <w:rPr>
          <w:rFonts w:ascii="CPN" w:hAnsi="CPN" w:cs="CPN"/>
          <w:b/>
          <w:bCs/>
          <w:color w:val="8B0000"/>
        </w:rPr>
      </w:pPr>
      <w:r w:rsidRPr="007578B6">
        <w:rPr>
          <w:rFonts w:ascii="CPN" w:hAnsi="CPN" w:cs="CPN"/>
        </w:rPr>
        <w:t>Developed operational tracking and reporting solutions to enhance real-time campaign visibility and performance monitoring. Created hourly tracking reports and automated dashboards to support faster operational decision-making during campaign periods. Improved monitoring efficiency by reducing manual data consolidation and enabling teams to identify issues, order fluctuations, and operational bottlenecks more proactively. Supported cross-functional coordination through data-driven insights and streamlined reporting processes.</w:t>
      </w:r>
    </w:p>
    <w:p w14:paraId="2A451BE9" w14:textId="77777777" w:rsidR="00AB4F68" w:rsidRDefault="00AB4F68" w:rsidP="00AB4F68">
      <w:pPr>
        <w:spacing w:after="120"/>
        <w:rPr>
          <w:rFonts w:ascii="CPN" w:hAnsi="CPN" w:cs="CPN"/>
        </w:rPr>
      </w:pPr>
      <w:r w:rsidRPr="00AB4F68">
        <w:rPr>
          <w:rFonts w:ascii="CPN" w:hAnsi="CPN" w:cs="CPN"/>
          <w:b/>
          <w:bCs/>
          <w:color w:val="8B0000"/>
        </w:rPr>
        <w:t>KPI &amp; SLA Performance Monitoring</w:t>
      </w:r>
    </w:p>
    <w:p w14:paraId="55873CB4" w14:textId="721BA991" w:rsidR="004964AF" w:rsidRDefault="005C3473" w:rsidP="00AB4F68">
      <w:pPr>
        <w:spacing w:after="120"/>
        <w:rPr>
          <w:rFonts w:ascii="CPN" w:hAnsi="CPN" w:cs="CPN"/>
        </w:rPr>
      </w:pPr>
      <w:r w:rsidRPr="005C3473">
        <w:rPr>
          <w:rFonts w:ascii="CPN" w:hAnsi="CPN" w:cs="CPN"/>
        </w:rPr>
        <w:t>Developed and enhanced KPI/SLA monitoring processes to improve operational visibility and service performance tracking. Supported proactive issue identification and faster escalation management through structured monitoring frameworks and performance analysis. Contributed to maintaining operational stability during campaign and high-volume periods by improving tracking accuracy, reporting consistency, and cross-functional performance alignment.</w:t>
      </w:r>
    </w:p>
    <w:p w14:paraId="01CB85BD" w14:textId="77777777" w:rsidR="00AB4F68" w:rsidRPr="004964AF" w:rsidRDefault="00AB4F68" w:rsidP="00AB4F68">
      <w:pPr>
        <w:spacing w:after="120"/>
        <w:rPr>
          <w:rFonts w:ascii="CPN" w:hAnsi="CPN" w:cs="CPN" w:hint="cs"/>
        </w:rPr>
      </w:pPr>
    </w:p>
    <w:p w14:paraId="43A3595C"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lastRenderedPageBreak/>
        <w:t>06</w:t>
      </w:r>
      <w:r w:rsidRPr="004964AF">
        <w:rPr>
          <w:rFonts w:ascii="CPN" w:hAnsi="CPN" w:cs="CPN" w:hint="cs"/>
          <w:sz w:val="20"/>
          <w:szCs w:val="20"/>
        </w:rPr>
        <w:t xml:space="preserve">    </w:t>
      </w:r>
      <w:r w:rsidRPr="004964AF">
        <w:rPr>
          <w:rFonts w:ascii="CPN" w:hAnsi="CPN" w:cs="CPN" w:hint="cs"/>
          <w:b/>
          <w:bCs/>
          <w:sz w:val="26"/>
          <w:szCs w:val="26"/>
        </w:rPr>
        <w:t>Performance Trajectory</w:t>
      </w:r>
    </w:p>
    <w:p w14:paraId="6CA7EE38" w14:textId="77777777" w:rsidR="00280934" w:rsidRPr="004964AF" w:rsidRDefault="00280934">
      <w:pPr>
        <w:spacing w:after="120"/>
        <w:rPr>
          <w:rFonts w:ascii="CPN" w:hAnsi="CPN" w:cs="CPN" w:hint="cs"/>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00"/>
        <w:gridCol w:w="1200"/>
        <w:gridCol w:w="6960"/>
      </w:tblGrid>
      <w:tr w:rsidR="00280934" w:rsidRPr="004964AF" w14:paraId="6408427D" w14:textId="77777777">
        <w:tblPrEx>
          <w:tblCellMar>
            <w:top w:w="0" w:type="dxa"/>
            <w:bottom w:w="0" w:type="dxa"/>
          </w:tblCellMar>
        </w:tblPrEx>
        <w:trPr>
          <w:tblHeader/>
        </w:trPr>
        <w:tc>
          <w:tcPr>
            <w:tcW w:w="1200" w:type="dxa"/>
            <w:tcBorders>
              <w:top w:val="none" w:sz="0" w:space="0" w:color="FFFFFF"/>
              <w:left w:val="none" w:sz="0" w:space="0" w:color="FFFFFF"/>
              <w:bottom w:val="single" w:sz="8" w:space="0" w:color="8B0000"/>
              <w:right w:val="none" w:sz="0" w:space="0" w:color="FFFFFF"/>
            </w:tcBorders>
            <w:tcMar>
              <w:top w:w="140" w:type="dxa"/>
              <w:left w:w="0" w:type="dxa"/>
              <w:bottom w:w="140" w:type="dxa"/>
              <w:right w:w="120" w:type="dxa"/>
            </w:tcMar>
          </w:tcPr>
          <w:p w14:paraId="016AC558" w14:textId="77777777" w:rsidR="00280934" w:rsidRPr="004964AF" w:rsidRDefault="00000000">
            <w:pPr>
              <w:rPr>
                <w:rFonts w:ascii="CPN" w:hAnsi="CPN" w:cs="CPN" w:hint="cs"/>
              </w:rPr>
            </w:pPr>
            <w:r w:rsidRPr="004964AF">
              <w:rPr>
                <w:rFonts w:ascii="CPN" w:hAnsi="CPN" w:cs="CPN" w:hint="cs"/>
                <w:b/>
                <w:bCs/>
                <w:color w:val="8B0000"/>
                <w:sz w:val="20"/>
                <w:szCs w:val="20"/>
              </w:rPr>
              <w:t>Year</w:t>
            </w:r>
          </w:p>
        </w:tc>
        <w:tc>
          <w:tcPr>
            <w:tcW w:w="1200" w:type="dxa"/>
            <w:tcBorders>
              <w:top w:val="none" w:sz="0" w:space="0" w:color="FFFFFF"/>
              <w:left w:val="none" w:sz="0" w:space="0" w:color="FFFFFF"/>
              <w:bottom w:val="single" w:sz="8" w:space="0" w:color="8B0000"/>
              <w:right w:val="none" w:sz="0" w:space="0" w:color="FFFFFF"/>
            </w:tcBorders>
            <w:tcMar>
              <w:top w:w="140" w:type="dxa"/>
              <w:left w:w="120" w:type="dxa"/>
              <w:bottom w:w="140" w:type="dxa"/>
              <w:right w:w="120" w:type="dxa"/>
            </w:tcMar>
          </w:tcPr>
          <w:p w14:paraId="78218321" w14:textId="77777777" w:rsidR="00280934" w:rsidRPr="004964AF" w:rsidRDefault="00000000">
            <w:pPr>
              <w:rPr>
                <w:rFonts w:ascii="CPN" w:hAnsi="CPN" w:cs="CPN" w:hint="cs"/>
              </w:rPr>
            </w:pPr>
            <w:r w:rsidRPr="004964AF">
              <w:rPr>
                <w:rFonts w:ascii="CPN" w:hAnsi="CPN" w:cs="CPN" w:hint="cs"/>
                <w:b/>
                <w:bCs/>
                <w:color w:val="8B0000"/>
                <w:sz w:val="20"/>
                <w:szCs w:val="20"/>
              </w:rPr>
              <w:t>Rating</w:t>
            </w:r>
          </w:p>
        </w:tc>
        <w:tc>
          <w:tcPr>
            <w:tcW w:w="6960" w:type="dxa"/>
            <w:tcBorders>
              <w:top w:val="none" w:sz="0" w:space="0" w:color="FFFFFF"/>
              <w:left w:val="none" w:sz="0" w:space="0" w:color="FFFFFF"/>
              <w:bottom w:val="single" w:sz="8" w:space="0" w:color="8B0000"/>
              <w:right w:val="none" w:sz="0" w:space="0" w:color="FFFFFF"/>
            </w:tcBorders>
            <w:tcMar>
              <w:top w:w="140" w:type="dxa"/>
              <w:left w:w="120" w:type="dxa"/>
              <w:bottom w:w="140" w:type="dxa"/>
              <w:right w:w="120" w:type="dxa"/>
            </w:tcMar>
          </w:tcPr>
          <w:p w14:paraId="38B071BD" w14:textId="77777777" w:rsidR="00280934" w:rsidRPr="004964AF" w:rsidRDefault="00000000">
            <w:pPr>
              <w:rPr>
                <w:rFonts w:ascii="CPN" w:hAnsi="CPN" w:cs="CPN" w:hint="cs"/>
              </w:rPr>
            </w:pPr>
            <w:r w:rsidRPr="004964AF">
              <w:rPr>
                <w:rFonts w:ascii="CPN" w:hAnsi="CPN" w:cs="CPN" w:hint="cs"/>
                <w:b/>
                <w:bCs/>
                <w:color w:val="8B0000"/>
                <w:sz w:val="20"/>
                <w:szCs w:val="20"/>
              </w:rPr>
              <w:t>Description</w:t>
            </w:r>
          </w:p>
        </w:tc>
      </w:tr>
      <w:tr w:rsidR="00280934" w:rsidRPr="004964AF" w14:paraId="2592B47B" w14:textId="77777777">
        <w:tblPrEx>
          <w:tblCellMar>
            <w:top w:w="0" w:type="dxa"/>
            <w:bottom w:w="0" w:type="dxa"/>
          </w:tblCellMar>
        </w:tblPrEx>
        <w:tc>
          <w:tcPr>
            <w:tcW w:w="1200" w:type="dxa"/>
            <w:tcBorders>
              <w:top w:val="none" w:sz="0" w:space="0" w:color="FFFFFF"/>
              <w:left w:val="none" w:sz="0" w:space="0" w:color="FFFFFF"/>
              <w:bottom w:val="single" w:sz="4" w:space="0" w:color="D9D9D9"/>
              <w:right w:val="none" w:sz="0" w:space="0" w:color="FFFFFF"/>
            </w:tcBorders>
            <w:tcMar>
              <w:top w:w="140" w:type="dxa"/>
              <w:left w:w="0" w:type="dxa"/>
              <w:bottom w:w="140" w:type="dxa"/>
              <w:right w:w="120" w:type="dxa"/>
            </w:tcMar>
          </w:tcPr>
          <w:p w14:paraId="2BEBA5A7" w14:textId="77777777" w:rsidR="00280934" w:rsidRPr="004964AF" w:rsidRDefault="00000000">
            <w:pPr>
              <w:rPr>
                <w:rFonts w:ascii="CPN" w:hAnsi="CPN" w:cs="CPN" w:hint="cs"/>
              </w:rPr>
            </w:pPr>
            <w:r w:rsidRPr="004964AF">
              <w:rPr>
                <w:rFonts w:ascii="CPN" w:hAnsi="CPN" w:cs="CPN" w:hint="cs"/>
              </w:rPr>
              <w:t>2023</w:t>
            </w:r>
          </w:p>
        </w:tc>
        <w:tc>
          <w:tcPr>
            <w:tcW w:w="120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0A3ED542" w14:textId="77777777" w:rsidR="00280934" w:rsidRPr="004964AF" w:rsidRDefault="00000000">
            <w:pPr>
              <w:rPr>
                <w:rFonts w:ascii="CPN" w:hAnsi="CPN" w:cs="CPN" w:hint="cs"/>
              </w:rPr>
            </w:pPr>
            <w:r w:rsidRPr="004964AF">
              <w:rPr>
                <w:rFonts w:ascii="CPN" w:hAnsi="CPN" w:cs="CPN" w:hint="cs"/>
              </w:rPr>
              <w:t>C</w:t>
            </w:r>
          </w:p>
        </w:tc>
        <w:tc>
          <w:tcPr>
            <w:tcW w:w="696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2787F36F" w14:textId="77777777" w:rsidR="00280934" w:rsidRPr="004964AF" w:rsidRDefault="00000000">
            <w:pPr>
              <w:rPr>
                <w:rFonts w:ascii="CPN" w:hAnsi="CPN" w:cs="CPN" w:hint="cs"/>
              </w:rPr>
            </w:pPr>
            <w:r w:rsidRPr="004964AF">
              <w:rPr>
                <w:rFonts w:ascii="CPN" w:hAnsi="CPN" w:cs="CPN" w:hint="cs"/>
              </w:rPr>
              <w:t>Initial onboarding and probation period</w:t>
            </w:r>
          </w:p>
        </w:tc>
      </w:tr>
      <w:tr w:rsidR="00280934" w:rsidRPr="004964AF" w14:paraId="30C6A5AA" w14:textId="77777777">
        <w:tblPrEx>
          <w:tblCellMar>
            <w:top w:w="0" w:type="dxa"/>
            <w:bottom w:w="0" w:type="dxa"/>
          </w:tblCellMar>
        </w:tblPrEx>
        <w:tc>
          <w:tcPr>
            <w:tcW w:w="1200" w:type="dxa"/>
            <w:tcBorders>
              <w:top w:val="none" w:sz="0" w:space="0" w:color="FFFFFF"/>
              <w:left w:val="none" w:sz="0" w:space="0" w:color="FFFFFF"/>
              <w:bottom w:val="single" w:sz="4" w:space="0" w:color="D9D9D9"/>
              <w:right w:val="none" w:sz="0" w:space="0" w:color="FFFFFF"/>
            </w:tcBorders>
            <w:tcMar>
              <w:top w:w="140" w:type="dxa"/>
              <w:left w:w="0" w:type="dxa"/>
              <w:bottom w:w="140" w:type="dxa"/>
              <w:right w:w="120" w:type="dxa"/>
            </w:tcMar>
          </w:tcPr>
          <w:p w14:paraId="08228D48" w14:textId="77777777" w:rsidR="00280934" w:rsidRPr="004964AF" w:rsidRDefault="00000000">
            <w:pPr>
              <w:rPr>
                <w:rFonts w:ascii="CPN" w:hAnsi="CPN" w:cs="CPN" w:hint="cs"/>
              </w:rPr>
            </w:pPr>
            <w:r w:rsidRPr="004964AF">
              <w:rPr>
                <w:rFonts w:ascii="CPN" w:hAnsi="CPN" w:cs="CPN" w:hint="cs"/>
              </w:rPr>
              <w:t>2024</w:t>
            </w:r>
          </w:p>
        </w:tc>
        <w:tc>
          <w:tcPr>
            <w:tcW w:w="120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3092B848" w14:textId="77777777" w:rsidR="00280934" w:rsidRPr="004964AF" w:rsidRDefault="00000000">
            <w:pPr>
              <w:rPr>
                <w:rFonts w:ascii="CPN" w:hAnsi="CPN" w:cs="CPN" w:hint="cs"/>
              </w:rPr>
            </w:pPr>
            <w:r w:rsidRPr="004964AF">
              <w:rPr>
                <w:rFonts w:ascii="CPN" w:hAnsi="CPN" w:cs="CPN" w:hint="cs"/>
              </w:rPr>
              <w:t>A−</w:t>
            </w:r>
          </w:p>
        </w:tc>
        <w:tc>
          <w:tcPr>
            <w:tcW w:w="696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07B473AF" w14:textId="77777777" w:rsidR="00280934" w:rsidRPr="004964AF" w:rsidRDefault="00000000">
            <w:pPr>
              <w:rPr>
                <w:rFonts w:ascii="CPN" w:hAnsi="CPN" w:cs="CPN" w:hint="cs"/>
              </w:rPr>
            </w:pPr>
            <w:r w:rsidRPr="004964AF">
              <w:rPr>
                <w:rFonts w:ascii="CPN" w:hAnsi="CPN" w:cs="CPN" w:hint="cs"/>
              </w:rPr>
              <w:t>Exceeding Expectation</w:t>
            </w:r>
          </w:p>
        </w:tc>
      </w:tr>
      <w:tr w:rsidR="00280934" w:rsidRPr="004964AF" w14:paraId="2C7D0177" w14:textId="77777777">
        <w:tblPrEx>
          <w:tblCellMar>
            <w:top w:w="0" w:type="dxa"/>
            <w:bottom w:w="0" w:type="dxa"/>
          </w:tblCellMar>
        </w:tblPrEx>
        <w:tc>
          <w:tcPr>
            <w:tcW w:w="1200" w:type="dxa"/>
            <w:tcBorders>
              <w:top w:val="none" w:sz="0" w:space="0" w:color="FFFFFF"/>
              <w:left w:val="none" w:sz="0" w:space="0" w:color="FFFFFF"/>
              <w:bottom w:val="single" w:sz="4" w:space="0" w:color="D9D9D9"/>
              <w:right w:val="none" w:sz="0" w:space="0" w:color="FFFFFF"/>
            </w:tcBorders>
            <w:tcMar>
              <w:top w:w="140" w:type="dxa"/>
              <w:left w:w="0" w:type="dxa"/>
              <w:bottom w:w="140" w:type="dxa"/>
              <w:right w:w="120" w:type="dxa"/>
            </w:tcMar>
          </w:tcPr>
          <w:p w14:paraId="4FCE4139" w14:textId="77777777" w:rsidR="00280934" w:rsidRPr="004964AF" w:rsidRDefault="00000000">
            <w:pPr>
              <w:rPr>
                <w:rFonts w:ascii="CPN" w:hAnsi="CPN" w:cs="CPN" w:hint="cs"/>
              </w:rPr>
            </w:pPr>
            <w:r w:rsidRPr="004964AF">
              <w:rPr>
                <w:rFonts w:ascii="CPN" w:hAnsi="CPN" w:cs="CPN" w:hint="cs"/>
              </w:rPr>
              <w:t>2025</w:t>
            </w:r>
          </w:p>
        </w:tc>
        <w:tc>
          <w:tcPr>
            <w:tcW w:w="120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36A91913" w14:textId="77777777" w:rsidR="00280934" w:rsidRPr="004964AF" w:rsidRDefault="00000000">
            <w:pPr>
              <w:rPr>
                <w:rFonts w:ascii="CPN" w:hAnsi="CPN" w:cs="CPN" w:hint="cs"/>
              </w:rPr>
            </w:pPr>
            <w:r w:rsidRPr="004964AF">
              <w:rPr>
                <w:rFonts w:ascii="CPN" w:hAnsi="CPN" w:cs="CPN" w:hint="cs"/>
              </w:rPr>
              <w:t>B</w:t>
            </w:r>
          </w:p>
        </w:tc>
        <w:tc>
          <w:tcPr>
            <w:tcW w:w="696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1033C0ED" w14:textId="77777777" w:rsidR="00280934" w:rsidRPr="004964AF" w:rsidRDefault="00000000">
            <w:pPr>
              <w:rPr>
                <w:rFonts w:ascii="CPN" w:hAnsi="CPN" w:cs="CPN" w:hint="cs"/>
              </w:rPr>
            </w:pPr>
            <w:r w:rsidRPr="004964AF">
              <w:rPr>
                <w:rFonts w:ascii="CPN" w:hAnsi="CPN" w:cs="CPN" w:hint="cs"/>
              </w:rPr>
              <w:t>Meeting Expectation, while expanding scope into AI and automation initiatives</w:t>
            </w:r>
          </w:p>
        </w:tc>
      </w:tr>
    </w:tbl>
    <w:p w14:paraId="52AE0301" w14:textId="77777777" w:rsidR="00280934" w:rsidRPr="004964AF" w:rsidRDefault="00280934">
      <w:pPr>
        <w:spacing w:before="200"/>
        <w:rPr>
          <w:rFonts w:ascii="CPN" w:hAnsi="CPN" w:cs="CPN" w:hint="cs"/>
        </w:rPr>
      </w:pPr>
    </w:p>
    <w:p w14:paraId="78B60FDB" w14:textId="77777777" w:rsidR="00280934" w:rsidRPr="004964AF" w:rsidRDefault="00000000">
      <w:pPr>
        <w:spacing w:after="120" w:line="320" w:lineRule="auto"/>
        <w:rPr>
          <w:rFonts w:ascii="CPN" w:hAnsi="CPN" w:cs="CPN" w:hint="cs"/>
        </w:rPr>
      </w:pPr>
      <w:r w:rsidRPr="004964AF">
        <w:rPr>
          <w:rFonts w:ascii="CPN" w:hAnsi="CPN" w:cs="CPN" w:hint="cs"/>
          <w:i/>
          <w:iCs/>
          <w:color w:val="595959"/>
          <w:sz w:val="20"/>
          <w:szCs w:val="20"/>
        </w:rPr>
        <w:t>The trajectory reflects a strong post-onboarding ramp-up, peak Exceeding-level delivery in 2024, and sustained operational performance in 2025 alongside self-initiated mandate expansion into intelligent operations.</w:t>
      </w:r>
    </w:p>
    <w:p w14:paraId="7B8B443C"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t>07</w:t>
      </w:r>
      <w:r w:rsidRPr="004964AF">
        <w:rPr>
          <w:rFonts w:ascii="CPN" w:hAnsi="CPN" w:cs="CPN" w:hint="cs"/>
          <w:sz w:val="20"/>
          <w:szCs w:val="20"/>
        </w:rPr>
        <w:t xml:space="preserve">    </w:t>
      </w:r>
      <w:r w:rsidRPr="004964AF">
        <w:rPr>
          <w:rFonts w:ascii="CPN" w:hAnsi="CPN" w:cs="CPN" w:hint="cs"/>
          <w:b/>
          <w:bCs/>
          <w:sz w:val="26"/>
          <w:szCs w:val="26"/>
        </w:rPr>
        <w:t>CG Competency Profile</w:t>
      </w:r>
    </w:p>
    <w:p w14:paraId="28C59F6B" w14:textId="77777777" w:rsidR="00280934" w:rsidRPr="004964AF" w:rsidRDefault="00280934">
      <w:pPr>
        <w:spacing w:after="120"/>
        <w:rPr>
          <w:rFonts w:ascii="CPN" w:hAnsi="CPN" w:cs="CPN" w:hint="cs"/>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360"/>
        <w:gridCol w:w="3000"/>
      </w:tblGrid>
      <w:tr w:rsidR="00280934" w:rsidRPr="004964AF" w14:paraId="07726D35" w14:textId="77777777">
        <w:tblPrEx>
          <w:tblCellMar>
            <w:top w:w="0" w:type="dxa"/>
            <w:bottom w:w="0" w:type="dxa"/>
          </w:tblCellMar>
        </w:tblPrEx>
        <w:trPr>
          <w:tblHeader/>
        </w:trPr>
        <w:tc>
          <w:tcPr>
            <w:tcW w:w="6360" w:type="dxa"/>
            <w:tcBorders>
              <w:top w:val="none" w:sz="0" w:space="0" w:color="FFFFFF"/>
              <w:left w:val="none" w:sz="0" w:space="0" w:color="FFFFFF"/>
              <w:bottom w:val="single" w:sz="8" w:space="0" w:color="8B0000"/>
              <w:right w:val="none" w:sz="0" w:space="0" w:color="FFFFFF"/>
            </w:tcBorders>
            <w:tcMar>
              <w:top w:w="140" w:type="dxa"/>
              <w:left w:w="0" w:type="dxa"/>
              <w:bottom w:w="140" w:type="dxa"/>
              <w:right w:w="120" w:type="dxa"/>
            </w:tcMar>
          </w:tcPr>
          <w:p w14:paraId="40819BD2" w14:textId="77777777" w:rsidR="00280934" w:rsidRPr="004964AF" w:rsidRDefault="00000000">
            <w:pPr>
              <w:rPr>
                <w:rFonts w:ascii="CPN" w:hAnsi="CPN" w:cs="CPN" w:hint="cs"/>
              </w:rPr>
            </w:pPr>
            <w:r w:rsidRPr="004964AF">
              <w:rPr>
                <w:rFonts w:ascii="CPN" w:hAnsi="CPN" w:cs="CPN" w:hint="cs"/>
                <w:b/>
                <w:bCs/>
                <w:color w:val="8B0000"/>
                <w:sz w:val="20"/>
                <w:szCs w:val="20"/>
              </w:rPr>
              <w:t>Competency</w:t>
            </w:r>
          </w:p>
        </w:tc>
        <w:tc>
          <w:tcPr>
            <w:tcW w:w="3000" w:type="dxa"/>
            <w:tcBorders>
              <w:top w:val="none" w:sz="0" w:space="0" w:color="FFFFFF"/>
              <w:left w:val="none" w:sz="0" w:space="0" w:color="FFFFFF"/>
              <w:bottom w:val="single" w:sz="8" w:space="0" w:color="8B0000"/>
              <w:right w:val="none" w:sz="0" w:space="0" w:color="FFFFFF"/>
            </w:tcBorders>
            <w:tcMar>
              <w:top w:w="140" w:type="dxa"/>
              <w:left w:w="120" w:type="dxa"/>
              <w:bottom w:w="140" w:type="dxa"/>
              <w:right w:w="120" w:type="dxa"/>
            </w:tcMar>
          </w:tcPr>
          <w:p w14:paraId="474399DC" w14:textId="77777777" w:rsidR="00280934" w:rsidRPr="004964AF" w:rsidRDefault="00000000">
            <w:pPr>
              <w:rPr>
                <w:rFonts w:ascii="CPN" w:hAnsi="CPN" w:cs="CPN" w:hint="cs"/>
              </w:rPr>
            </w:pPr>
            <w:r w:rsidRPr="004964AF">
              <w:rPr>
                <w:rFonts w:ascii="CPN" w:hAnsi="CPN" w:cs="CPN" w:hint="cs"/>
                <w:b/>
                <w:bCs/>
                <w:color w:val="8B0000"/>
                <w:sz w:val="20"/>
                <w:szCs w:val="20"/>
              </w:rPr>
              <w:t>Rating</w:t>
            </w:r>
          </w:p>
        </w:tc>
      </w:tr>
      <w:tr w:rsidR="00280934" w:rsidRPr="004964AF" w14:paraId="4E0D86D9" w14:textId="77777777">
        <w:tblPrEx>
          <w:tblCellMar>
            <w:top w:w="0" w:type="dxa"/>
            <w:bottom w:w="0" w:type="dxa"/>
          </w:tblCellMar>
        </w:tblPrEx>
        <w:tc>
          <w:tcPr>
            <w:tcW w:w="6360" w:type="dxa"/>
            <w:tcBorders>
              <w:top w:val="none" w:sz="0" w:space="0" w:color="FFFFFF"/>
              <w:left w:val="none" w:sz="0" w:space="0" w:color="FFFFFF"/>
              <w:bottom w:val="single" w:sz="4" w:space="0" w:color="D9D9D9"/>
              <w:right w:val="none" w:sz="0" w:space="0" w:color="FFFFFF"/>
            </w:tcBorders>
            <w:tcMar>
              <w:top w:w="140" w:type="dxa"/>
              <w:left w:w="0" w:type="dxa"/>
              <w:bottom w:w="140" w:type="dxa"/>
              <w:right w:w="120" w:type="dxa"/>
            </w:tcMar>
          </w:tcPr>
          <w:p w14:paraId="4BD44D64" w14:textId="77777777" w:rsidR="00280934" w:rsidRPr="004964AF" w:rsidRDefault="00000000">
            <w:pPr>
              <w:rPr>
                <w:rFonts w:ascii="CPN" w:hAnsi="CPN" w:cs="CPN" w:hint="cs"/>
              </w:rPr>
            </w:pPr>
            <w:r w:rsidRPr="004964AF">
              <w:rPr>
                <w:rFonts w:ascii="CPN" w:hAnsi="CPN" w:cs="CPN" w:hint="cs"/>
              </w:rPr>
              <w:t>Leading Innovation</w:t>
            </w:r>
          </w:p>
        </w:tc>
        <w:tc>
          <w:tcPr>
            <w:tcW w:w="300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2AA9C594" w14:textId="77777777" w:rsidR="00280934" w:rsidRPr="004964AF" w:rsidRDefault="00000000">
            <w:pPr>
              <w:rPr>
                <w:rFonts w:ascii="CPN" w:hAnsi="CPN" w:cs="CPN" w:hint="cs"/>
              </w:rPr>
            </w:pPr>
            <w:proofErr w:type="gramStart"/>
            <w:r w:rsidRPr="004964AF">
              <w:rPr>
                <w:rFonts w:ascii="CPN" w:hAnsi="CPN" w:cs="CPN" w:hint="cs"/>
              </w:rPr>
              <w:t xml:space="preserve">High  </w:t>
            </w:r>
            <w:r w:rsidRPr="004964AF">
              <w:rPr>
                <w:rFonts w:ascii="Segoe UI Symbol" w:hAnsi="Segoe UI Symbol" w:cs="Segoe UI Symbol"/>
              </w:rPr>
              <w:t>★</w:t>
            </w:r>
            <w:proofErr w:type="gramEnd"/>
          </w:p>
        </w:tc>
      </w:tr>
      <w:tr w:rsidR="00280934" w:rsidRPr="004964AF" w14:paraId="79C50E92" w14:textId="77777777">
        <w:tblPrEx>
          <w:tblCellMar>
            <w:top w:w="0" w:type="dxa"/>
            <w:bottom w:w="0" w:type="dxa"/>
          </w:tblCellMar>
        </w:tblPrEx>
        <w:tc>
          <w:tcPr>
            <w:tcW w:w="6360" w:type="dxa"/>
            <w:tcBorders>
              <w:top w:val="none" w:sz="0" w:space="0" w:color="FFFFFF"/>
              <w:left w:val="none" w:sz="0" w:space="0" w:color="FFFFFF"/>
              <w:bottom w:val="single" w:sz="4" w:space="0" w:color="D9D9D9"/>
              <w:right w:val="none" w:sz="0" w:space="0" w:color="FFFFFF"/>
            </w:tcBorders>
            <w:tcMar>
              <w:top w:w="140" w:type="dxa"/>
              <w:left w:w="0" w:type="dxa"/>
              <w:bottom w:w="140" w:type="dxa"/>
              <w:right w:w="120" w:type="dxa"/>
            </w:tcMar>
          </w:tcPr>
          <w:p w14:paraId="77FB02A1" w14:textId="77777777" w:rsidR="00280934" w:rsidRPr="004964AF" w:rsidRDefault="00000000">
            <w:pPr>
              <w:rPr>
                <w:rFonts w:ascii="CPN" w:hAnsi="CPN" w:cs="CPN" w:hint="cs"/>
              </w:rPr>
            </w:pPr>
            <w:r w:rsidRPr="004964AF">
              <w:rPr>
                <w:rFonts w:ascii="CPN" w:hAnsi="CPN" w:cs="CPN" w:hint="cs"/>
              </w:rPr>
              <w:t>Driving for Profitable Growth</w:t>
            </w:r>
          </w:p>
        </w:tc>
        <w:tc>
          <w:tcPr>
            <w:tcW w:w="300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73A0C57C" w14:textId="77777777" w:rsidR="00280934" w:rsidRPr="004964AF" w:rsidRDefault="00000000">
            <w:pPr>
              <w:rPr>
                <w:rFonts w:ascii="CPN" w:hAnsi="CPN" w:cs="CPN" w:hint="cs"/>
              </w:rPr>
            </w:pPr>
            <w:r w:rsidRPr="004964AF">
              <w:rPr>
                <w:rFonts w:ascii="CPN" w:hAnsi="CPN" w:cs="CPN" w:hint="cs"/>
              </w:rPr>
              <w:t>Medium</w:t>
            </w:r>
          </w:p>
        </w:tc>
      </w:tr>
      <w:tr w:rsidR="00280934" w:rsidRPr="004964AF" w14:paraId="1FBF448A" w14:textId="77777777">
        <w:tblPrEx>
          <w:tblCellMar>
            <w:top w:w="0" w:type="dxa"/>
            <w:bottom w:w="0" w:type="dxa"/>
          </w:tblCellMar>
        </w:tblPrEx>
        <w:tc>
          <w:tcPr>
            <w:tcW w:w="6360" w:type="dxa"/>
            <w:tcBorders>
              <w:top w:val="none" w:sz="0" w:space="0" w:color="FFFFFF"/>
              <w:left w:val="none" w:sz="0" w:space="0" w:color="FFFFFF"/>
              <w:bottom w:val="single" w:sz="4" w:space="0" w:color="D9D9D9"/>
              <w:right w:val="none" w:sz="0" w:space="0" w:color="FFFFFF"/>
            </w:tcBorders>
            <w:tcMar>
              <w:top w:w="140" w:type="dxa"/>
              <w:left w:w="0" w:type="dxa"/>
              <w:bottom w:w="140" w:type="dxa"/>
              <w:right w:w="120" w:type="dxa"/>
            </w:tcMar>
          </w:tcPr>
          <w:p w14:paraId="17CCDFDE" w14:textId="77777777" w:rsidR="00280934" w:rsidRPr="004964AF" w:rsidRDefault="00000000">
            <w:pPr>
              <w:rPr>
                <w:rFonts w:ascii="CPN" w:hAnsi="CPN" w:cs="CPN" w:hint="cs"/>
              </w:rPr>
            </w:pPr>
            <w:r w:rsidRPr="004964AF">
              <w:rPr>
                <w:rFonts w:ascii="CPN" w:hAnsi="CPN" w:cs="CPN" w:hint="cs"/>
              </w:rPr>
              <w:t>Striving to Meet Customer Satisfaction</w:t>
            </w:r>
          </w:p>
        </w:tc>
        <w:tc>
          <w:tcPr>
            <w:tcW w:w="300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29B4FF9F" w14:textId="77777777" w:rsidR="00280934" w:rsidRPr="004964AF" w:rsidRDefault="00000000">
            <w:pPr>
              <w:rPr>
                <w:rFonts w:ascii="CPN" w:hAnsi="CPN" w:cs="CPN" w:hint="cs"/>
              </w:rPr>
            </w:pPr>
            <w:r w:rsidRPr="004964AF">
              <w:rPr>
                <w:rFonts w:ascii="CPN" w:hAnsi="CPN" w:cs="CPN" w:hint="cs"/>
              </w:rPr>
              <w:t>Medium</w:t>
            </w:r>
          </w:p>
        </w:tc>
      </w:tr>
      <w:tr w:rsidR="00280934" w:rsidRPr="004964AF" w14:paraId="7FD1ADF6" w14:textId="77777777">
        <w:tblPrEx>
          <w:tblCellMar>
            <w:top w:w="0" w:type="dxa"/>
            <w:bottom w:w="0" w:type="dxa"/>
          </w:tblCellMar>
        </w:tblPrEx>
        <w:tc>
          <w:tcPr>
            <w:tcW w:w="6360" w:type="dxa"/>
            <w:tcBorders>
              <w:top w:val="none" w:sz="0" w:space="0" w:color="FFFFFF"/>
              <w:left w:val="none" w:sz="0" w:space="0" w:color="FFFFFF"/>
              <w:bottom w:val="single" w:sz="4" w:space="0" w:color="D9D9D9"/>
              <w:right w:val="none" w:sz="0" w:space="0" w:color="FFFFFF"/>
            </w:tcBorders>
            <w:tcMar>
              <w:top w:w="140" w:type="dxa"/>
              <w:left w:w="0" w:type="dxa"/>
              <w:bottom w:w="140" w:type="dxa"/>
              <w:right w:w="120" w:type="dxa"/>
            </w:tcMar>
          </w:tcPr>
          <w:p w14:paraId="07B52A71" w14:textId="77777777" w:rsidR="00280934" w:rsidRPr="004964AF" w:rsidRDefault="00000000">
            <w:pPr>
              <w:rPr>
                <w:rFonts w:ascii="CPN" w:hAnsi="CPN" w:cs="CPN" w:hint="cs"/>
              </w:rPr>
            </w:pPr>
            <w:r w:rsidRPr="004964AF">
              <w:rPr>
                <w:rFonts w:ascii="CPN" w:hAnsi="CPN" w:cs="CPN" w:hint="cs"/>
              </w:rPr>
              <w:t>Building Organization Excellence</w:t>
            </w:r>
          </w:p>
        </w:tc>
        <w:tc>
          <w:tcPr>
            <w:tcW w:w="300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4C29EF64" w14:textId="77777777" w:rsidR="00280934" w:rsidRPr="004964AF" w:rsidRDefault="00000000">
            <w:pPr>
              <w:rPr>
                <w:rFonts w:ascii="CPN" w:hAnsi="CPN" w:cs="CPN" w:hint="cs"/>
              </w:rPr>
            </w:pPr>
            <w:r w:rsidRPr="004964AF">
              <w:rPr>
                <w:rFonts w:ascii="CPN" w:hAnsi="CPN" w:cs="CPN" w:hint="cs"/>
              </w:rPr>
              <w:t>Medium</w:t>
            </w:r>
          </w:p>
        </w:tc>
      </w:tr>
      <w:tr w:rsidR="00280934" w:rsidRPr="004964AF" w14:paraId="66F9EE28" w14:textId="77777777">
        <w:tblPrEx>
          <w:tblCellMar>
            <w:top w:w="0" w:type="dxa"/>
            <w:bottom w:w="0" w:type="dxa"/>
          </w:tblCellMar>
        </w:tblPrEx>
        <w:tc>
          <w:tcPr>
            <w:tcW w:w="6360" w:type="dxa"/>
            <w:tcBorders>
              <w:top w:val="none" w:sz="0" w:space="0" w:color="FFFFFF"/>
              <w:left w:val="none" w:sz="0" w:space="0" w:color="FFFFFF"/>
              <w:bottom w:val="single" w:sz="4" w:space="0" w:color="D9D9D9"/>
              <w:right w:val="none" w:sz="0" w:space="0" w:color="FFFFFF"/>
            </w:tcBorders>
            <w:tcMar>
              <w:top w:w="140" w:type="dxa"/>
              <w:left w:w="0" w:type="dxa"/>
              <w:bottom w:w="140" w:type="dxa"/>
              <w:right w:w="120" w:type="dxa"/>
            </w:tcMar>
          </w:tcPr>
          <w:p w14:paraId="2A0BA005" w14:textId="77777777" w:rsidR="00280934" w:rsidRPr="004964AF" w:rsidRDefault="00000000">
            <w:pPr>
              <w:rPr>
                <w:rFonts w:ascii="CPN" w:hAnsi="CPN" w:cs="CPN" w:hint="cs"/>
              </w:rPr>
            </w:pPr>
            <w:r w:rsidRPr="004964AF">
              <w:rPr>
                <w:rFonts w:ascii="CPN" w:hAnsi="CPN" w:cs="CPN" w:hint="cs"/>
              </w:rPr>
              <w:t>Promoting Sustainable Collaborations &amp; Partnerships</w:t>
            </w:r>
          </w:p>
        </w:tc>
        <w:tc>
          <w:tcPr>
            <w:tcW w:w="300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1B0697CA" w14:textId="77777777" w:rsidR="00280934" w:rsidRPr="004964AF" w:rsidRDefault="00000000">
            <w:pPr>
              <w:rPr>
                <w:rFonts w:ascii="CPN" w:hAnsi="CPN" w:cs="CPN" w:hint="cs"/>
              </w:rPr>
            </w:pPr>
            <w:r w:rsidRPr="004964AF">
              <w:rPr>
                <w:rFonts w:ascii="CPN" w:hAnsi="CPN" w:cs="CPN" w:hint="cs"/>
              </w:rPr>
              <w:t>Medium</w:t>
            </w:r>
          </w:p>
        </w:tc>
      </w:tr>
      <w:tr w:rsidR="00280934" w:rsidRPr="004964AF" w14:paraId="7A883611" w14:textId="77777777">
        <w:tblPrEx>
          <w:tblCellMar>
            <w:top w:w="0" w:type="dxa"/>
            <w:bottom w:w="0" w:type="dxa"/>
          </w:tblCellMar>
        </w:tblPrEx>
        <w:tc>
          <w:tcPr>
            <w:tcW w:w="6360" w:type="dxa"/>
            <w:tcBorders>
              <w:top w:val="none" w:sz="0" w:space="0" w:color="FFFFFF"/>
              <w:left w:val="none" w:sz="0" w:space="0" w:color="FFFFFF"/>
              <w:bottom w:val="single" w:sz="4" w:space="0" w:color="D9D9D9"/>
              <w:right w:val="none" w:sz="0" w:space="0" w:color="FFFFFF"/>
            </w:tcBorders>
            <w:tcMar>
              <w:top w:w="140" w:type="dxa"/>
              <w:left w:w="0" w:type="dxa"/>
              <w:bottom w:w="140" w:type="dxa"/>
              <w:right w:w="120" w:type="dxa"/>
            </w:tcMar>
          </w:tcPr>
          <w:p w14:paraId="1D326334" w14:textId="77777777" w:rsidR="00280934" w:rsidRPr="004964AF" w:rsidRDefault="00000000">
            <w:pPr>
              <w:rPr>
                <w:rFonts w:ascii="CPN" w:hAnsi="CPN" w:cs="CPN" w:hint="cs"/>
              </w:rPr>
            </w:pPr>
            <w:r w:rsidRPr="004964AF">
              <w:rPr>
                <w:rFonts w:ascii="CPN" w:hAnsi="CPN" w:cs="CPN" w:hint="cs"/>
              </w:rPr>
              <w:t>Developing People</w:t>
            </w:r>
          </w:p>
        </w:tc>
        <w:tc>
          <w:tcPr>
            <w:tcW w:w="3000" w:type="dxa"/>
            <w:tcBorders>
              <w:top w:val="none" w:sz="0" w:space="0" w:color="FFFFFF"/>
              <w:left w:val="none" w:sz="0" w:space="0" w:color="FFFFFF"/>
              <w:bottom w:val="single" w:sz="4" w:space="0" w:color="D9D9D9"/>
              <w:right w:val="none" w:sz="0" w:space="0" w:color="FFFFFF"/>
            </w:tcBorders>
            <w:tcMar>
              <w:top w:w="140" w:type="dxa"/>
              <w:left w:w="120" w:type="dxa"/>
              <w:bottom w:w="140" w:type="dxa"/>
              <w:right w:w="120" w:type="dxa"/>
            </w:tcMar>
          </w:tcPr>
          <w:p w14:paraId="3114803B" w14:textId="77777777" w:rsidR="00280934" w:rsidRPr="004964AF" w:rsidRDefault="00000000">
            <w:pPr>
              <w:rPr>
                <w:rFonts w:ascii="CPN" w:hAnsi="CPN" w:cs="CPN" w:hint="cs"/>
              </w:rPr>
            </w:pPr>
            <w:r w:rsidRPr="004964AF">
              <w:rPr>
                <w:rFonts w:ascii="CPN" w:hAnsi="CPN" w:cs="CPN" w:hint="cs"/>
              </w:rPr>
              <w:t>Medium</w:t>
            </w:r>
          </w:p>
        </w:tc>
      </w:tr>
    </w:tbl>
    <w:p w14:paraId="568F13D3" w14:textId="77777777" w:rsidR="00280934" w:rsidRPr="004964AF" w:rsidRDefault="00280934">
      <w:pPr>
        <w:spacing w:before="200"/>
        <w:rPr>
          <w:rFonts w:ascii="CPN" w:hAnsi="CPN" w:cs="CPN" w:hint="cs"/>
        </w:rPr>
      </w:pPr>
    </w:p>
    <w:p w14:paraId="49F863FD" w14:textId="77777777" w:rsidR="00280934" w:rsidRPr="004964AF" w:rsidRDefault="00000000">
      <w:pPr>
        <w:spacing w:after="120" w:line="320" w:lineRule="auto"/>
        <w:rPr>
          <w:rFonts w:ascii="CPN" w:hAnsi="CPN" w:cs="CPN" w:hint="cs"/>
        </w:rPr>
      </w:pPr>
      <w:r w:rsidRPr="004964AF">
        <w:rPr>
          <w:rFonts w:ascii="CPN" w:hAnsi="CPN" w:cs="CPN" w:hint="cs"/>
          <w:i/>
          <w:iCs/>
          <w:color w:val="595959"/>
          <w:sz w:val="20"/>
          <w:szCs w:val="20"/>
        </w:rPr>
        <w:t>Leading Innovation rated High provides direct alignment with the proposed Division Manager mandate in AI-driven process optimization. Balanced Medium ratings across remaining competencies establish a foundation for division-level leadership development.</w:t>
      </w:r>
    </w:p>
    <w:p w14:paraId="5920AEAF"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lastRenderedPageBreak/>
        <w:t>08</w:t>
      </w:r>
      <w:r w:rsidRPr="004964AF">
        <w:rPr>
          <w:rFonts w:ascii="CPN" w:hAnsi="CPN" w:cs="CPN" w:hint="cs"/>
          <w:sz w:val="20"/>
          <w:szCs w:val="20"/>
        </w:rPr>
        <w:t xml:space="preserve">    </w:t>
      </w:r>
      <w:r w:rsidRPr="004964AF">
        <w:rPr>
          <w:rFonts w:ascii="CPN" w:hAnsi="CPN" w:cs="CPN" w:hint="cs"/>
          <w:b/>
          <w:bCs/>
          <w:sz w:val="26"/>
          <w:szCs w:val="26"/>
        </w:rPr>
        <w:t>Leadership Potential</w:t>
      </w:r>
    </w:p>
    <w:p w14:paraId="55DA5E3E" w14:textId="77777777" w:rsidR="00280934" w:rsidRPr="004964AF" w:rsidRDefault="00280934">
      <w:pPr>
        <w:spacing w:after="120"/>
        <w:rPr>
          <w:rFonts w:ascii="CPN" w:hAnsi="CPN" w:cs="CPN" w:hint="cs"/>
        </w:rPr>
      </w:pPr>
    </w:p>
    <w:p w14:paraId="355E553A" w14:textId="77777777" w:rsidR="00280934" w:rsidRPr="004964AF" w:rsidRDefault="00000000">
      <w:pPr>
        <w:spacing w:after="120" w:line="320" w:lineRule="auto"/>
        <w:rPr>
          <w:rFonts w:ascii="CPN" w:hAnsi="CPN" w:cs="CPN" w:hint="cs"/>
        </w:rPr>
      </w:pPr>
      <w:r w:rsidRPr="004964AF">
        <w:rPr>
          <w:rFonts w:ascii="CPN" w:hAnsi="CPN" w:cs="CPN" w:hint="cs"/>
        </w:rPr>
        <w:t xml:space="preserve">Demonstrates self-direction, cross-functional influence, and the ability to drive change without formal authority. Has consistently delivered initiatives outside formal job scope — including the </w:t>
      </w:r>
      <w:proofErr w:type="spellStart"/>
      <w:r w:rsidRPr="004964AF">
        <w:rPr>
          <w:rFonts w:ascii="CPN" w:hAnsi="CPN" w:cs="CPN" w:hint="cs"/>
        </w:rPr>
        <w:t>Autorunwave</w:t>
      </w:r>
      <w:proofErr w:type="spellEnd"/>
      <w:r w:rsidRPr="004964AF">
        <w:rPr>
          <w:rFonts w:ascii="CPN" w:hAnsi="CPN" w:cs="CPN" w:hint="cs"/>
        </w:rPr>
        <w:t xml:space="preserve"> system, </w:t>
      </w:r>
      <w:proofErr w:type="spellStart"/>
      <w:r w:rsidRPr="004964AF">
        <w:rPr>
          <w:rFonts w:ascii="CPN" w:hAnsi="CPN" w:cs="CPN" w:hint="cs"/>
        </w:rPr>
        <w:t>BigQuery</w:t>
      </w:r>
      <w:proofErr w:type="spellEnd"/>
      <w:r w:rsidRPr="004964AF">
        <w:rPr>
          <w:rFonts w:ascii="CPN" w:hAnsi="CPN" w:cs="CPN" w:hint="cs"/>
        </w:rPr>
        <w:t xml:space="preserve"> integration, and the </w:t>
      </w:r>
      <w:proofErr w:type="spellStart"/>
      <w:r w:rsidRPr="004964AF">
        <w:rPr>
          <w:rFonts w:ascii="CPN" w:hAnsi="CPN" w:cs="CPN" w:hint="cs"/>
        </w:rPr>
        <w:t>cmg</w:t>
      </w:r>
      <w:proofErr w:type="spellEnd"/>
      <w:r w:rsidRPr="004964AF">
        <w:rPr>
          <w:rFonts w:ascii="CPN" w:hAnsi="CPN" w:cs="CPN" w:hint="cs"/>
        </w:rPr>
        <w:t>-stock-control internal tool — indicating readiness for the broader strategic mandate of Division Manager.</w:t>
      </w:r>
    </w:p>
    <w:p w14:paraId="7EF870B4"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t>09</w:t>
      </w:r>
      <w:r w:rsidRPr="004964AF">
        <w:rPr>
          <w:rFonts w:ascii="CPN" w:hAnsi="CPN" w:cs="CPN" w:hint="cs"/>
          <w:sz w:val="20"/>
          <w:szCs w:val="20"/>
        </w:rPr>
        <w:t xml:space="preserve">    </w:t>
      </w:r>
      <w:r w:rsidRPr="004964AF">
        <w:rPr>
          <w:rFonts w:ascii="CPN" w:hAnsi="CPN" w:cs="CPN" w:hint="cs"/>
          <w:b/>
          <w:bCs/>
          <w:sz w:val="26"/>
          <w:szCs w:val="26"/>
        </w:rPr>
        <w:t>Development Plan — 12 Month Roadmap</w:t>
      </w:r>
    </w:p>
    <w:p w14:paraId="1C08930B" w14:textId="77777777" w:rsidR="00280934" w:rsidRPr="004964AF" w:rsidRDefault="00280934">
      <w:pPr>
        <w:spacing w:after="120"/>
        <w:rPr>
          <w:rFonts w:ascii="CPN" w:hAnsi="CPN" w:cs="CPN" w:hint="cs"/>
        </w:rPr>
      </w:pPr>
    </w:p>
    <w:p w14:paraId="0FFDC4F9" w14:textId="77777777" w:rsidR="00280934" w:rsidRPr="004964AF" w:rsidRDefault="00000000">
      <w:pPr>
        <w:spacing w:after="200" w:line="320" w:lineRule="auto"/>
        <w:rPr>
          <w:rFonts w:ascii="CPN" w:hAnsi="CPN" w:cs="CPN" w:hint="cs"/>
        </w:rPr>
      </w:pPr>
      <w:r w:rsidRPr="004964AF">
        <w:rPr>
          <w:rFonts w:ascii="CPN" w:hAnsi="CPN" w:cs="CPN" w:hint="cs"/>
          <w:i/>
          <w:iCs/>
          <w:color w:val="595959"/>
        </w:rPr>
        <w:t>Acknowledges current development opportunities and outlines a structured plan to address them ahead of and during the Division Manager transition.</w:t>
      </w:r>
    </w:p>
    <w:p w14:paraId="157A2BDF" w14:textId="77777777" w:rsidR="00280934" w:rsidRPr="004964AF" w:rsidRDefault="00000000">
      <w:pPr>
        <w:spacing w:before="200" w:after="80"/>
        <w:rPr>
          <w:rFonts w:ascii="CPN" w:hAnsi="CPN" w:cs="CPN" w:hint="cs"/>
        </w:rPr>
      </w:pPr>
      <w:r w:rsidRPr="004964AF">
        <w:rPr>
          <w:rFonts w:ascii="CPN" w:hAnsi="CPN" w:cs="CPN" w:hint="cs"/>
          <w:b/>
          <w:bCs/>
          <w:color w:val="8B0000"/>
        </w:rPr>
        <w:t>People Leadership Expansion</w:t>
      </w:r>
    </w:p>
    <w:p w14:paraId="0AF1D252" w14:textId="77777777" w:rsidR="00280934" w:rsidRPr="004964AF" w:rsidRDefault="00000000">
      <w:pPr>
        <w:spacing w:after="120" w:line="320" w:lineRule="auto"/>
        <w:rPr>
          <w:rFonts w:ascii="CPN" w:hAnsi="CPN" w:cs="CPN" w:hint="cs"/>
        </w:rPr>
      </w:pPr>
      <w:r w:rsidRPr="004964AF">
        <w:rPr>
          <w:rFonts w:ascii="CPN" w:hAnsi="CPN" w:cs="CPN" w:hint="cs"/>
        </w:rPr>
        <w:t>Establish structured coaching cadence with direct reports, formal team-building rhythm, and ownership of succession planning.</w:t>
      </w:r>
    </w:p>
    <w:p w14:paraId="7A1E5220" w14:textId="77777777" w:rsidR="00280934" w:rsidRPr="004964AF" w:rsidRDefault="00000000">
      <w:pPr>
        <w:spacing w:after="160" w:line="320" w:lineRule="auto"/>
        <w:rPr>
          <w:rFonts w:ascii="CPN" w:hAnsi="CPN" w:cs="CPN" w:hint="cs"/>
        </w:rPr>
      </w:pPr>
      <w:proofErr w:type="gramStart"/>
      <w:r w:rsidRPr="004964AF">
        <w:rPr>
          <w:rFonts w:ascii="CPN" w:hAnsi="CPN" w:cs="CPN" w:hint="cs"/>
          <w:b/>
          <w:bCs/>
          <w:color w:val="8B0000"/>
          <w:sz w:val="20"/>
          <w:szCs w:val="20"/>
        </w:rPr>
        <w:t xml:space="preserve">Outcome  </w:t>
      </w:r>
      <w:r w:rsidRPr="004964AF">
        <w:rPr>
          <w:rFonts w:ascii="CPN" w:hAnsi="CPN" w:cs="CPN" w:hint="cs"/>
          <w:i/>
          <w:iCs/>
          <w:color w:val="595959"/>
          <w:sz w:val="20"/>
          <w:szCs w:val="20"/>
        </w:rPr>
        <w:t>Lift</w:t>
      </w:r>
      <w:proofErr w:type="gramEnd"/>
      <w:r w:rsidRPr="004964AF">
        <w:rPr>
          <w:rFonts w:ascii="CPN" w:hAnsi="CPN" w:cs="CPN" w:hint="cs"/>
          <w:i/>
          <w:iCs/>
          <w:color w:val="595959"/>
          <w:sz w:val="20"/>
          <w:szCs w:val="20"/>
        </w:rPr>
        <w:t xml:space="preserve"> Developing People competency from Medium toward High.</w:t>
      </w:r>
    </w:p>
    <w:p w14:paraId="78419A9F" w14:textId="77777777" w:rsidR="00280934" w:rsidRPr="004964AF" w:rsidRDefault="00000000">
      <w:pPr>
        <w:spacing w:before="200" w:after="80"/>
        <w:rPr>
          <w:rFonts w:ascii="CPN" w:hAnsi="CPN" w:cs="CPN" w:hint="cs"/>
        </w:rPr>
      </w:pPr>
      <w:r w:rsidRPr="004964AF">
        <w:rPr>
          <w:rFonts w:ascii="CPN" w:hAnsi="CPN" w:cs="CPN" w:hint="cs"/>
          <w:b/>
          <w:bCs/>
          <w:color w:val="8B0000"/>
        </w:rPr>
        <w:t>Strategic Influence at Division Level</w:t>
      </w:r>
    </w:p>
    <w:p w14:paraId="07D5AF7D" w14:textId="77777777" w:rsidR="00280934" w:rsidRPr="004964AF" w:rsidRDefault="00000000">
      <w:pPr>
        <w:spacing w:after="120" w:line="320" w:lineRule="auto"/>
        <w:rPr>
          <w:rFonts w:ascii="CPN" w:hAnsi="CPN" w:cs="CPN" w:hint="cs"/>
        </w:rPr>
      </w:pPr>
      <w:r w:rsidRPr="004964AF">
        <w:rPr>
          <w:rFonts w:ascii="CPN" w:hAnsi="CPN" w:cs="CPN" w:hint="cs"/>
        </w:rPr>
        <w:t>Lead a cross-department AI and automation steering committee, with quarterly progress reviews to executive layer.</w:t>
      </w:r>
    </w:p>
    <w:p w14:paraId="2BBA0D47" w14:textId="77777777" w:rsidR="00280934" w:rsidRPr="004964AF" w:rsidRDefault="00000000">
      <w:pPr>
        <w:spacing w:after="160" w:line="320" w:lineRule="auto"/>
        <w:rPr>
          <w:rFonts w:ascii="CPN" w:hAnsi="CPN" w:cs="CPN" w:hint="cs"/>
        </w:rPr>
      </w:pPr>
      <w:proofErr w:type="gramStart"/>
      <w:r w:rsidRPr="004964AF">
        <w:rPr>
          <w:rFonts w:ascii="CPN" w:hAnsi="CPN" w:cs="CPN" w:hint="cs"/>
          <w:b/>
          <w:bCs/>
          <w:color w:val="8B0000"/>
          <w:sz w:val="20"/>
          <w:szCs w:val="20"/>
        </w:rPr>
        <w:t xml:space="preserve">Outcome  </w:t>
      </w:r>
      <w:r w:rsidRPr="004964AF">
        <w:rPr>
          <w:rFonts w:ascii="CPN" w:hAnsi="CPN" w:cs="CPN" w:hint="cs"/>
          <w:i/>
          <w:iCs/>
          <w:color w:val="595959"/>
          <w:sz w:val="20"/>
          <w:szCs w:val="20"/>
        </w:rPr>
        <w:t>Build</w:t>
      </w:r>
      <w:proofErr w:type="gramEnd"/>
      <w:r w:rsidRPr="004964AF">
        <w:rPr>
          <w:rFonts w:ascii="CPN" w:hAnsi="CPN" w:cs="CPN" w:hint="cs"/>
          <w:i/>
          <w:iCs/>
          <w:color w:val="595959"/>
          <w:sz w:val="20"/>
          <w:szCs w:val="20"/>
        </w:rPr>
        <w:t xml:space="preserve"> visible strategic presence and credibility with senior stakeholders.</w:t>
      </w:r>
    </w:p>
    <w:p w14:paraId="1B9C1F7B" w14:textId="77777777" w:rsidR="00280934" w:rsidRPr="004964AF" w:rsidRDefault="00000000">
      <w:pPr>
        <w:spacing w:before="200" w:after="80"/>
        <w:rPr>
          <w:rFonts w:ascii="CPN" w:hAnsi="CPN" w:cs="CPN" w:hint="cs"/>
        </w:rPr>
      </w:pPr>
      <w:r w:rsidRPr="004964AF">
        <w:rPr>
          <w:rFonts w:ascii="CPN" w:hAnsi="CPN" w:cs="CPN" w:hint="cs"/>
          <w:b/>
          <w:bCs/>
          <w:color w:val="8B0000"/>
        </w:rPr>
        <w:t>Talent Development for AI-Enabled Operations</w:t>
      </w:r>
    </w:p>
    <w:p w14:paraId="4F707E7C" w14:textId="77777777" w:rsidR="00280934" w:rsidRPr="004964AF" w:rsidRDefault="00000000">
      <w:pPr>
        <w:spacing w:after="120" w:line="320" w:lineRule="auto"/>
        <w:rPr>
          <w:rFonts w:ascii="CPN" w:hAnsi="CPN" w:cs="CPN" w:hint="cs"/>
        </w:rPr>
      </w:pPr>
      <w:r w:rsidRPr="004964AF">
        <w:rPr>
          <w:rFonts w:ascii="CPN" w:hAnsi="CPN" w:cs="CPN" w:hint="cs"/>
        </w:rPr>
        <w:t>Partner with HR Talent function to design an internal upskilling track for AI-fluent operations talent within CMG WH.</w:t>
      </w:r>
    </w:p>
    <w:p w14:paraId="29B13BDB" w14:textId="77777777" w:rsidR="00280934" w:rsidRPr="004964AF" w:rsidRDefault="00000000">
      <w:pPr>
        <w:spacing w:after="160" w:line="320" w:lineRule="auto"/>
        <w:rPr>
          <w:rFonts w:ascii="CPN" w:hAnsi="CPN" w:cs="CPN" w:hint="cs"/>
        </w:rPr>
      </w:pPr>
      <w:proofErr w:type="gramStart"/>
      <w:r w:rsidRPr="004964AF">
        <w:rPr>
          <w:rFonts w:ascii="CPN" w:hAnsi="CPN" w:cs="CPN" w:hint="cs"/>
          <w:b/>
          <w:bCs/>
          <w:color w:val="8B0000"/>
          <w:sz w:val="20"/>
          <w:szCs w:val="20"/>
        </w:rPr>
        <w:t xml:space="preserve">Outcome  </w:t>
      </w:r>
      <w:r w:rsidRPr="004964AF">
        <w:rPr>
          <w:rFonts w:ascii="CPN" w:hAnsi="CPN" w:cs="CPN" w:hint="cs"/>
          <w:i/>
          <w:iCs/>
          <w:color w:val="595959"/>
          <w:sz w:val="20"/>
          <w:szCs w:val="20"/>
        </w:rPr>
        <w:t>Division</w:t>
      </w:r>
      <w:proofErr w:type="gramEnd"/>
      <w:r w:rsidRPr="004964AF">
        <w:rPr>
          <w:rFonts w:ascii="CPN" w:hAnsi="CPN" w:cs="CPN" w:hint="cs"/>
          <w:i/>
          <w:iCs/>
          <w:color w:val="595959"/>
          <w:sz w:val="20"/>
          <w:szCs w:val="20"/>
        </w:rPr>
        <w:t>-wide capability uplift, multiplying impact beyond direct contributions.</w:t>
      </w:r>
    </w:p>
    <w:p w14:paraId="0F520E1D" w14:textId="77777777" w:rsidR="00280934" w:rsidRPr="004964AF" w:rsidRDefault="00000000">
      <w:pPr>
        <w:spacing w:before="200" w:after="80"/>
        <w:rPr>
          <w:rFonts w:ascii="CPN" w:hAnsi="CPN" w:cs="CPN" w:hint="cs"/>
        </w:rPr>
      </w:pPr>
      <w:r w:rsidRPr="004964AF">
        <w:rPr>
          <w:rFonts w:ascii="CPN" w:hAnsi="CPN" w:cs="CPN" w:hint="cs"/>
          <w:b/>
          <w:bCs/>
          <w:color w:val="8B0000"/>
        </w:rPr>
        <w:t>Executive Communication and Business Framing</w:t>
      </w:r>
    </w:p>
    <w:p w14:paraId="59F421EF" w14:textId="77777777" w:rsidR="00280934" w:rsidRPr="004964AF" w:rsidRDefault="00000000">
      <w:pPr>
        <w:spacing w:after="120" w:line="320" w:lineRule="auto"/>
        <w:rPr>
          <w:rFonts w:ascii="CPN" w:hAnsi="CPN" w:cs="CPN" w:hint="cs"/>
        </w:rPr>
      </w:pPr>
      <w:r w:rsidRPr="004964AF">
        <w:rPr>
          <w:rFonts w:ascii="CPN" w:hAnsi="CPN" w:cs="CPN" w:hint="cs"/>
        </w:rPr>
        <w:t>Targeted development on executive-level storytelling and business-impact framing of technical initiatives.</w:t>
      </w:r>
    </w:p>
    <w:p w14:paraId="05C6BEE5" w14:textId="77777777" w:rsidR="00280934" w:rsidRPr="004964AF" w:rsidRDefault="00000000">
      <w:pPr>
        <w:spacing w:after="120" w:line="320" w:lineRule="auto"/>
        <w:rPr>
          <w:rFonts w:ascii="CPN" w:hAnsi="CPN" w:cs="CPN" w:hint="cs"/>
        </w:rPr>
      </w:pPr>
      <w:proofErr w:type="gramStart"/>
      <w:r w:rsidRPr="004964AF">
        <w:rPr>
          <w:rFonts w:ascii="CPN" w:hAnsi="CPN" w:cs="CPN" w:hint="cs"/>
          <w:b/>
          <w:bCs/>
          <w:color w:val="8B0000"/>
          <w:sz w:val="20"/>
          <w:szCs w:val="20"/>
        </w:rPr>
        <w:lastRenderedPageBreak/>
        <w:t xml:space="preserve">Outcome  </w:t>
      </w:r>
      <w:r w:rsidRPr="004964AF">
        <w:rPr>
          <w:rFonts w:ascii="CPN" w:hAnsi="CPN" w:cs="CPN" w:hint="cs"/>
          <w:i/>
          <w:iCs/>
          <w:color w:val="595959"/>
          <w:sz w:val="20"/>
          <w:szCs w:val="20"/>
        </w:rPr>
        <w:t>Translate</w:t>
      </w:r>
      <w:proofErr w:type="gramEnd"/>
      <w:r w:rsidRPr="004964AF">
        <w:rPr>
          <w:rFonts w:ascii="CPN" w:hAnsi="CPN" w:cs="CPN" w:hint="cs"/>
          <w:i/>
          <w:iCs/>
          <w:color w:val="595959"/>
          <w:sz w:val="20"/>
          <w:szCs w:val="20"/>
        </w:rPr>
        <w:t xml:space="preserve"> operational and AI work into language that resonates at division and business unit leadership levels.</w:t>
      </w:r>
    </w:p>
    <w:p w14:paraId="34960E57"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t>10</w:t>
      </w:r>
      <w:r w:rsidRPr="004964AF">
        <w:rPr>
          <w:rFonts w:ascii="CPN" w:hAnsi="CPN" w:cs="CPN" w:hint="cs"/>
          <w:sz w:val="20"/>
          <w:szCs w:val="20"/>
        </w:rPr>
        <w:t xml:space="preserve">    </w:t>
      </w:r>
      <w:r w:rsidRPr="004964AF">
        <w:rPr>
          <w:rFonts w:ascii="CPN" w:hAnsi="CPN" w:cs="CPN" w:hint="cs"/>
          <w:b/>
          <w:bCs/>
          <w:sz w:val="26"/>
          <w:szCs w:val="26"/>
        </w:rPr>
        <w:t>Why Ready for Division Manager</w:t>
      </w:r>
    </w:p>
    <w:p w14:paraId="7BB0ED74" w14:textId="77777777" w:rsidR="00280934" w:rsidRPr="004964AF" w:rsidRDefault="00280934">
      <w:pPr>
        <w:spacing w:after="120"/>
        <w:rPr>
          <w:rFonts w:ascii="CPN" w:hAnsi="CPN" w:cs="CPN" w:hint="cs"/>
        </w:rPr>
      </w:pPr>
    </w:p>
    <w:p w14:paraId="4D9270C7"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Proven</w:t>
      </w:r>
      <w:proofErr w:type="gramEnd"/>
      <w:r w:rsidRPr="004964AF">
        <w:rPr>
          <w:rFonts w:ascii="CPN" w:hAnsi="CPN" w:cs="CPN" w:hint="cs"/>
        </w:rPr>
        <w:t xml:space="preserve"> operational delivery at Department Manager scope.</w:t>
      </w:r>
    </w:p>
    <w:p w14:paraId="05FD6307"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Already</w:t>
      </w:r>
      <w:proofErr w:type="gramEnd"/>
      <w:r w:rsidRPr="004964AF">
        <w:rPr>
          <w:rFonts w:ascii="CPN" w:hAnsi="CPN" w:cs="CPN" w:hint="cs"/>
        </w:rPr>
        <w:t xml:space="preserve"> operating beyond formal job description through self-initiated AI and automation projects.</w:t>
      </w:r>
    </w:p>
    <w:p w14:paraId="64CCCA20"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Combines</w:t>
      </w:r>
      <w:proofErr w:type="gramEnd"/>
      <w:r w:rsidRPr="004964AF">
        <w:rPr>
          <w:rFonts w:ascii="CPN" w:hAnsi="CPN" w:cs="CPN" w:hint="cs"/>
        </w:rPr>
        <w:t xml:space="preserve"> deep operations understanding with hands-on technology execution — a rare profile.</w:t>
      </w:r>
    </w:p>
    <w:p w14:paraId="1F730B83"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Bridges</w:t>
      </w:r>
      <w:proofErr w:type="gramEnd"/>
      <w:r w:rsidRPr="004964AF">
        <w:rPr>
          <w:rFonts w:ascii="CPN" w:hAnsi="CPN" w:cs="CPN" w:hint="cs"/>
        </w:rPr>
        <w:t xml:space="preserve"> teams that traditionally do not share a common language: operations, systems, and business.</w:t>
      </w:r>
    </w:p>
    <w:p w14:paraId="1B8D6AEC"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Engineering</w:t>
      </w:r>
      <w:proofErr w:type="gramEnd"/>
      <w:r w:rsidRPr="004964AF">
        <w:rPr>
          <w:rFonts w:ascii="CPN" w:hAnsi="CPN" w:cs="CPN" w:hint="cs"/>
        </w:rPr>
        <w:t xml:space="preserve"> foundation in Industrial and Logistics reinforces structured problem-solving at scale.</w:t>
      </w:r>
    </w:p>
    <w:p w14:paraId="1B4B9A68"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Leading</w:t>
      </w:r>
      <w:proofErr w:type="gramEnd"/>
      <w:r w:rsidRPr="004964AF">
        <w:rPr>
          <w:rFonts w:ascii="CPN" w:hAnsi="CPN" w:cs="CPN" w:hint="cs"/>
        </w:rPr>
        <w:t xml:space="preserve"> Innovation competency rated High — committee can underwrite the AI mandate with confidence.</w:t>
      </w:r>
    </w:p>
    <w:p w14:paraId="3E6F43E0" w14:textId="77777777" w:rsidR="00280934" w:rsidRDefault="00000000">
      <w:pPr>
        <w:spacing w:after="80" w:line="300" w:lineRule="auto"/>
        <w:ind w:left="360" w:hanging="200"/>
        <w:rPr>
          <w:rFonts w:ascii="CPN" w:hAnsi="CPN" w:cs="CPN"/>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Self</w:t>
      </w:r>
      <w:proofErr w:type="gramEnd"/>
      <w:r w:rsidRPr="004964AF">
        <w:rPr>
          <w:rFonts w:ascii="CPN" w:hAnsi="CPN" w:cs="CPN" w:hint="cs"/>
        </w:rPr>
        <w:t>-aware on development gaps with a structured 12-month plan to address them.</w:t>
      </w:r>
    </w:p>
    <w:p w14:paraId="2619D7EF" w14:textId="77777777" w:rsidR="004964AF" w:rsidRPr="004964AF" w:rsidRDefault="004964AF">
      <w:pPr>
        <w:spacing w:after="80" w:line="300" w:lineRule="auto"/>
        <w:ind w:left="360" w:hanging="200"/>
        <w:rPr>
          <w:rFonts w:ascii="CPN" w:hAnsi="CPN" w:cs="CPN" w:hint="cs"/>
        </w:rPr>
      </w:pPr>
    </w:p>
    <w:p w14:paraId="4D8BB5C7"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t>11</w:t>
      </w:r>
      <w:r w:rsidRPr="004964AF">
        <w:rPr>
          <w:rFonts w:ascii="CPN" w:hAnsi="CPN" w:cs="CPN" w:hint="cs"/>
          <w:sz w:val="20"/>
          <w:szCs w:val="20"/>
        </w:rPr>
        <w:t xml:space="preserve">    </w:t>
      </w:r>
      <w:r w:rsidRPr="004964AF">
        <w:rPr>
          <w:rFonts w:ascii="CPN" w:hAnsi="CPN" w:cs="CPN" w:hint="cs"/>
          <w:b/>
          <w:bCs/>
          <w:sz w:val="26"/>
          <w:szCs w:val="26"/>
        </w:rPr>
        <w:t>Career Vision</w:t>
      </w:r>
    </w:p>
    <w:p w14:paraId="03C95F20" w14:textId="77777777" w:rsidR="00280934" w:rsidRPr="004964AF" w:rsidRDefault="00280934">
      <w:pPr>
        <w:spacing w:after="120"/>
        <w:rPr>
          <w:rFonts w:ascii="CPN" w:hAnsi="CPN" w:cs="CPN" w:hint="cs"/>
        </w:rPr>
      </w:pPr>
    </w:p>
    <w:p w14:paraId="5F52FB35" w14:textId="77777777" w:rsidR="00280934" w:rsidRDefault="00000000">
      <w:pPr>
        <w:spacing w:after="120" w:line="320" w:lineRule="auto"/>
        <w:rPr>
          <w:rFonts w:ascii="CPN" w:hAnsi="CPN" w:cs="CPN"/>
        </w:rPr>
      </w:pPr>
      <w:r w:rsidRPr="004964AF">
        <w:rPr>
          <w:rFonts w:ascii="CPN" w:hAnsi="CPN" w:cs="CPN" w:hint="cs"/>
        </w:rPr>
        <w:t>To lead the division's intelligent operations agenda — building AI-enabled systems that allow CMG Online to operate faster, leaner, and more proactively. Specifically, to develop scalable automation architecture, predictive operational monitoring, intelligent exception management, and AI-assisted decision support across the division.</w:t>
      </w:r>
    </w:p>
    <w:p w14:paraId="17A84F63" w14:textId="77777777" w:rsidR="004964AF" w:rsidRDefault="004964AF">
      <w:pPr>
        <w:spacing w:after="120" w:line="320" w:lineRule="auto"/>
        <w:rPr>
          <w:rFonts w:ascii="CPN" w:hAnsi="CPN" w:cs="CPN"/>
        </w:rPr>
      </w:pPr>
    </w:p>
    <w:p w14:paraId="52B97808" w14:textId="77777777" w:rsidR="004964AF" w:rsidRPr="004964AF" w:rsidRDefault="004964AF">
      <w:pPr>
        <w:spacing w:after="120" w:line="320" w:lineRule="auto"/>
        <w:rPr>
          <w:rFonts w:ascii="CPN" w:hAnsi="CPN" w:cs="CPN" w:hint="cs"/>
        </w:rPr>
      </w:pPr>
    </w:p>
    <w:p w14:paraId="0D7BFD05"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lastRenderedPageBreak/>
        <w:t>12</w:t>
      </w:r>
      <w:r w:rsidRPr="004964AF">
        <w:rPr>
          <w:rFonts w:ascii="CPN" w:hAnsi="CPN" w:cs="CPN" w:hint="cs"/>
          <w:sz w:val="20"/>
          <w:szCs w:val="20"/>
        </w:rPr>
        <w:t xml:space="preserve">    </w:t>
      </w:r>
      <w:r w:rsidRPr="004964AF">
        <w:rPr>
          <w:rFonts w:ascii="CPN" w:hAnsi="CPN" w:cs="CPN" w:hint="cs"/>
          <w:b/>
          <w:bCs/>
          <w:sz w:val="26"/>
          <w:szCs w:val="26"/>
        </w:rPr>
        <w:t>Future Development Direction</w:t>
      </w:r>
    </w:p>
    <w:p w14:paraId="68A65758" w14:textId="77777777" w:rsidR="00280934" w:rsidRPr="004964AF" w:rsidRDefault="00280934">
      <w:pPr>
        <w:spacing w:after="120"/>
        <w:rPr>
          <w:rFonts w:ascii="CPN" w:hAnsi="CPN" w:cs="CPN" w:hint="cs"/>
        </w:rPr>
      </w:pPr>
    </w:p>
    <w:p w14:paraId="5071C374"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Intelligent</w:t>
      </w:r>
      <w:proofErr w:type="gramEnd"/>
      <w:r w:rsidRPr="004964AF">
        <w:rPr>
          <w:rFonts w:ascii="CPN" w:hAnsi="CPN" w:cs="CPN" w:hint="cs"/>
        </w:rPr>
        <w:t xml:space="preserve"> workflow orchestration across the division</w:t>
      </w:r>
    </w:p>
    <w:p w14:paraId="376415FA"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AI</w:t>
      </w:r>
      <w:proofErr w:type="gramEnd"/>
      <w:r w:rsidRPr="004964AF">
        <w:rPr>
          <w:rFonts w:ascii="CPN" w:hAnsi="CPN" w:cs="CPN" w:hint="cs"/>
        </w:rPr>
        <w:t xml:space="preserve"> Agent management for repetitive operational decisions</w:t>
      </w:r>
    </w:p>
    <w:p w14:paraId="15ABF3AF"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Predictive</w:t>
      </w:r>
      <w:proofErr w:type="gramEnd"/>
      <w:r w:rsidRPr="004964AF">
        <w:rPr>
          <w:rFonts w:ascii="CPN" w:hAnsi="CPN" w:cs="CPN" w:hint="cs"/>
        </w:rPr>
        <w:t xml:space="preserve"> operational monitoring and anomaly detection</w:t>
      </w:r>
    </w:p>
    <w:p w14:paraId="00B04E94"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Smart</w:t>
      </w:r>
      <w:proofErr w:type="gramEnd"/>
      <w:r w:rsidRPr="004964AF">
        <w:rPr>
          <w:rFonts w:ascii="CPN" w:hAnsi="CPN" w:cs="CPN" w:hint="cs"/>
        </w:rPr>
        <w:t xml:space="preserve"> transport dispatch optimization</w:t>
      </w:r>
    </w:p>
    <w:p w14:paraId="06C33A9E"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AI</w:t>
      </w:r>
      <w:proofErr w:type="gramEnd"/>
      <w:r w:rsidRPr="004964AF">
        <w:rPr>
          <w:rFonts w:ascii="CPN" w:hAnsi="CPN" w:cs="CPN" w:hint="cs"/>
        </w:rPr>
        <w:t>-assisted decision support systems for management</w:t>
      </w:r>
    </w:p>
    <w:p w14:paraId="0AAC7161"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Self</w:t>
      </w:r>
      <w:proofErr w:type="gramEnd"/>
      <w:r w:rsidRPr="004964AF">
        <w:rPr>
          <w:rFonts w:ascii="CPN" w:hAnsi="CPN" w:cs="CPN" w:hint="cs"/>
        </w:rPr>
        <w:t>-service operational platforms for cross-functional teams</w:t>
      </w:r>
    </w:p>
    <w:p w14:paraId="14865B23"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Scalable</w:t>
      </w:r>
      <w:proofErr w:type="gramEnd"/>
      <w:r w:rsidRPr="004964AF">
        <w:rPr>
          <w:rFonts w:ascii="CPN" w:hAnsi="CPN" w:cs="CPN" w:hint="cs"/>
        </w:rPr>
        <w:t xml:space="preserve"> automation architecture across CMG Online</w:t>
      </w:r>
    </w:p>
    <w:p w14:paraId="01631517" w14:textId="77777777" w:rsidR="00280934" w:rsidRPr="004964AF" w:rsidRDefault="00000000">
      <w:pPr>
        <w:spacing w:after="80" w:line="300" w:lineRule="auto"/>
        <w:ind w:left="360" w:hanging="200"/>
        <w:rPr>
          <w:rFonts w:ascii="CPN" w:hAnsi="CPN" w:cs="CPN" w:hint="cs"/>
        </w:rPr>
      </w:pPr>
      <w:proofErr w:type="gramStart"/>
      <w:r w:rsidRPr="004964AF">
        <w:rPr>
          <w:rFonts w:ascii="Courier New" w:hAnsi="Courier New" w:cs="Courier New"/>
          <w:b/>
          <w:bCs/>
          <w:color w:val="8B0000"/>
          <w:sz w:val="18"/>
          <w:szCs w:val="18"/>
        </w:rPr>
        <w:t>▪</w:t>
      </w:r>
      <w:r w:rsidRPr="004964AF">
        <w:rPr>
          <w:rFonts w:ascii="CPN" w:hAnsi="CPN" w:cs="CPN" w:hint="cs"/>
          <w:b/>
          <w:bCs/>
          <w:color w:val="8B0000"/>
          <w:sz w:val="18"/>
          <w:szCs w:val="18"/>
        </w:rPr>
        <w:t xml:space="preserve">  </w:t>
      </w:r>
      <w:r w:rsidRPr="004964AF">
        <w:rPr>
          <w:rFonts w:ascii="CPN" w:hAnsi="CPN" w:cs="CPN" w:hint="cs"/>
        </w:rPr>
        <w:t>Intelligent</w:t>
      </w:r>
      <w:proofErr w:type="gramEnd"/>
      <w:r w:rsidRPr="004964AF">
        <w:rPr>
          <w:rFonts w:ascii="CPN" w:hAnsi="CPN" w:cs="CPN" w:hint="cs"/>
        </w:rPr>
        <w:t xml:space="preserve"> exception management at scale</w:t>
      </w:r>
    </w:p>
    <w:p w14:paraId="512CB423" w14:textId="77777777" w:rsidR="00280934" w:rsidRPr="004964AF" w:rsidRDefault="00000000">
      <w:pPr>
        <w:pBdr>
          <w:bottom w:val="single" w:sz="6" w:space="6" w:color="8B0000"/>
        </w:pBdr>
        <w:spacing w:before="480" w:after="80"/>
        <w:rPr>
          <w:rFonts w:ascii="CPN" w:hAnsi="CPN" w:cs="CPN" w:hint="cs"/>
        </w:rPr>
      </w:pPr>
      <w:r w:rsidRPr="004964AF">
        <w:rPr>
          <w:rFonts w:ascii="CPN" w:hAnsi="CPN" w:cs="CPN" w:hint="cs"/>
          <w:b/>
          <w:bCs/>
          <w:color w:val="8B0000"/>
          <w:sz w:val="20"/>
          <w:szCs w:val="20"/>
        </w:rPr>
        <w:t>13</w:t>
      </w:r>
      <w:r w:rsidRPr="004964AF">
        <w:rPr>
          <w:rFonts w:ascii="CPN" w:hAnsi="CPN" w:cs="CPN" w:hint="cs"/>
          <w:sz w:val="20"/>
          <w:szCs w:val="20"/>
        </w:rPr>
        <w:t xml:space="preserve">    </w:t>
      </w:r>
      <w:r w:rsidRPr="004964AF">
        <w:rPr>
          <w:rFonts w:ascii="CPN" w:hAnsi="CPN" w:cs="CPN" w:hint="cs"/>
          <w:b/>
          <w:bCs/>
          <w:sz w:val="26"/>
          <w:szCs w:val="26"/>
        </w:rPr>
        <w:t>Recommendation</w:t>
      </w:r>
    </w:p>
    <w:p w14:paraId="3B077B52" w14:textId="77777777" w:rsidR="00280934" w:rsidRPr="004964AF" w:rsidRDefault="00280934">
      <w:pPr>
        <w:spacing w:after="120"/>
        <w:rPr>
          <w:rFonts w:ascii="CPN" w:hAnsi="CPN" w:cs="CPN" w:hint="cs"/>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0"/>
        <w:gridCol w:w="9240"/>
      </w:tblGrid>
      <w:tr w:rsidR="00280934" w:rsidRPr="004964AF" w14:paraId="5078ED3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8B0000"/>
            <w:tcMar>
              <w:top w:w="0" w:type="dxa"/>
              <w:left w:w="0" w:type="dxa"/>
              <w:bottom w:w="0" w:type="dxa"/>
              <w:right w:w="0" w:type="dxa"/>
            </w:tcMar>
          </w:tcPr>
          <w:p w14:paraId="2912C2E5" w14:textId="77777777" w:rsidR="00280934" w:rsidRPr="004964AF" w:rsidRDefault="00280934">
            <w:pPr>
              <w:rPr>
                <w:rFonts w:ascii="CPN" w:hAnsi="CPN" w:cs="CPN" w:hint="cs"/>
              </w:rPr>
            </w:pPr>
          </w:p>
        </w:tc>
        <w:tc>
          <w:tcPr>
            <w:tcW w:w="9240" w:type="dxa"/>
            <w:tcBorders>
              <w:top w:val="none" w:sz="0" w:space="0" w:color="FFFFFF"/>
              <w:left w:val="none" w:sz="0" w:space="0" w:color="FFFFFF"/>
              <w:bottom w:val="none" w:sz="0" w:space="0" w:color="FFFFFF"/>
              <w:right w:val="none" w:sz="0" w:space="0" w:color="FFFFFF"/>
            </w:tcBorders>
            <w:tcMar>
              <w:top w:w="200" w:type="dxa"/>
              <w:left w:w="360" w:type="dxa"/>
              <w:bottom w:w="200" w:type="dxa"/>
              <w:right w:w="200" w:type="dxa"/>
            </w:tcMar>
          </w:tcPr>
          <w:p w14:paraId="4FCB9751" w14:textId="77777777" w:rsidR="00280934" w:rsidRPr="004964AF" w:rsidRDefault="00000000">
            <w:pPr>
              <w:spacing w:line="320" w:lineRule="auto"/>
              <w:rPr>
                <w:rFonts w:ascii="CPN" w:hAnsi="CPN" w:cs="CPN" w:hint="cs"/>
              </w:rPr>
            </w:pPr>
            <w:r w:rsidRPr="004964AF">
              <w:rPr>
                <w:rFonts w:ascii="CPN" w:hAnsi="CPN" w:cs="CPN" w:hint="cs"/>
                <w:b/>
                <w:bCs/>
              </w:rPr>
              <w:t>Nonpawit Saisuwan</w:t>
            </w:r>
            <w:r w:rsidRPr="004964AF">
              <w:rPr>
                <w:rFonts w:ascii="CPN" w:hAnsi="CPN" w:cs="CPN" w:hint="cs"/>
              </w:rPr>
              <w:t xml:space="preserve"> is recommended for promotion to </w:t>
            </w:r>
            <w:r w:rsidRPr="004964AF">
              <w:rPr>
                <w:rFonts w:ascii="CPN" w:hAnsi="CPN" w:cs="CPN" w:hint="cs"/>
                <w:b/>
                <w:bCs/>
                <w:color w:val="8B0000"/>
              </w:rPr>
              <w:t>Division Manager — AI-Driven Process Optimization.</w:t>
            </w:r>
            <w:r w:rsidRPr="004964AF">
              <w:rPr>
                <w:rFonts w:ascii="CPN" w:hAnsi="CPN" w:cs="CPN" w:hint="cs"/>
              </w:rPr>
              <w:t xml:space="preserve"> The combination of proven operational </w:t>
            </w:r>
            <w:proofErr w:type="gramStart"/>
            <w:r w:rsidRPr="004964AF">
              <w:rPr>
                <w:rFonts w:ascii="CPN" w:hAnsi="CPN" w:cs="CPN" w:hint="cs"/>
              </w:rPr>
              <w:t>delivery,</w:t>
            </w:r>
            <w:proofErr w:type="gramEnd"/>
            <w:r w:rsidRPr="004964AF">
              <w:rPr>
                <w:rFonts w:ascii="CPN" w:hAnsi="CPN" w:cs="CPN" w:hint="cs"/>
              </w:rPr>
              <w:t xml:space="preserve"> demonstrated initiative beyond current scope, engineering foundation, a competency profile led by Innovation, and self-awareness on development areas positions him to drive the division's next phase of intelligent operations transformation.</w:t>
            </w:r>
          </w:p>
        </w:tc>
      </w:tr>
    </w:tbl>
    <w:p w14:paraId="4A32562A" w14:textId="77777777" w:rsidR="00882EBA" w:rsidRPr="004964AF" w:rsidRDefault="00882EBA">
      <w:pPr>
        <w:rPr>
          <w:rFonts w:ascii="CPN" w:hAnsi="CPN" w:cs="CPN"/>
        </w:rPr>
      </w:pPr>
    </w:p>
    <w:sectPr w:rsidR="00882EBA" w:rsidRPr="004964AF">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032F0" w14:textId="77777777" w:rsidR="00882EBA" w:rsidRDefault="00882EBA">
      <w:r>
        <w:separator/>
      </w:r>
    </w:p>
  </w:endnote>
  <w:endnote w:type="continuationSeparator" w:id="0">
    <w:p w14:paraId="616702F1" w14:textId="77777777" w:rsidR="00882EBA" w:rsidRDefault="00882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PN">
    <w:panose1 w:val="00000500000000000000"/>
    <w:charset w:val="DE"/>
    <w:family w:val="auto"/>
    <w:pitch w:val="variable"/>
    <w:sig w:usb0="01000007" w:usb1="00000000" w:usb2="00000000" w:usb3="00000000" w:csb0="00010093"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545F" w14:textId="77777777" w:rsidR="00280934" w:rsidRDefault="00000000">
    <w:pPr>
      <w:jc w:val="right"/>
    </w:pPr>
    <w:r>
      <w:rPr>
        <w:color w:val="595959"/>
        <w:sz w:val="16"/>
        <w:szCs w:val="16"/>
      </w:rPr>
      <w:t xml:space="preserve">Page </w:t>
    </w:r>
    <w:r>
      <w:rPr>
        <w:b/>
        <w:bCs/>
        <w:color w:val="8B0000"/>
        <w:sz w:val="16"/>
        <w:szCs w:val="16"/>
      </w:rPr>
      <w:fldChar w:fldCharType="begin"/>
    </w:r>
    <w:r>
      <w:rPr>
        <w:b/>
        <w:bCs/>
        <w:color w:val="8B0000"/>
        <w:sz w:val="16"/>
        <w:szCs w:val="16"/>
      </w:rPr>
      <w:instrText>PAGE</w:instrText>
    </w:r>
    <w:r>
      <w:rPr>
        <w:b/>
        <w:bCs/>
        <w:color w:val="8B0000"/>
        <w:sz w:val="16"/>
        <w:szCs w:val="16"/>
      </w:rPr>
      <w:fldChar w:fldCharType="separate"/>
    </w:r>
    <w:r w:rsidR="004964AF">
      <w:rPr>
        <w:b/>
        <w:bCs/>
        <w:noProof/>
        <w:color w:val="8B0000"/>
        <w:sz w:val="16"/>
        <w:szCs w:val="16"/>
      </w:rPr>
      <w:t>1</w:t>
    </w:r>
    <w:r>
      <w:rPr>
        <w:b/>
        <w:bCs/>
        <w:color w:val="8B0000"/>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4964A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D34C7" w14:textId="77777777" w:rsidR="00882EBA" w:rsidRDefault="00882EBA">
      <w:r>
        <w:separator/>
      </w:r>
    </w:p>
  </w:footnote>
  <w:footnote w:type="continuationSeparator" w:id="0">
    <w:p w14:paraId="0177FFFA" w14:textId="77777777" w:rsidR="00882EBA" w:rsidRDefault="00882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D204" w14:textId="77777777" w:rsidR="00280934" w:rsidRDefault="00000000">
    <w:pPr>
      <w:jc w:val="right"/>
    </w:pPr>
    <w:r>
      <w:rPr>
        <w:color w:val="595959"/>
        <w:sz w:val="16"/>
        <w:szCs w:val="16"/>
      </w:rPr>
      <w:t xml:space="preserve">Promotion </w:t>
    </w:r>
    <w:proofErr w:type="gramStart"/>
    <w:r>
      <w:rPr>
        <w:color w:val="595959"/>
        <w:sz w:val="16"/>
        <w:szCs w:val="16"/>
      </w:rPr>
      <w:t>Profile  ·</w:t>
    </w:r>
    <w:proofErr w:type="gramEnd"/>
    <w:r>
      <w:rPr>
        <w:color w:val="595959"/>
        <w:sz w:val="16"/>
        <w:szCs w:val="16"/>
      </w:rPr>
      <w:t xml:space="preserve">  Nonpawit Saisuwan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13DAF"/>
    <w:multiLevelType w:val="hybridMultilevel"/>
    <w:tmpl w:val="2F3EEADE"/>
    <w:lvl w:ilvl="0" w:tplc="08166D10">
      <w:start w:val="1"/>
      <w:numFmt w:val="bullet"/>
      <w:lvlText w:val="●"/>
      <w:lvlJc w:val="left"/>
      <w:pPr>
        <w:ind w:left="720" w:hanging="360"/>
      </w:pPr>
    </w:lvl>
    <w:lvl w:ilvl="1" w:tplc="71DEC9FC">
      <w:start w:val="1"/>
      <w:numFmt w:val="bullet"/>
      <w:lvlText w:val="○"/>
      <w:lvlJc w:val="left"/>
      <w:pPr>
        <w:ind w:left="1440" w:hanging="360"/>
      </w:pPr>
    </w:lvl>
    <w:lvl w:ilvl="2" w:tplc="4DD8E16A">
      <w:start w:val="1"/>
      <w:numFmt w:val="bullet"/>
      <w:lvlText w:val="■"/>
      <w:lvlJc w:val="left"/>
      <w:pPr>
        <w:ind w:left="2160" w:hanging="360"/>
      </w:pPr>
    </w:lvl>
    <w:lvl w:ilvl="3" w:tplc="30AE1406">
      <w:start w:val="1"/>
      <w:numFmt w:val="bullet"/>
      <w:lvlText w:val="●"/>
      <w:lvlJc w:val="left"/>
      <w:pPr>
        <w:ind w:left="2880" w:hanging="360"/>
      </w:pPr>
    </w:lvl>
    <w:lvl w:ilvl="4" w:tplc="7506F2C8">
      <w:start w:val="1"/>
      <w:numFmt w:val="bullet"/>
      <w:lvlText w:val="○"/>
      <w:lvlJc w:val="left"/>
      <w:pPr>
        <w:ind w:left="3600" w:hanging="360"/>
      </w:pPr>
    </w:lvl>
    <w:lvl w:ilvl="5" w:tplc="7C3EF2D0">
      <w:start w:val="1"/>
      <w:numFmt w:val="bullet"/>
      <w:lvlText w:val="■"/>
      <w:lvlJc w:val="left"/>
      <w:pPr>
        <w:ind w:left="4320" w:hanging="360"/>
      </w:pPr>
    </w:lvl>
    <w:lvl w:ilvl="6" w:tplc="B45A75DA">
      <w:start w:val="1"/>
      <w:numFmt w:val="bullet"/>
      <w:lvlText w:val="●"/>
      <w:lvlJc w:val="left"/>
      <w:pPr>
        <w:ind w:left="5040" w:hanging="360"/>
      </w:pPr>
    </w:lvl>
    <w:lvl w:ilvl="7" w:tplc="9CD08948">
      <w:start w:val="1"/>
      <w:numFmt w:val="bullet"/>
      <w:lvlText w:val="●"/>
      <w:lvlJc w:val="left"/>
      <w:pPr>
        <w:ind w:left="5760" w:hanging="360"/>
      </w:pPr>
    </w:lvl>
    <w:lvl w:ilvl="8" w:tplc="2550B980">
      <w:start w:val="1"/>
      <w:numFmt w:val="bullet"/>
      <w:lvlText w:val="●"/>
      <w:lvlJc w:val="left"/>
      <w:pPr>
        <w:ind w:left="6480" w:hanging="360"/>
      </w:pPr>
    </w:lvl>
  </w:abstractNum>
  <w:num w:numId="1" w16cid:durableId="197475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934"/>
    <w:rsid w:val="00280934"/>
    <w:rsid w:val="004964AF"/>
    <w:rsid w:val="005C3473"/>
    <w:rsid w:val="007578B6"/>
    <w:rsid w:val="00882EBA"/>
    <w:rsid w:val="00AB4F68"/>
    <w:rsid w:val="00BC2D0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C819"/>
  <w15:docId w15:val="{B873C259-13B9-4E51-AB6F-5B87E732F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1340</Words>
  <Characters>7640</Characters>
  <Application>Microsoft Office Word</Application>
  <DocSecurity>0</DocSecurity>
  <Lines>63</Lines>
  <Paragraphs>17</Paragraphs>
  <ScaleCrop>false</ScaleCrop>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Promotion Profile - Department Manager to Division Manager</dc:title>
  <dc:creator>Nonpawit Saisuwan</dc:creator>
  <cp:lastModifiedBy>Nonpawit Saisuwan</cp:lastModifiedBy>
  <cp:revision>5</cp:revision>
  <dcterms:created xsi:type="dcterms:W3CDTF">2026-05-06T10:48:00Z</dcterms:created>
  <dcterms:modified xsi:type="dcterms:W3CDTF">2026-05-06T11:08:00Z</dcterms:modified>
</cp:coreProperties>
</file>