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953"/>
        <w:rPr/>
      </w:pPr>
      <w:r w:rsidDel="00000000" w:rsidR="00000000" w:rsidRPr="00000000">
        <w:rPr>
          <w:rtl w:val="0"/>
        </w:rPr>
        <w:t xml:space="preserve">Nonso Duaka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953" w:right="797" w:firstLine="0"/>
        <w:jc w:val="center"/>
        <w:rPr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(318)-232-2055 ● nonsoduakagmail821.com ● </w:t>
      </w:r>
      <w:r w:rsidDel="00000000" w:rsidR="00000000" w:rsidRPr="00000000">
        <w:rPr>
          <w:b w:val="1"/>
          <w:i w:val="0"/>
          <w:smallCaps w:val="0"/>
          <w:strike w:val="0"/>
          <w:sz w:val="18"/>
          <w:szCs w:val="18"/>
          <w:u w:val="single"/>
          <w:shd w:fill="auto" w:val="clear"/>
          <w:vertAlign w:val="baseline"/>
          <w:rtl w:val="0"/>
        </w:rPr>
        <w:t xml:space="preserve">linkedin.com/duaka-nonso-566a4727</w:t>
      </w:r>
      <w:r w:rsidDel="00000000" w:rsidR="00000000" w:rsidRPr="00000000">
        <w:rPr>
          <w:b w:val="1"/>
          <w:i w:val="0"/>
          <w:smallCaps w:val="0"/>
          <w:strike w:val="0"/>
          <w:sz w:val="20"/>
          <w:szCs w:val="20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leader="none" w:pos="9250"/>
        </w:tabs>
        <w:spacing w:before="71" w:lineRule="auto"/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Grambling State University </w:t>
      </w:r>
      <w:r w:rsidDel="00000000" w:rsidR="00000000" w:rsidRPr="00000000">
        <w:rPr>
          <w:sz w:val="18"/>
          <w:szCs w:val="18"/>
          <w:rtl w:val="0"/>
        </w:rPr>
        <w:t xml:space="preserve">| Double Major in Mathematics &amp; Physics and Computer Science Major with Concentration in Biomedical Sciences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Expected Mar 2027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70358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100" y="3780000"/>
                          <a:ext cx="7035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70358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91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4.0/4.0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Organizations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Louisiana Alliance for Minority Participation LAMP (LS-LAMP),  Centre of Mathematical  Achievement in Science and Technology (CMAST), </w:t>
      </w:r>
      <w:r w:rsidDel="00000000" w:rsidR="00000000" w:rsidRPr="00000000">
        <w:rPr>
          <w:sz w:val="18"/>
          <w:szCs w:val="18"/>
          <w:rtl w:val="0"/>
        </w:rPr>
        <w:t xml:space="preserve">E.L. Cole Honors College, NSBE (National Society of Black Engineers).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500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Relevant Coursework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General Chemistry, Python Programming, Principles of Biology, General Physics, Data</w:t>
      </w:r>
      <w:r w:rsidDel="00000000" w:rsidR="00000000" w:rsidRPr="00000000">
        <w:rPr>
          <w:sz w:val="18"/>
          <w:szCs w:val="18"/>
          <w:rtl w:val="0"/>
        </w:rPr>
        <w:t xml:space="preserve"> Structures and Algorithms, Organic Chemistry, Differential &amp; Integral Calculus, Anatomy and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Physiology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95" w:lineRule="auto"/>
        <w:ind w:firstLine="115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tabs>
          <w:tab w:val="left" w:leader="none" w:pos="9216"/>
        </w:tabs>
        <w:spacing w:before="71" w:lineRule="auto"/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Grambling’s Department of Math &amp; Physics (NASA-Funded Research Project)</w:t>
        <w:tab/>
        <w:t xml:space="preserve">Aug 2023 - Present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7035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100" y="3780000"/>
                          <a:ext cx="7035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70358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Research Assistant | Dr. Haeyeon Yang’s Lab | Grambling, LA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276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Engineered </w:t>
      </w:r>
      <w:r w:rsidDel="00000000" w:rsidR="00000000" w:rsidRPr="00000000">
        <w:rPr>
          <w:sz w:val="18"/>
          <w:szCs w:val="18"/>
          <w:rtl w:val="0"/>
        </w:rPr>
        <w:t xml:space="preserve">nanoparticles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via laser ablation methodologies in liquid matrices, optimizing particle characteristics for targeted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276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the grinding and melting of Titanium-SmColbalt, a critical step </w:t>
      </w:r>
      <w:r w:rsidDel="00000000" w:rsidR="00000000" w:rsidRPr="00000000">
        <w:rPr>
          <w:sz w:val="18"/>
          <w:szCs w:val="18"/>
          <w:rtl w:val="0"/>
        </w:rPr>
        <w:t xml:space="preserve">supporting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NASA's innovative lunar habitat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276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Analyzed data collected from </w:t>
      </w:r>
      <w:r w:rsidDel="00000000" w:rsidR="00000000" w:rsidRPr="00000000">
        <w:rPr>
          <w:sz w:val="18"/>
          <w:szCs w:val="18"/>
          <w:rtl w:val="0"/>
        </w:rPr>
        <w:t xml:space="preserve">UV-visual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and X-ray Diffractometer instruments to support material characterization.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276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Investigated the prospective utility of quantum dots in in-vivo imaging modalities, underscoring their potential for transformative medical diagnostics.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227"/>
        </w:tabs>
        <w:spacing w:before="1" w:lineRule="auto"/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Grambling’s Department of Biological Sciences (Eco pharmacovigilance Lab)</w:t>
        <w:tab/>
        <w:t xml:space="preserve">Aug 2023 - Present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  Research Assistant | Dr. Hector Douglas’ Lab | Grambling, 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0" w:line="240" w:lineRule="auto"/>
        <w:ind w:left="835" w:right="0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Developed experimental protocols and setups to investigate the environmental impact of minute quantities of Orlistat on Daphnia magna.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Collaborated daily with a dedicated team, ensuring consistent monitoring, water changes, and feeding routines for Daphnia Magna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Conducted detailed data analysis, interpreting results to discern the effects of Orlistat exposure on Daphnia magna populations.</w:t>
      </w:r>
    </w:p>
    <w:p w:rsidR="00000000" w:rsidDel="00000000" w:rsidP="00000000" w:rsidRDefault="00000000" w:rsidRPr="00000000" w14:paraId="00000015">
      <w:pPr>
        <w:tabs>
          <w:tab w:val="left" w:leader="none" w:pos="835"/>
          <w:tab w:val="left" w:leader="none" w:pos="836"/>
        </w:tabs>
        <w:ind w:left="475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27"/>
        </w:tabs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Louisiana Alliance for Minority Participation LAMP (LS-LAMP)</w:t>
        <w:tab/>
        <w:t xml:space="preserve">Aug 2023 - Present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Program-member | Toxicology Lab | Grambling, LA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Engaged in specialized labs dedicated to the precision splitting and harvesting of mouse liver cells, focusing on studying cancer gene proteins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Participated in an enlightening field trip to an EPA Superfund site in Winfield, deepening insights into the environmental consequences of Dr. Dorsey's Pentachlorophenol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Developed proficiency in Polyacrylamide Gel Electrophoresis and Blotting techniques, augmenting skills essential for advanced molecular research on cancer gene proteins.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35"/>
          <w:tab w:val="left" w:leader="none" w:pos="836"/>
        </w:tabs>
        <w:ind w:left="47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Centre of Mathematical Achievement in Science and Technology</w:t>
      </w:r>
    </w:p>
    <w:p w:rsidR="00000000" w:rsidDel="00000000" w:rsidP="00000000" w:rsidRDefault="00000000" w:rsidRPr="00000000" w14:paraId="0000001D">
      <w:pPr>
        <w:tabs>
          <w:tab w:val="left" w:leader="none" w:pos="9216"/>
        </w:tabs>
        <w:spacing w:before="91" w:lineRule="auto"/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Volunteer | STEMNOLA | Grambling, LA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Aug 2023 - Present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Actively volunteered with CMAST for STEM NOLA/STEM Grambling initiatives, fostering high school students' curiosity and engagement in STEM disciplines.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Designed and constructed models and mini-projects, leveraging scientific principles to elucidate complex concepts for high school participants.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hanging="361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Developed innovative strategies to demystify scientific terminology, ensuring clear and accessible explanations tailored to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836"/>
        </w:tabs>
        <w:spacing w:after="0" w:before="85" w:line="240" w:lineRule="auto"/>
        <w:ind w:left="8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individual needs of assigned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Paragon One</w:t>
      </w:r>
    </w:p>
    <w:p w:rsidR="00000000" w:rsidDel="00000000" w:rsidP="00000000" w:rsidRDefault="00000000" w:rsidRPr="00000000" w14:paraId="00000023">
      <w:pPr>
        <w:tabs>
          <w:tab w:val="left" w:leader="none" w:pos="9216"/>
        </w:tabs>
        <w:spacing w:before="91" w:lineRule="auto"/>
        <w:ind w:left="115" w:firstLine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Extern</w:t>
      </w:r>
      <w:r w:rsidDel="00000000" w:rsidR="00000000" w:rsidRPr="00000000">
        <w:rPr>
          <w:sz w:val="18"/>
          <w:szCs w:val="18"/>
          <w:rtl w:val="0"/>
        </w:rPr>
        <w:t xml:space="preserve"> | PwC x Notable Narratives | Remote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Aug 2023 - Sep 2023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Analyzed and evaluated Notable Narratives' potential funding sources, incorporating insights and trends to diversify its revenue streams without charging students.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Presented findings to senior leadership identifying a few key donor profiles whose interests and philanthropic tendencies align with the needs of Notable Narrative.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and delivered a presentation on recommended findings to Notable Narratives and PwC employees, using interactive visual dashboards and data-informed storytelling.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Earned a certificate of Outstanding Completion for exceeding the externship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Faith Alive Foundations and Hospitals</w:t>
      </w:r>
    </w:p>
    <w:p w:rsidR="00000000" w:rsidDel="00000000" w:rsidP="00000000" w:rsidRDefault="00000000" w:rsidRPr="00000000" w14:paraId="00000029">
      <w:pPr>
        <w:tabs>
          <w:tab w:val="left" w:leader="none" w:pos="9216"/>
        </w:tabs>
        <w:spacing w:before="91" w:lineRule="auto"/>
        <w:ind w:left="11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Electronic Medical Record Assistant | Scribbing Department | Jos, NIG</w:t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May2022 - Dec2022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Managed patients' records, overseeing appointment schedules and facilitating reschedules.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Conducted daily General Out-Patient (GOP) check-ins and check-outs.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835"/>
          <w:tab w:val="left" w:leader="none" w:pos="836"/>
        </w:tabs>
        <w:spacing w:before="85" w:lineRule="auto"/>
        <w:ind w:left="835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Assisted in medical scribing, electronically documenting patients' diagnoses and treatments during consultations.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177800</wp:posOffset>
                </wp:positionV>
                <wp:extent cx="70358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100" y="3780000"/>
                          <a:ext cx="7035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177800</wp:posOffset>
                </wp:positionV>
                <wp:extent cx="70358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835" w:right="0" w:hanging="360"/>
        <w:jc w:val="left"/>
        <w:rPr>
          <w:b w:val="0"/>
          <w:i w:val="0"/>
          <w:smallCaps w:val="0"/>
          <w:strike w:val="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DaphniaLipaseExpressionSim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): Simulates the condition of Daphnia Magna depending on the lipid-richness </w:t>
      </w:r>
      <w:r w:rsidDel="00000000" w:rsidR="00000000" w:rsidRPr="00000000">
        <w:rPr>
          <w:sz w:val="18"/>
          <w:szCs w:val="18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the food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835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1" w:lineRule="auto"/>
        <w:ind w:firstLine="115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70358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8100" y="3780000"/>
                          <a:ext cx="70358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165100</wp:posOffset>
                </wp:positionV>
                <wp:extent cx="70358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Style w:val="Heading1"/>
        <w:spacing w:before="1" w:lineRule="auto"/>
        <w:ind w:firstLine="115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before="1" w:lineRule="auto"/>
        <w:ind w:left="835" w:hanging="360"/>
        <w:rPr>
          <w:b w:val="0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Polyacrylamide Gel Electrophoresis (PAGE)| Python (Programming Language)| Python Matplotlib| R-programming language | Ultraviolet-Visible UV/VIS Spectrophotometers| Wet Lab Techniques</w:t>
      </w:r>
      <w:r w:rsidDel="00000000" w:rsidR="00000000" w:rsidRPr="00000000">
        <w:rPr>
          <w:b w:val="0"/>
          <w:sz w:val="18"/>
          <w:szCs w:val="18"/>
          <w:rtl w:val="0"/>
        </w:rPr>
        <w:t xml:space="preserve">Writing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Coordination 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Time management 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Service orientation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Problem-solving 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Critical thinking 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Collaboration 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Flexibility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Leadership</w:t>
      </w:r>
      <w:r w:rsidDel="00000000" w:rsidR="00000000" w:rsidRPr="00000000">
        <w:rPr>
          <w:b w:val="0"/>
          <w:sz w:val="18"/>
          <w:szCs w:val="18"/>
          <w:highlight w:val="white"/>
          <w:rtl w:val="0"/>
        </w:rPr>
        <w:t xml:space="preserve">| </w:t>
      </w:r>
      <w:r w:rsidDel="00000000" w:rsidR="00000000" w:rsidRPr="00000000">
        <w:rPr>
          <w:b w:val="0"/>
          <w:sz w:val="18"/>
          <w:szCs w:val="18"/>
          <w:rtl w:val="0"/>
        </w:rPr>
        <w:t xml:space="preserve">Public Speaking.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280" w:top="800" w:left="46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35" w:hanging="360"/>
      </w:pPr>
      <w:rPr>
        <w:rFonts w:ascii="Helvetica Neue" w:cs="Helvetica Neue" w:eastAsia="Helvetica Neue" w:hAnsi="Helvetica Neue"/>
        <w:sz w:val="20"/>
        <w:szCs w:val="20"/>
      </w:rPr>
    </w:lvl>
    <w:lvl w:ilvl="1">
      <w:start w:val="0"/>
      <w:numFmt w:val="bullet"/>
      <w:lvlText w:val="•"/>
      <w:lvlJc w:val="left"/>
      <w:pPr>
        <w:ind w:left="1872" w:hanging="360"/>
      </w:pPr>
      <w:rPr/>
    </w:lvl>
    <w:lvl w:ilvl="2">
      <w:start w:val="0"/>
      <w:numFmt w:val="bullet"/>
      <w:lvlText w:val="•"/>
      <w:lvlJc w:val="left"/>
      <w:pPr>
        <w:ind w:left="2904" w:hanging="360"/>
      </w:pPr>
      <w:rPr/>
    </w:lvl>
    <w:lvl w:ilvl="3">
      <w:start w:val="0"/>
      <w:numFmt w:val="bullet"/>
      <w:lvlText w:val="•"/>
      <w:lvlJc w:val="left"/>
      <w:pPr>
        <w:ind w:left="3936" w:hanging="360"/>
      </w:pPr>
      <w:rPr/>
    </w:lvl>
    <w:lvl w:ilvl="4">
      <w:start w:val="0"/>
      <w:numFmt w:val="bullet"/>
      <w:lvlText w:val="•"/>
      <w:lvlJc w:val="left"/>
      <w:pPr>
        <w:ind w:left="4968" w:hanging="360"/>
      </w:pPr>
      <w:rPr/>
    </w:lvl>
    <w:lvl w:ilvl="5">
      <w:start w:val="0"/>
      <w:numFmt w:val="bullet"/>
      <w:lvlText w:val="•"/>
      <w:lvlJc w:val="left"/>
      <w:pPr>
        <w:ind w:left="6000" w:hanging="360"/>
      </w:pPr>
      <w:rPr/>
    </w:lvl>
    <w:lvl w:ilvl="6">
      <w:start w:val="0"/>
      <w:numFmt w:val="bullet"/>
      <w:lvlText w:val="•"/>
      <w:lvlJc w:val="left"/>
      <w:pPr>
        <w:ind w:left="7032" w:hanging="360"/>
      </w:pPr>
      <w:rPr/>
    </w:lvl>
    <w:lvl w:ilvl="7">
      <w:start w:val="0"/>
      <w:numFmt w:val="bullet"/>
      <w:lvlText w:val="•"/>
      <w:lvlJc w:val="left"/>
      <w:pPr>
        <w:ind w:left="8064" w:hanging="360"/>
      </w:pPr>
      <w:rPr/>
    </w:lvl>
    <w:lvl w:ilvl="8">
      <w:start w:val="0"/>
      <w:numFmt w:val="bullet"/>
      <w:lvlText w:val="•"/>
      <w:lvlJc w:val="left"/>
      <w:pPr>
        <w:ind w:left="9096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" w:lineRule="auto"/>
      <w:ind w:left="953" w:right="797"/>
      <w:jc w:val="center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35193726eee05522b782906cbb6530ba03b2d2cf2b143a646930613aab126939</vt:lpwstr>
  </property>
</Properties>
</file>