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Times New Roman" w:cs="Times New Roman" w:eastAsia="Times New Roman" w:hAnsi="Times New Roman"/>
          <w:b/>
          <w:bCs/>
          <w:caps/>
          <w:color w:val="1F3864"/>
          <w:spacing w:val="40"/>
          <w:sz w:val="18"/>
          <w:szCs w:val="18"/>
        </w:rPr>
        <w:t xml:space="preserve">SOUTH-EAST UNIVERSITY</w:t>
      </w:r>
    </w:p>
    <w:p>
      <w:pPr>
        <w:spacing w:before="0" w:after="60"/>
      </w:pPr>
      <w:r>
        <w:rPr>
          <w:rFonts w:ascii="Times New Roman" w:cs="Times New Roman" w:eastAsia="Times New Roman" w:hAnsi="Times New Roman"/>
          <w:i/>
          <w:iCs/>
          <w:color w:val="595959"/>
          <w:sz w:val="24"/>
          <w:szCs w:val="24"/>
        </w:rPr>
        <w:t xml:space="preserve">Department of Computer Science</w:t>
      </w:r>
    </w:p>
    <w:p>
      <w:pPr>
        <w:pBdr>
          <w:bottom w:val="single" w:color="1F3864" w:sz="12"/>
        </w:pBdr>
        <w:spacing w:before="40" w:after="200"/>
      </w:pPr>
    </w:p>
    <w:p>
      <w:pPr>
        <w:spacing w:before="0" w:after="100"/>
      </w:pPr>
      <w:r>
        <w:rPr>
          <w:rFonts w:ascii="Times New Roman" w:cs="Times New Roman" w:eastAsia="Times New Roman" w:hAnsi="Times New Roman"/>
          <w:b/>
          <w:bCs/>
          <w:color w:val="1F3864"/>
          <w:sz w:val="32"/>
          <w:szCs w:val="32"/>
        </w:rPr>
        <w:t xml:space="preserve">Marking Rubric — CW01 and CW02</w:t>
      </w:r>
    </w:p>
    <w:p>
      <w:pPr>
        <w:spacing w:before="0" w:after="360"/>
      </w:pPr>
      <w:r>
        <w:rPr>
          <w:rFonts w:ascii="Times New Roman" w:cs="Times New Roman" w:eastAsia="Times New Roman" w:hAnsi="Times New Roman"/>
          <w:i/>
          <w:iCs/>
          <w:color w:val="595959"/>
          <w:sz w:val="24"/>
          <w:szCs w:val="24"/>
        </w:rPr>
        <w:t xml:space="preserve">CSC302: Artificial Intelligence &amp; Applications — 2024/2025</w:t>
      </w:r>
    </w:p>
    <w:p>
      <w:pPr>
        <w:spacing w:before="0" w:after="160"/>
        <w:jc w:val="left"/>
      </w:pPr>
      <w:r>
        <w:rPr>
          <w:rFonts w:ascii="Times New Roman" w:cs="Times New Roman" w:eastAsia="Times New Roman" w:hAnsi="Times New Roman"/>
          <w:color w:val="2E2E2E"/>
          <w:sz w:val="24"/>
          <w:szCs w:val="24"/>
        </w:rPr>
        <w:t xml:space="preserve">This document describes what markers are looking for at each performance level. Reading it carefully before you write will help you understand what separates a strong submission from a weak one. The grade scale at the end of this document applies to all CSC302 assessments.</w:t>
      </w:r>
    </w:p>
    <w:p>
      <w:pPr>
        <w:pBdr>
          <w:bottom w:val="single" w:color="1F3864" w:sz="6"/>
        </w:pBdr>
        <w:spacing w:before="400" w:after="120"/>
      </w:pPr>
      <w:r>
        <w:rPr>
          <w:rFonts w:ascii="Times New Roman" w:cs="Times New Roman" w:eastAsia="Times New Roman" w:hAnsi="Times New Roman"/>
          <w:b/>
          <w:bCs/>
          <w:color w:val="1F3864"/>
          <w:sz w:val="32"/>
          <w:szCs w:val="32"/>
        </w:rPr>
        <w:t xml:space="preserve">CW01 — Individual Written Report</w:t>
      </w:r>
    </w:p>
    <w:p>
      <w:pPr>
        <w:spacing w:before="280" w:after="80"/>
      </w:pPr>
      <w:r>
        <w:rPr>
          <w:rFonts w:ascii="Times New Roman" w:cs="Times New Roman" w:eastAsia="Times New Roman" w:hAnsi="Times New Roman"/>
          <w:b/>
          <w:bCs/>
          <w:color w:val="2E2E2E"/>
          <w:sz w:val="26"/>
          <w:szCs w:val="26"/>
        </w:rPr>
        <w:t xml:space="preserve">Criterion 1: Understanding of AI Concepts (20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17–20 — Excellent</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Definitions are precise and technically accurate throughout. The student demonstrates a deep understanding of both approaches, uses correct terminology consistently, and draws on authoritative sources to support their explanations.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13–16 — Good</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Definitions are mostly accurate with minor technical gaps. Terminology is largely correct. The distinction between approaches is clear but lacks depth in places.</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9–12 — Satisfactory</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Basic definitions are provided but contain some inaccuracies or oversimplifications. There is some confusion between related terms and only partial distinction between the two approaches.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5–8 — Weak</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Definitions are superficial, inaccurate, or missing in places. Limited evidence of understanding AI concepts beyond surface-level description.</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0–4 — Very Poor</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Little to no demonstration of understanding. Fundamental misconceptions are present.</w:t>
            </w:r>
          </w:p>
        </w:tc>
      </w:tr>
    </w:tbl>
    <w:p>
      <w:pPr>
        <w:spacing w:before="0" w:after="200"/>
      </w:pPr>
    </w:p>
    <w:p>
      <w:pPr>
        <w:spacing w:before="280" w:after="80"/>
      </w:pPr>
      <w:r>
        <w:rPr>
          <w:rFonts w:ascii="Times New Roman" w:cs="Times New Roman" w:eastAsia="Times New Roman" w:hAnsi="Times New Roman"/>
          <w:b/>
          <w:bCs/>
          <w:color w:val="2E2E2E"/>
          <w:sz w:val="26"/>
          <w:szCs w:val="26"/>
        </w:rPr>
        <w:t xml:space="preserve">Criterion 2: Critical Analysis and Comparison (30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25–30 — Excellent</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Sophisticated, balanced comparison with well-evidenced arguments. Strengths and limitations of both approaches are genuinely analysed rather than listed. Evidence from academic sources is integrated into the argument, not just cited. Counter-arguments are acknowledged.</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19–24 — Good</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Solid comparison with clear arguments. Most strengths and limitations are covered. Sources are used but occasionally dropped in without full integration into the argument.</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13–18 — Satisfactory</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Reasonable comparison but lacking balance — may focus more heavily on one approach. Arguments are partly supported by evidence but not consistently.</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7–12 — Weak</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Largely descriptive rather than analytical. Few sources used, or used without meaningful engagement.</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0–6 — Very Poor</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No meaningful comparison. Superficial or incorrect statements. No evidence-based reasoning.</w:t>
            </w:r>
          </w:p>
        </w:tc>
      </w:tr>
    </w:tbl>
    <w:p>
      <w:pPr>
        <w:spacing w:before="0" w:after="200"/>
      </w:pPr>
    </w:p>
    <w:p>
      <w:pPr>
        <w:spacing w:before="280" w:after="80"/>
      </w:pPr>
      <w:r>
        <w:rPr>
          <w:rFonts w:ascii="Times New Roman" w:cs="Times New Roman" w:eastAsia="Times New Roman" w:hAnsi="Times New Roman"/>
          <w:b/>
          <w:bCs/>
          <w:color w:val="2E2E2E"/>
          <w:sz w:val="26"/>
          <w:szCs w:val="26"/>
        </w:rPr>
        <w:t xml:space="preserve">Criterion 3: Application to Chosen Domain (20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17–20 — Excellent</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Domain is well chosen and clearly justified. Analysis engages specifically with how the domain's requirements and constraints shape the comparison. The recommendation is convincingly linked to domain-specific factors.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13–16 — Good</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Domain is appropriate and reasonably justified. Most analysis is domain-specific. Recommendation is present and clear but could be more tightly justified.</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9–12 — Satisfactory</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Domain is identified but the analysis remains largely generic. Limited engagement with what makes the domain distinctive.</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5–8 — Weak</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Domain choice is unclear or the justification is absent. Analysis does not engage with domain specifics.</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0–4 — Very Poor</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No clear domain or an entirely irrelevant one. Analysis is generic throughout.</w:t>
            </w:r>
          </w:p>
        </w:tc>
      </w:tr>
    </w:tbl>
    <w:p>
      <w:pPr>
        <w:spacing w:before="0" w:after="200"/>
      </w:pPr>
    </w:p>
    <w:p>
      <w:pPr>
        <w:spacing w:before="280" w:after="80"/>
      </w:pPr>
      <w:r>
        <w:rPr>
          <w:rFonts w:ascii="Times New Roman" w:cs="Times New Roman" w:eastAsia="Times New Roman" w:hAnsi="Times New Roman"/>
          <w:b/>
          <w:bCs/>
          <w:color w:val="2E2E2E"/>
          <w:sz w:val="26"/>
          <w:szCs w:val="26"/>
        </w:rPr>
        <w:t xml:space="preserve">Criterion 4: Ethical Discussion (15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13–15 — Excellent</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Substantive ethical discussion that is linked to the specific domain and AI approach chosen. Engages with concepts such as bias, fairness, transparency, accountability, or unintended consequences. References relevant literature or frameworks.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10–12 — Good</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Ethical issues identified and explained, mostly domain-relevant. Limited engagement with frameworks or external sources.</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6–9 — Satisfactory</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Ethical issues mentioned but discussion is superficial or generic. Does not go beyond obvious observations.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3–5 — Weak</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Very brief ethical mention that is not integrated into the wider argument.</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0–2 — Very Poor</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Absent or irrelevant.</w:t>
            </w:r>
          </w:p>
        </w:tc>
      </w:tr>
    </w:tbl>
    <w:p>
      <w:pPr>
        <w:spacing w:before="0" w:after="200"/>
      </w:pPr>
    </w:p>
    <w:p>
      <w:pPr>
        <w:spacing w:before="280" w:after="80"/>
      </w:pPr>
      <w:r>
        <w:rPr>
          <w:rFonts w:ascii="Times New Roman" w:cs="Times New Roman" w:eastAsia="Times New Roman" w:hAnsi="Times New Roman"/>
          <w:b/>
          <w:bCs/>
          <w:color w:val="2E2E2E"/>
          <w:sz w:val="26"/>
          <w:szCs w:val="26"/>
        </w:rPr>
        <w:t xml:space="preserve">Criterion 5: Academic Referencing and Writing (15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13–15 — Excellent</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Harvard referencing applied accurately and consistently. Writing is clear, well-structured, and at an appropriate academic register. The argument flows logically from introduction through to conclusion.</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10–12 — Good</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Referencing mostly correct with minor errors. Writing is clear with occasional lapses in academic style. Structure is mostly effective.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6–9 — Satisfactory</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Noticeable referencing errors. Writing is readable but informal in places. Structure could be improved.</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3–5 — Weak</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Frequent referencing errors. Writing is unclear or informal in significant portions.</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0–2 — Very Poor</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No referencing or entirely incorrect. Writing is difficult to follow.</w:t>
            </w:r>
          </w:p>
        </w:tc>
      </w:tr>
    </w:tbl>
    <w:p>
      <w:pPr>
        <w:spacing w:before="0" w:after="320"/>
      </w:pPr>
    </w:p>
    <w:p>
      <w:pPr>
        <w:pBdr>
          <w:bottom w:val="single" w:color="1F3864" w:sz="6"/>
        </w:pBdr>
        <w:spacing w:before="400" w:after="120"/>
      </w:pPr>
      <w:r>
        <w:rPr>
          <w:rFonts w:ascii="Times New Roman" w:cs="Times New Roman" w:eastAsia="Times New Roman" w:hAnsi="Times New Roman"/>
          <w:b/>
          <w:bCs/>
          <w:color w:val="1F3864"/>
          <w:sz w:val="32"/>
          <w:szCs w:val="32"/>
        </w:rPr>
        <w:t xml:space="preserve">CW02 — Group AI Implementation Project</w:t>
      </w:r>
    </w:p>
    <w:p>
      <w:pPr>
        <w:spacing w:before="280" w:after="80"/>
      </w:pPr>
      <w:r>
        <w:rPr>
          <w:rFonts w:ascii="Times New Roman" w:cs="Times New Roman" w:eastAsia="Times New Roman" w:hAnsi="Times New Roman"/>
          <w:b/>
          <w:bCs/>
          <w:color w:val="2E2E2E"/>
          <w:sz w:val="26"/>
          <w:szCs w:val="26"/>
        </w:rPr>
        <w:t xml:space="preserve">Criterion 1: Problem Definition and Motivation (10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9–10</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Problem is specific, clearly stated, and well justified as an AI/ML task. Scope is realistic given a student project.</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7–8</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Problem is clear and the AI justification is reasonable. Scope is mostly appropriate.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5–6</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Problem is vague or too broad. AI justification is weak or generic.</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0–4</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No clear problem definition or no justification for using AI.</w:t>
            </w:r>
          </w:p>
        </w:tc>
      </w:tr>
    </w:tbl>
    <w:p>
      <w:pPr>
        <w:spacing w:before="0" w:after="160"/>
      </w:pPr>
    </w:p>
    <w:p>
      <w:pPr>
        <w:spacing w:before="280" w:after="80"/>
      </w:pPr>
      <w:r>
        <w:rPr>
          <w:rFonts w:ascii="Times New Roman" w:cs="Times New Roman" w:eastAsia="Times New Roman" w:hAnsi="Times New Roman"/>
          <w:b/>
          <w:bCs/>
          <w:color w:val="2E2E2E"/>
          <w:sz w:val="26"/>
          <w:szCs w:val="26"/>
        </w:rPr>
        <w:t xml:space="preserve">Criterion 2: System Design and AI Technique (25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21–25</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Correct and appropriate application of the chosen AI/ML technique. Design is clearly documented with justified decisions. Architecture or design description is easy to follow.</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16–20</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Technique correctly applied. Design is documented but with some gaps. Most choices are justified.</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11–15</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Technique applied with noticeable errors or partial misapplication. Design documentation is incomplete.</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0–10</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Incorrect or absent technique. No meaningful design documentation.</w:t>
            </w:r>
          </w:p>
        </w:tc>
      </w:tr>
    </w:tbl>
    <w:p>
      <w:pPr>
        <w:spacing w:before="0" w:after="160"/>
      </w:pPr>
    </w:p>
    <w:p>
      <w:pPr>
        <w:spacing w:before="280" w:after="80"/>
      </w:pPr>
      <w:r>
        <w:rPr>
          <w:rFonts w:ascii="Times New Roman" w:cs="Times New Roman" w:eastAsia="Times New Roman" w:hAnsi="Times New Roman"/>
          <w:b/>
          <w:bCs/>
          <w:color w:val="2E2E2E"/>
          <w:sz w:val="26"/>
          <w:szCs w:val="26"/>
        </w:rPr>
        <w:t xml:space="preserve">Criterion 3: Implementation and Code Quality (25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21–25</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Code runs correctly. It is well structured, readable, and appropriately commented. Good use of libraries. Modular design is evident.</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16–20</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Code largely works. Mostly readable with some structural issues or limited commenting.</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11–15</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Code partially works. Limited readability or structure. Some missing or broken components.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0–10</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Code does not run, has significant bugs, or is mostly absent.</w:t>
            </w:r>
          </w:p>
        </w:tc>
      </w:tr>
    </w:tbl>
    <w:p>
      <w:pPr>
        <w:spacing w:before="0" w:after="160"/>
      </w:pPr>
    </w:p>
    <w:p>
      <w:pPr>
        <w:spacing w:before="280" w:after="80"/>
      </w:pPr>
      <w:r>
        <w:rPr>
          <w:rFonts w:ascii="Times New Roman" w:cs="Times New Roman" w:eastAsia="Times New Roman" w:hAnsi="Times New Roman"/>
          <w:b/>
          <w:bCs/>
          <w:color w:val="2E2E2E"/>
          <w:sz w:val="26"/>
          <w:szCs w:val="26"/>
        </w:rPr>
        <w:t xml:space="preserve">Criterion 4: Evaluation and Results (20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17–20</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Appropriate metrics used and correctly calculated. Results interpreted honestly, including weaknesses. Baseline or comparison provided.</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13–16</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Appropriate metrics. Mostly correct interpretation. Limited comparison.</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9–12</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Some evaluation present but metrics may be inappropriate or results misinterpreted.</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0–8</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Minimal evaluation or entirely absent.</w:t>
            </w:r>
          </w:p>
        </w:tc>
      </w:tr>
    </w:tbl>
    <w:p>
      <w:pPr>
        <w:spacing w:before="0" w:after="160"/>
      </w:pPr>
    </w:p>
    <w:p>
      <w:pPr>
        <w:spacing w:before="280" w:after="80"/>
      </w:pPr>
      <w:r>
        <w:rPr>
          <w:rFonts w:ascii="Times New Roman" w:cs="Times New Roman" w:eastAsia="Times New Roman" w:hAnsi="Times New Roman"/>
          <w:b/>
          <w:bCs/>
          <w:color w:val="2E2E2E"/>
          <w:sz w:val="26"/>
          <w:szCs w:val="26"/>
        </w:rPr>
        <w:t xml:space="preserve">Criterion 5: Ethical and Critical Reflection (10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9–10</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Substantive reflection on limitations and ethical risks specific to the system built. Engages with real deployment concerns, not just theoretical ones.</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7–8</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Good reflection on limitations. Ethical discussion is present but slightly generic.</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0–6</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Surface-level or absent.</w:t>
            </w:r>
          </w:p>
        </w:tc>
      </w:tr>
    </w:tbl>
    <w:p>
      <w:pPr>
        <w:spacing w:before="0" w:after="160"/>
      </w:pPr>
    </w:p>
    <w:p>
      <w:pPr>
        <w:spacing w:before="280" w:after="80"/>
      </w:pPr>
      <w:r>
        <w:rPr>
          <w:rFonts w:ascii="Times New Roman" w:cs="Times New Roman" w:eastAsia="Times New Roman" w:hAnsi="Times New Roman"/>
          <w:b/>
          <w:bCs/>
          <w:color w:val="2E2E2E"/>
          <w:sz w:val="26"/>
          <w:szCs w:val="26"/>
        </w:rPr>
        <w:t xml:space="preserve">Criterion 6: Report Quality and Referencing (10 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Mark Range</w:t>
            </w:r>
          </w:p>
        </w:tc>
        <w:tc>
          <w:tcPr>
            <w:tcW w:type="dxa" w:w="7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What this looks like</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9–10</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Well-written and clearly structured. Accurate Harvard referencing throughout.</w:t>
            </w:r>
          </w:p>
        </w:tc>
      </w:tr>
      <w:tr>
        <w:tc>
          <w:tcPr>
            <w:tcW w:type="dxa" w:w="200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7–8</w:t>
            </w:r>
          </w:p>
        </w:tc>
        <w:tc>
          <w:tcPr>
            <w:tcW w:type="dxa" w:w="7360"/>
            <w:tcBorders>
              <w:top w:val="single" w:color="1F3864" w:sz="4"/>
              <w:left w:val="single" w:color="1F3864" w:sz="4"/>
              <w:bottom w:val="single" w:color="1F3864" w:sz="4"/>
              <w:right w:val="single" w:color="1F3864" w:sz="4"/>
            </w:tcBorders>
            <w:shd w:fill="F5F7FB"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Mostly clear writing and structure. Minor referencing errors.</w:t>
            </w:r>
          </w:p>
        </w:tc>
      </w:tr>
      <w:tr>
        <w:tc>
          <w:tcPr>
            <w:tcW w:type="dxa" w:w="20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b/>
                <w:bCs/>
                <w:color w:val="1F3864"/>
                <w:sz w:val="20"/>
                <w:szCs w:val="20"/>
              </w:rPr>
              <w:t xml:space="preserve">0–6</w:t>
            </w:r>
          </w:p>
        </w:tc>
        <w:tc>
          <w:tcPr>
            <w:tcW w:type="dxa" w:w="7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r>
              <w:rPr>
                <w:rFonts w:ascii="Times New Roman" w:cs="Times New Roman" w:eastAsia="Times New Roman" w:hAnsi="Times New Roman"/>
                <w:color w:val="2E2E2E"/>
                <w:sz w:val="20"/>
                <w:szCs w:val="20"/>
              </w:rPr>
              <w:t xml:space="preserve">Structural issues, unclear writing, or frequent referencing errors.</w:t>
            </w:r>
          </w:p>
        </w:tc>
      </w:tr>
    </w:tbl>
    <w:p>
      <w:pPr>
        <w:spacing w:before="0" w:after="320"/>
      </w:pPr>
    </w:p>
    <w:p>
      <w:pPr>
        <w:pBdr>
          <w:bottom w:val="single" w:color="1F3864" w:sz="6"/>
        </w:pBdr>
        <w:spacing w:before="400" w:after="120"/>
      </w:pPr>
      <w:r>
        <w:rPr>
          <w:rFonts w:ascii="Times New Roman" w:cs="Times New Roman" w:eastAsia="Times New Roman" w:hAnsi="Times New Roman"/>
          <w:b/>
          <w:bCs/>
          <w:color w:val="1F3864"/>
          <w:sz w:val="32"/>
          <w:szCs w:val="32"/>
        </w:rPr>
        <w:t xml:space="preserve">Grade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Grade</w:t>
            </w:r>
          </w:p>
        </w:tc>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Mark Range</w:t>
            </w:r>
          </w:p>
        </w:tc>
        <w:tc>
          <w:tcPr>
            <w:tcW w:type="dxa" w:w="5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pPr>
              <w:spacing w:before="0" w:after="0"/>
            </w:pPr>
            <w:r>
              <w:rPr>
                <w:rFonts w:ascii="Times New Roman" w:cs="Times New Roman" w:eastAsia="Times New Roman" w:hAnsi="Times New Roman"/>
                <w:b/>
                <w:bCs/>
                <w:color w:val="FFFFFF"/>
                <w:sz w:val="20"/>
                <w:szCs w:val="20"/>
              </w:rPr>
              <w:t xml:space="preserve">Classification</w:t>
            </w:r>
          </w:p>
        </w:tc>
      </w:tr>
      <w:tr>
        <w:tc>
          <w:tcPr>
            <w:tcW w:type="dxa" w:w="18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A</w:t>
            </w:r>
          </w:p>
        </w:tc>
        <w:tc>
          <w:tcPr>
            <w:tcW w:type="dxa" w:w="2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70–100%</w:t>
            </w:r>
          </w:p>
        </w:tc>
        <w:tc>
          <w:tcPr>
            <w:tcW w:type="dxa" w:w="5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First Class</w:t>
            </w:r>
          </w:p>
        </w:tc>
      </w:tr>
      <w:tr>
        <w:tc>
          <w:tcPr>
            <w:tcW w:type="dxa" w:w="18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B</w:t>
            </w:r>
          </w:p>
        </w:tc>
        <w:tc>
          <w:tcPr>
            <w:tcW w:type="dxa" w:w="2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60–69%</w:t>
            </w:r>
          </w:p>
        </w:tc>
        <w:tc>
          <w:tcPr>
            <w:tcW w:type="dxa" w:w="5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Upper Second (2:1)</w:t>
            </w:r>
          </w:p>
        </w:tc>
      </w:tr>
      <w:tr>
        <w:tc>
          <w:tcPr>
            <w:tcW w:type="dxa" w:w="18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C</w:t>
            </w:r>
          </w:p>
        </w:tc>
        <w:tc>
          <w:tcPr>
            <w:tcW w:type="dxa" w:w="2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50–59%</w:t>
            </w:r>
          </w:p>
        </w:tc>
        <w:tc>
          <w:tcPr>
            <w:tcW w:type="dxa" w:w="5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Lower Second (2:2)</w:t>
            </w:r>
          </w:p>
        </w:tc>
      </w:tr>
      <w:tr>
        <w:tc>
          <w:tcPr>
            <w:tcW w:type="dxa" w:w="18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D</w:t>
            </w:r>
          </w:p>
        </w:tc>
        <w:tc>
          <w:tcPr>
            <w:tcW w:type="dxa" w:w="2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40–49%</w:t>
            </w:r>
          </w:p>
        </w:tc>
        <w:tc>
          <w:tcPr>
            <w:tcW w:type="dxa" w:w="5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Third Class (Pass)</w:t>
            </w:r>
          </w:p>
        </w:tc>
      </w:tr>
      <w:tr>
        <w:tc>
          <w:tcPr>
            <w:tcW w:type="dxa" w:w="18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F</w:t>
            </w:r>
          </w:p>
        </w:tc>
        <w:tc>
          <w:tcPr>
            <w:tcW w:type="dxa" w:w="220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0–39%</w:t>
            </w:r>
          </w:p>
        </w:tc>
        <w:tc>
          <w:tcPr>
            <w:tcW w:type="dxa" w:w="5360"/>
            <w:tcBorders>
              <w:top w:val="single" w:color="1F3864" w:sz="4"/>
              <w:left w:val="single" w:color="1F3864" w:sz="4"/>
              <w:bottom w:val="single" w:color="1F3864" w:sz="4"/>
              <w:right w:val="single" w:color="1F3864" w:sz="4"/>
            </w:tcBorders>
            <w:shd w:fill="FFFFFF" w:val="clear"/>
            <w:tcMar>
              <w:top w:type="dxa" w:w="80"/>
              <w:left w:type="dxa" w:w="120"/>
              <w:bottom w:type="dxa" w:w="80"/>
              <w:right w:type="dxa" w:w="120"/>
            </w:tcMar>
          </w:tcPr>
          <w:p>
            <w:pPr>
              <w:spacing w:before="0" w:after="0"/>
            </w:pPr>
            <w:r>
              <w:rPr>
                <w:rFonts w:ascii="Times New Roman" w:cs="Times New Roman" w:eastAsia="Times New Roman" w:hAnsi="Times New Roman"/>
                <w:b w:val="false"/>
                <w:bCs w:val="false"/>
                <w:color w:val="2E2E2E"/>
                <w:sz w:val="20"/>
                <w:szCs w:val="20"/>
              </w:rPr>
              <w:t xml:space="preserve">Fail</w:t>
            </w:r>
          </w:p>
        </w:tc>
      </w:tr>
    </w:tbl>
    <w:p>
      <w:pPr>
        <w:spacing w:before="0" w:after="200"/>
      </w:pPr>
    </w:p>
    <w:p>
      <w:pPr>
        <w:pBdr>
          <w:top w:val="single" w:color="CCCCCC" w:sz="4"/>
        </w:pBdr>
        <w:spacing w:before="400" w:after="0"/>
      </w:pPr>
      <w:r>
        <w:rPr>
          <w:rFonts w:ascii="Times New Roman" w:cs="Times New Roman" w:eastAsia="Times New Roman" w:hAnsi="Times New Roman"/>
          <w:i/>
          <w:iCs/>
          <w:color w:val="595959"/>
          <w:sz w:val="18"/>
          <w:szCs w:val="18"/>
        </w:rPr>
        <w:t xml:space="preserve">Marking Rubric v1.0 — CSC302 — South-East University — 2024/2025</w:t>
      </w:r>
    </w:p>
    <w:sectPr>
      <w:pgSz w:w="11906" w:h="16838"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2026-03-03T02:53:18.262Z</dcterms:created>
  <dcterms:modified xsi:type="dcterms:W3CDTF">2026-03-03T02:53:18.262Z</dcterms:modified>
</cp:coreProperties>
</file>

<file path=docProps/custom.xml><?xml version="1.0" encoding="utf-8"?>
<Properties xmlns="http://schemas.openxmlformats.org/officeDocument/2006/custom-properties" xmlns:vt="http://schemas.openxmlformats.org/officeDocument/2006/docPropsVTypes"/>
</file>