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D4CD6" w14:textId="77777777" w:rsidR="003B1771" w:rsidRPr="00B531D9" w:rsidRDefault="003B1771" w:rsidP="003B1771">
      <w:pPr>
        <w:jc w:val="center"/>
        <w:rPr>
          <w:rFonts w:ascii="Calibri" w:hAnsi="Calibri" w:cs="Calibri"/>
        </w:rPr>
      </w:pPr>
      <w:r w:rsidRPr="00B531D9">
        <w:rPr>
          <w:rFonts w:ascii="Calibri" w:hAnsi="Calibri" w:cs="Calibri"/>
          <w:b/>
          <w:color w:val="24476B"/>
          <w:sz w:val="32"/>
        </w:rPr>
        <w:t>SHOPSMART RETAIL ANALYTICS &amp; AI IMPLEMENTATION PROJECT</w:t>
      </w:r>
    </w:p>
    <w:p w14:paraId="548990A6" w14:textId="77777777" w:rsidR="003B1771" w:rsidRPr="00B531D9" w:rsidRDefault="003B1771" w:rsidP="003B1771">
      <w:pPr>
        <w:jc w:val="center"/>
        <w:rPr>
          <w:rFonts w:ascii="Calibri" w:hAnsi="Calibri" w:cs="Calibri"/>
        </w:rPr>
      </w:pPr>
      <w:r w:rsidRPr="00B531D9">
        <w:rPr>
          <w:rFonts w:ascii="Calibri" w:hAnsi="Calibri" w:cs="Calibri"/>
          <w:b/>
          <w:sz w:val="26"/>
        </w:rPr>
        <w:t>Week 2 | Project Execution Strategy</w:t>
      </w:r>
    </w:p>
    <w:p w14:paraId="3C7F0127" w14:textId="7E4B936C" w:rsidR="003B1771" w:rsidRPr="00B531D9" w:rsidRDefault="003B1771" w:rsidP="003B1771">
      <w:pPr>
        <w:jc w:val="center"/>
        <w:rPr>
          <w:rFonts w:ascii="Calibri" w:hAnsi="Calibri" w:cs="Calibri"/>
        </w:rPr>
      </w:pPr>
      <w:r w:rsidRPr="00B531D9">
        <w:rPr>
          <w:rFonts w:ascii="Calibri" w:hAnsi="Calibri" w:cs="Calibri"/>
        </w:rPr>
        <w:t>Status: Detailed planning draft | Schedule and financial values are provisional</w:t>
      </w:r>
    </w:p>
    <w:p w14:paraId="6F5C0EA1" w14:textId="77777777" w:rsidR="003B1771" w:rsidRPr="00B531D9" w:rsidRDefault="003B1771" w:rsidP="003B1771">
      <w:pPr>
        <w:pStyle w:val="Heading1"/>
        <w:rPr>
          <w:rFonts w:ascii="Calibri" w:hAnsi="Calibri" w:cs="Calibri"/>
        </w:rPr>
      </w:pPr>
      <w:r w:rsidRPr="00B531D9">
        <w:rPr>
          <w:rFonts w:ascii="Calibri" w:hAnsi="Calibri" w:cs="Calibri"/>
        </w:rPr>
        <w:t>1. Execution Approach</w:t>
      </w:r>
    </w:p>
    <w:p w14:paraId="39AA320C" w14:textId="77777777" w:rsidR="003B1771" w:rsidRPr="00B531D9" w:rsidRDefault="003B1771" w:rsidP="003B1771">
      <w:pPr>
        <w:rPr>
          <w:rFonts w:ascii="Calibri" w:hAnsi="Calibri" w:cs="Calibri"/>
        </w:rPr>
      </w:pPr>
      <w:r w:rsidRPr="00B531D9">
        <w:rPr>
          <w:rFonts w:ascii="Calibri" w:hAnsi="Calibri" w:cs="Calibri"/>
        </w:rPr>
        <w:t xml:space="preserve">The project will be executed through a controlled, stage-gated approach that coordinates </w:t>
      </w:r>
      <w:proofErr w:type="gramStart"/>
      <w:r w:rsidRPr="00B531D9">
        <w:rPr>
          <w:rFonts w:ascii="Calibri" w:hAnsi="Calibri" w:cs="Calibri"/>
        </w:rPr>
        <w:t>the Data</w:t>
      </w:r>
      <w:proofErr w:type="gramEnd"/>
      <w:r w:rsidRPr="00B531D9">
        <w:rPr>
          <w:rFonts w:ascii="Calibri" w:hAnsi="Calibri" w:cs="Calibri"/>
        </w:rPr>
        <w:t xml:space="preserve"> Analytics, Data Science, Machine Learning and Generative AI workstreams. The Project Manager owns integration, governance, schedule, communications, risks, decisions and reporting; designated technical leads own their workstream methods and technical outputs. The plan uses the Week 1 charter, scope statement, WBS, stakeholder register, risk register and communications plan as the starting baseline, subject to sponsor confirmation.</w:t>
      </w:r>
    </w:p>
    <w:p w14:paraId="514EBE11" w14:textId="77777777" w:rsidR="003B1771" w:rsidRPr="00B531D9" w:rsidRDefault="003B1771" w:rsidP="003B1771">
      <w:pPr>
        <w:rPr>
          <w:rFonts w:ascii="Calibri" w:hAnsi="Calibri" w:cs="Calibri"/>
        </w:rPr>
      </w:pPr>
      <w:r w:rsidRPr="00B531D9">
        <w:rPr>
          <w:rFonts w:ascii="Calibri" w:hAnsi="Calibri" w:cs="Calibri"/>
        </w:rPr>
        <w:t>Execution will proceed through: (1) mobilization and baseline confirmation; (2) requirements and data-access readiness; (3) parallel technical workstream delivery; (4) integration, testing and business validation; and (5) final presentation, handover and closure. The integrated schedule establishes finish-to-start dependencies and milestone gates. Technical work may overlap only after prerequisites, data permissions and team capacity are verified.</w:t>
      </w:r>
    </w:p>
    <w:p w14:paraId="54DE657F" w14:textId="77777777" w:rsidR="003B1771" w:rsidRPr="00B531D9" w:rsidRDefault="003B1771" w:rsidP="003B1771">
      <w:pPr>
        <w:pStyle w:val="Heading1"/>
        <w:rPr>
          <w:rFonts w:ascii="Calibri" w:hAnsi="Calibri" w:cs="Calibri"/>
        </w:rPr>
      </w:pPr>
      <w:r w:rsidRPr="00B531D9">
        <w:rPr>
          <w:rFonts w:ascii="Calibri" w:hAnsi="Calibri" w:cs="Calibri"/>
        </w:rPr>
        <w:t>2. Governance, Roles and Decision Rights</w:t>
      </w:r>
    </w:p>
    <w:tbl>
      <w:tblPr>
        <w:tblStyle w:val="LightShading-Accent1"/>
        <w:tblW w:w="0" w:type="auto"/>
        <w:jc w:val="center"/>
        <w:tblLook w:val="04A0" w:firstRow="1" w:lastRow="0" w:firstColumn="1" w:lastColumn="0" w:noHBand="0" w:noVBand="1"/>
      </w:tblPr>
      <w:tblGrid>
        <w:gridCol w:w="3360"/>
        <w:gridCol w:w="3360"/>
        <w:gridCol w:w="3360"/>
      </w:tblGrid>
      <w:tr w:rsidR="003B1771" w:rsidRPr="00B531D9" w14:paraId="093CA89B" w14:textId="77777777" w:rsidTr="00CB7A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72E89260" w14:textId="77777777" w:rsidR="003B1771" w:rsidRPr="00B531D9" w:rsidRDefault="003B1771" w:rsidP="00CB7A0D">
            <w:pPr>
              <w:rPr>
                <w:rFonts w:ascii="Calibri" w:hAnsi="Calibri" w:cs="Calibri"/>
              </w:rPr>
            </w:pPr>
            <w:r w:rsidRPr="00B531D9">
              <w:rPr>
                <w:rFonts w:ascii="Calibri" w:hAnsi="Calibri" w:cs="Calibri"/>
              </w:rPr>
              <w:t>Role</w:t>
            </w:r>
          </w:p>
        </w:tc>
        <w:tc>
          <w:tcPr>
            <w:tcW w:w="3360" w:type="dxa"/>
          </w:tcPr>
          <w:p w14:paraId="5F445386" w14:textId="77777777" w:rsidR="003B1771" w:rsidRPr="00B531D9" w:rsidRDefault="003B1771" w:rsidP="00CB7A0D">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531D9">
              <w:rPr>
                <w:rFonts w:ascii="Calibri" w:hAnsi="Calibri" w:cs="Calibri"/>
              </w:rPr>
              <w:t>Accountability</w:t>
            </w:r>
          </w:p>
        </w:tc>
        <w:tc>
          <w:tcPr>
            <w:tcW w:w="3360" w:type="dxa"/>
          </w:tcPr>
          <w:p w14:paraId="5B453630" w14:textId="77777777" w:rsidR="003B1771" w:rsidRPr="00B531D9" w:rsidRDefault="003B1771" w:rsidP="00CB7A0D">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531D9">
              <w:rPr>
                <w:rFonts w:ascii="Calibri" w:hAnsi="Calibri" w:cs="Calibri"/>
              </w:rPr>
              <w:t>Decision / Escalation</w:t>
            </w:r>
          </w:p>
        </w:tc>
      </w:tr>
      <w:tr w:rsidR="003B1771" w:rsidRPr="00B531D9" w14:paraId="4BAE8057" w14:textId="77777777" w:rsidTr="00CB7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771CFBA0" w14:textId="77777777" w:rsidR="003B1771" w:rsidRPr="00B531D9" w:rsidRDefault="003B1771" w:rsidP="00CB7A0D">
            <w:pPr>
              <w:rPr>
                <w:rFonts w:ascii="Calibri" w:hAnsi="Calibri" w:cs="Calibri"/>
              </w:rPr>
            </w:pPr>
            <w:r w:rsidRPr="00B531D9">
              <w:rPr>
                <w:rFonts w:ascii="Calibri" w:hAnsi="Calibri" w:cs="Calibri"/>
              </w:rPr>
              <w:t>Sponsor / Steering Committee</w:t>
            </w:r>
          </w:p>
        </w:tc>
        <w:tc>
          <w:tcPr>
            <w:tcW w:w="3360" w:type="dxa"/>
          </w:tcPr>
          <w:p w14:paraId="2DEE279B" w14:textId="77777777" w:rsidR="003B1771" w:rsidRPr="00B531D9" w:rsidRDefault="003B1771" w:rsidP="00CB7A0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531D9">
              <w:rPr>
                <w:rFonts w:ascii="Calibri" w:hAnsi="Calibri" w:cs="Calibri"/>
              </w:rPr>
              <w:t>Project direction, business priority, approval of scope/schedule/budget baselines and major changes</w:t>
            </w:r>
          </w:p>
        </w:tc>
        <w:tc>
          <w:tcPr>
            <w:tcW w:w="3360" w:type="dxa"/>
          </w:tcPr>
          <w:p w14:paraId="2472302A" w14:textId="77777777" w:rsidR="003B1771" w:rsidRPr="00B531D9" w:rsidRDefault="003B1771" w:rsidP="00CB7A0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531D9">
              <w:rPr>
                <w:rFonts w:ascii="Calibri" w:hAnsi="Calibri" w:cs="Calibri"/>
              </w:rPr>
              <w:t>Approves stage gates, material changes, contingency use and closure</w:t>
            </w:r>
          </w:p>
        </w:tc>
      </w:tr>
      <w:tr w:rsidR="003B1771" w:rsidRPr="00B531D9" w14:paraId="03701967" w14:textId="77777777" w:rsidTr="00CB7A0D">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007E7595" w14:textId="77777777" w:rsidR="003B1771" w:rsidRPr="00B531D9" w:rsidRDefault="003B1771" w:rsidP="00CB7A0D">
            <w:pPr>
              <w:rPr>
                <w:rFonts w:ascii="Calibri" w:hAnsi="Calibri" w:cs="Calibri"/>
              </w:rPr>
            </w:pPr>
            <w:r w:rsidRPr="00B531D9">
              <w:rPr>
                <w:rFonts w:ascii="Calibri" w:hAnsi="Calibri" w:cs="Calibri"/>
              </w:rPr>
              <w:t>Project Manager</w:t>
            </w:r>
          </w:p>
        </w:tc>
        <w:tc>
          <w:tcPr>
            <w:tcW w:w="3360" w:type="dxa"/>
          </w:tcPr>
          <w:p w14:paraId="0E717ECB" w14:textId="77777777" w:rsidR="003B1771" w:rsidRPr="00B531D9" w:rsidRDefault="003B1771" w:rsidP="00CB7A0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531D9">
              <w:rPr>
                <w:rFonts w:ascii="Calibri" w:hAnsi="Calibri" w:cs="Calibri"/>
              </w:rPr>
              <w:t>Integrated plan, status reporting, dependency coordination, RAID/action/decision logs, change control</w:t>
            </w:r>
          </w:p>
        </w:tc>
        <w:tc>
          <w:tcPr>
            <w:tcW w:w="3360" w:type="dxa"/>
          </w:tcPr>
          <w:p w14:paraId="3319E4ED" w14:textId="77777777" w:rsidR="003B1771" w:rsidRPr="00B531D9" w:rsidRDefault="003B1771" w:rsidP="00CB7A0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531D9">
              <w:rPr>
                <w:rFonts w:ascii="Calibri" w:hAnsi="Calibri" w:cs="Calibri"/>
              </w:rPr>
              <w:t>May coordinate within approved baseline; escalates threshold breaches</w:t>
            </w:r>
          </w:p>
        </w:tc>
      </w:tr>
      <w:tr w:rsidR="003B1771" w:rsidRPr="00B531D9" w14:paraId="4E428E39" w14:textId="77777777" w:rsidTr="00CB7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7E8B3036" w14:textId="77777777" w:rsidR="003B1771" w:rsidRPr="00B531D9" w:rsidRDefault="003B1771" w:rsidP="00CB7A0D">
            <w:pPr>
              <w:rPr>
                <w:rFonts w:ascii="Calibri" w:hAnsi="Calibri" w:cs="Calibri"/>
              </w:rPr>
            </w:pPr>
            <w:r w:rsidRPr="00B531D9">
              <w:rPr>
                <w:rFonts w:ascii="Calibri" w:hAnsi="Calibri" w:cs="Calibri"/>
              </w:rPr>
              <w:t>Business Owner / SMEs</w:t>
            </w:r>
          </w:p>
        </w:tc>
        <w:tc>
          <w:tcPr>
            <w:tcW w:w="3360" w:type="dxa"/>
          </w:tcPr>
          <w:p w14:paraId="3CC57B1F" w14:textId="77777777" w:rsidR="003B1771" w:rsidRPr="00B531D9" w:rsidRDefault="003B1771" w:rsidP="00CB7A0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531D9">
              <w:rPr>
                <w:rFonts w:ascii="Calibri" w:hAnsi="Calibri" w:cs="Calibri"/>
              </w:rPr>
              <w:t>Business requirements, question prioritization, review and user acceptance</w:t>
            </w:r>
          </w:p>
        </w:tc>
        <w:tc>
          <w:tcPr>
            <w:tcW w:w="3360" w:type="dxa"/>
          </w:tcPr>
          <w:p w14:paraId="7F111AEA" w14:textId="77777777" w:rsidR="003B1771" w:rsidRPr="00B531D9" w:rsidRDefault="003B1771" w:rsidP="00CB7A0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531D9">
              <w:rPr>
                <w:rFonts w:ascii="Calibri" w:hAnsi="Calibri" w:cs="Calibri"/>
              </w:rPr>
              <w:t>Recommends business acceptance; resolves business interpretation</w:t>
            </w:r>
          </w:p>
        </w:tc>
      </w:tr>
      <w:tr w:rsidR="003B1771" w:rsidRPr="00B531D9" w14:paraId="2E20736F" w14:textId="77777777" w:rsidTr="00CB7A0D">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6A570D6D" w14:textId="77777777" w:rsidR="003B1771" w:rsidRPr="00B531D9" w:rsidRDefault="003B1771" w:rsidP="00CB7A0D">
            <w:pPr>
              <w:rPr>
                <w:rFonts w:ascii="Calibri" w:hAnsi="Calibri" w:cs="Calibri"/>
              </w:rPr>
            </w:pPr>
            <w:r w:rsidRPr="00B531D9">
              <w:rPr>
                <w:rFonts w:ascii="Calibri" w:hAnsi="Calibri" w:cs="Calibri"/>
              </w:rPr>
              <w:t>Technical Workstream Leads</w:t>
            </w:r>
          </w:p>
        </w:tc>
        <w:tc>
          <w:tcPr>
            <w:tcW w:w="3360" w:type="dxa"/>
          </w:tcPr>
          <w:p w14:paraId="28AAFDF1" w14:textId="77777777" w:rsidR="003B1771" w:rsidRPr="00B531D9" w:rsidRDefault="003B1771" w:rsidP="00CB7A0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531D9">
              <w:rPr>
                <w:rFonts w:ascii="Calibri" w:hAnsi="Calibri" w:cs="Calibri"/>
              </w:rPr>
              <w:t>Technical planning, execution, quality and workstream outputs</w:t>
            </w:r>
          </w:p>
        </w:tc>
        <w:tc>
          <w:tcPr>
            <w:tcW w:w="3360" w:type="dxa"/>
          </w:tcPr>
          <w:p w14:paraId="42DCDD3E" w14:textId="77777777" w:rsidR="003B1771" w:rsidRPr="00B531D9" w:rsidRDefault="003B1771" w:rsidP="00CB7A0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531D9">
              <w:rPr>
                <w:rFonts w:ascii="Calibri" w:hAnsi="Calibri" w:cs="Calibri"/>
              </w:rPr>
              <w:t>Resolve technical decisions within approved scope/security standards</w:t>
            </w:r>
          </w:p>
        </w:tc>
      </w:tr>
      <w:tr w:rsidR="003B1771" w:rsidRPr="00B531D9" w14:paraId="7FD22782" w14:textId="77777777" w:rsidTr="00CB7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DF92FFC" w14:textId="77777777" w:rsidR="003B1771" w:rsidRPr="00B531D9" w:rsidRDefault="003B1771" w:rsidP="00CB7A0D">
            <w:pPr>
              <w:rPr>
                <w:rFonts w:ascii="Calibri" w:hAnsi="Calibri" w:cs="Calibri"/>
              </w:rPr>
            </w:pPr>
            <w:r w:rsidRPr="00B531D9">
              <w:rPr>
                <w:rFonts w:ascii="Calibri" w:hAnsi="Calibri" w:cs="Calibri"/>
              </w:rPr>
              <w:t>Data Governance / Privacy / IT</w:t>
            </w:r>
          </w:p>
        </w:tc>
        <w:tc>
          <w:tcPr>
            <w:tcW w:w="3360" w:type="dxa"/>
          </w:tcPr>
          <w:p w14:paraId="4BB29509" w14:textId="77777777" w:rsidR="003B1771" w:rsidRPr="00B531D9" w:rsidRDefault="003B1771" w:rsidP="00CB7A0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531D9">
              <w:rPr>
                <w:rFonts w:ascii="Calibri" w:hAnsi="Calibri" w:cs="Calibri"/>
              </w:rPr>
              <w:t>Data access, classification, privacy/security and environment readiness</w:t>
            </w:r>
          </w:p>
        </w:tc>
        <w:tc>
          <w:tcPr>
            <w:tcW w:w="3360" w:type="dxa"/>
          </w:tcPr>
          <w:p w14:paraId="1D0C66D8" w14:textId="77777777" w:rsidR="003B1771" w:rsidRPr="00B531D9" w:rsidRDefault="003B1771" w:rsidP="00CB7A0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531D9">
              <w:rPr>
                <w:rFonts w:ascii="Calibri" w:hAnsi="Calibri" w:cs="Calibri"/>
              </w:rPr>
              <w:t>Can withhold access/release if controls are not met</w:t>
            </w:r>
          </w:p>
        </w:tc>
      </w:tr>
      <w:tr w:rsidR="003B1771" w:rsidRPr="00B531D9" w14:paraId="38B6236E" w14:textId="77777777" w:rsidTr="00CB7A0D">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3C42AB86" w14:textId="77777777" w:rsidR="003B1771" w:rsidRPr="00B531D9" w:rsidRDefault="003B1771" w:rsidP="00CB7A0D">
            <w:pPr>
              <w:rPr>
                <w:rFonts w:ascii="Calibri" w:hAnsi="Calibri" w:cs="Calibri"/>
              </w:rPr>
            </w:pPr>
            <w:r w:rsidRPr="00B531D9">
              <w:rPr>
                <w:rFonts w:ascii="Calibri" w:hAnsi="Calibri" w:cs="Calibri"/>
              </w:rPr>
              <w:t>QA / Test Lead</w:t>
            </w:r>
          </w:p>
        </w:tc>
        <w:tc>
          <w:tcPr>
            <w:tcW w:w="3360" w:type="dxa"/>
          </w:tcPr>
          <w:p w14:paraId="64BB12E9" w14:textId="77777777" w:rsidR="003B1771" w:rsidRPr="00B531D9" w:rsidRDefault="003B1771" w:rsidP="00CB7A0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531D9">
              <w:rPr>
                <w:rFonts w:ascii="Calibri" w:hAnsi="Calibri" w:cs="Calibri"/>
              </w:rPr>
              <w:t>Test strategy, evidence, defect tracking, exit criteria</w:t>
            </w:r>
          </w:p>
        </w:tc>
        <w:tc>
          <w:tcPr>
            <w:tcW w:w="3360" w:type="dxa"/>
          </w:tcPr>
          <w:p w14:paraId="77D16FAC" w14:textId="77777777" w:rsidR="003B1771" w:rsidRPr="00B531D9" w:rsidRDefault="003B1771" w:rsidP="00CB7A0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531D9">
              <w:rPr>
                <w:rFonts w:ascii="Calibri" w:hAnsi="Calibri" w:cs="Calibri"/>
              </w:rPr>
              <w:t>Recommends readiness; critical defects block acceptance</w:t>
            </w:r>
          </w:p>
        </w:tc>
      </w:tr>
    </w:tbl>
    <w:p w14:paraId="3E79F5DF" w14:textId="77777777" w:rsidR="003B1771" w:rsidRPr="00B531D9" w:rsidRDefault="003B1771" w:rsidP="003B1771">
      <w:pPr>
        <w:rPr>
          <w:rFonts w:ascii="Calibri" w:hAnsi="Calibri" w:cs="Calibri"/>
        </w:rPr>
      </w:pPr>
      <w:r w:rsidRPr="00B531D9">
        <w:rPr>
          <w:rFonts w:ascii="Calibri" w:hAnsi="Calibri" w:cs="Calibri"/>
        </w:rPr>
        <w:t>Named individuals, formal approval authorities, escalation thresholds and resource capacity are not specified in the assignment material. These must be confirmed during mobilization; role assignments in the accompanying workbook are proposed.</w:t>
      </w:r>
    </w:p>
    <w:p w14:paraId="67DA4DB7" w14:textId="77777777" w:rsidR="003B1771" w:rsidRPr="00B531D9" w:rsidRDefault="003B1771" w:rsidP="003B1771">
      <w:pPr>
        <w:pStyle w:val="Heading1"/>
        <w:rPr>
          <w:rFonts w:ascii="Calibri" w:hAnsi="Calibri" w:cs="Calibri"/>
        </w:rPr>
      </w:pPr>
      <w:r w:rsidRPr="00B531D9">
        <w:rPr>
          <w:rFonts w:ascii="Calibri" w:hAnsi="Calibri" w:cs="Calibri"/>
        </w:rPr>
        <w:lastRenderedPageBreak/>
        <w:t>3. Monitoring and Control</w:t>
      </w:r>
    </w:p>
    <w:p w14:paraId="3CE4604A" w14:textId="77777777" w:rsidR="003B1771" w:rsidRPr="00B531D9" w:rsidRDefault="003B1771" w:rsidP="003B1771">
      <w:pPr>
        <w:rPr>
          <w:rFonts w:ascii="Calibri" w:hAnsi="Calibri" w:cs="Calibri"/>
        </w:rPr>
      </w:pPr>
      <w:r w:rsidRPr="00B531D9">
        <w:rPr>
          <w:rFonts w:ascii="Calibri" w:hAnsi="Calibri" w:cs="Calibri"/>
        </w:rPr>
        <w:t>The Project Manager will maintain one integrated schedule, milestone list, risk/issue/dependency/action (RAID) log, decision log, change register, resource view and budget tracker. A weekly status cycle will collect workstream updates, compare actual progress with baseline, identify forecast variance and agree corrective actions. A weekly cross-workstream coordination meeting will review dependencies, upcoming work, blockers, risks and decisions. Sponsor reporting will be issued at agreed intervals and immediately for material issues.</w:t>
      </w:r>
    </w:p>
    <w:p w14:paraId="204EC58F" w14:textId="77777777" w:rsidR="003B1771" w:rsidRPr="00B531D9" w:rsidRDefault="003B1771" w:rsidP="003B1771">
      <w:pPr>
        <w:rPr>
          <w:rFonts w:ascii="Calibri" w:hAnsi="Calibri" w:cs="Calibri"/>
        </w:rPr>
      </w:pPr>
      <w:r w:rsidRPr="00B531D9">
        <w:rPr>
          <w:rFonts w:ascii="Calibri" w:hAnsi="Calibri" w:cs="Calibri"/>
        </w:rPr>
        <w:t xml:space="preserve">Execution measures will </w:t>
      </w:r>
      <w:proofErr w:type="gramStart"/>
      <w:r w:rsidRPr="00B531D9">
        <w:rPr>
          <w:rFonts w:ascii="Calibri" w:hAnsi="Calibri" w:cs="Calibri"/>
        </w:rPr>
        <w:t>include:</w:t>
      </w:r>
      <w:proofErr w:type="gramEnd"/>
      <w:r w:rsidRPr="00B531D9">
        <w:rPr>
          <w:rFonts w:ascii="Calibri" w:hAnsi="Calibri" w:cs="Calibri"/>
        </w:rPr>
        <w:t xml:space="preserve"> milestone status (on track/at risk/delayed), schedule variance and forecast finish, completion of planned activities, unresolved blockers and aging, risk exposure, resource demand versus availability, budget actual/forecast versus baseline, defect counts by severity, test coverage/evidence, and business acceptance status. Where reliable actuals are not yet available, reports will state that explicitly rather than imply measured performance.</w:t>
      </w:r>
    </w:p>
    <w:p w14:paraId="08FDCE27" w14:textId="77777777" w:rsidR="003B1771" w:rsidRPr="00B531D9" w:rsidRDefault="003B1771" w:rsidP="003B1771">
      <w:pPr>
        <w:pStyle w:val="Heading1"/>
        <w:rPr>
          <w:rFonts w:ascii="Calibri" w:hAnsi="Calibri" w:cs="Calibri"/>
        </w:rPr>
      </w:pPr>
      <w:r w:rsidRPr="00B531D9">
        <w:rPr>
          <w:rFonts w:ascii="Calibri" w:hAnsi="Calibri" w:cs="Calibri"/>
        </w:rPr>
        <w:t>4. Risk Management</w:t>
      </w:r>
    </w:p>
    <w:p w14:paraId="0BDA616C" w14:textId="77777777" w:rsidR="003B1771" w:rsidRPr="00B531D9" w:rsidRDefault="003B1771" w:rsidP="003B1771">
      <w:pPr>
        <w:rPr>
          <w:rFonts w:ascii="Calibri" w:hAnsi="Calibri" w:cs="Calibri"/>
        </w:rPr>
      </w:pPr>
      <w:r w:rsidRPr="00B531D9">
        <w:rPr>
          <w:rFonts w:ascii="Calibri" w:hAnsi="Calibri" w:cs="Calibri"/>
        </w:rPr>
        <w:t>Risks will be reviewed at least weekly and at each stage gate. Each risk will have a named accountable owner once assigned, likelihood and impact ratings, response, trigger, due date and residual exposure. The PM will escalate risks whose exposure exceeds the approved tolerance, threatens a milestone, affects privacy/security, or requires a sponsor decision. The Week 1 risk register remains the source of record and will be updated with execution-specific risks such as delayed access, resource contention, inconsistent business definitions, workstream integration, model/AI evaluation, cloud cost growth, insufficient UAT participation and unresolved defects.</w:t>
      </w:r>
    </w:p>
    <w:p w14:paraId="53D82900" w14:textId="77777777" w:rsidR="003B1771" w:rsidRPr="00B531D9" w:rsidRDefault="003B1771" w:rsidP="003B1771">
      <w:pPr>
        <w:rPr>
          <w:rFonts w:ascii="Calibri" w:hAnsi="Calibri" w:cs="Calibri"/>
        </w:rPr>
      </w:pPr>
      <w:r w:rsidRPr="00B531D9">
        <w:rPr>
          <w:rFonts w:ascii="Calibri" w:hAnsi="Calibri" w:cs="Calibri"/>
        </w:rPr>
        <w:t>Responses will follow avoid, mitigate, transfer or accept strategies where appropriate. Contingency actions and reserve use require documented approval. Data will not be accessed or moved until the relevant owner authorizes access and required security/privacy controls are in place. AI-related outputs require appropriate review, documented limitations and responsible-use controls before stakeholder presentation.</w:t>
      </w:r>
    </w:p>
    <w:p w14:paraId="26A9CAC1" w14:textId="77777777" w:rsidR="003B1771" w:rsidRPr="00B531D9" w:rsidRDefault="003B1771" w:rsidP="003B1771">
      <w:pPr>
        <w:pStyle w:val="Heading1"/>
        <w:rPr>
          <w:rFonts w:ascii="Calibri" w:hAnsi="Calibri" w:cs="Calibri"/>
        </w:rPr>
      </w:pPr>
      <w:r w:rsidRPr="00B531D9">
        <w:rPr>
          <w:rFonts w:ascii="Calibri" w:hAnsi="Calibri" w:cs="Calibri"/>
        </w:rPr>
        <w:t>5. Communications</w:t>
      </w:r>
    </w:p>
    <w:p w14:paraId="5AD41B37" w14:textId="77777777" w:rsidR="003B1771" w:rsidRPr="00B531D9" w:rsidRDefault="003B1771" w:rsidP="003B1771">
      <w:pPr>
        <w:rPr>
          <w:rFonts w:ascii="Calibri" w:hAnsi="Calibri" w:cs="Calibri"/>
        </w:rPr>
      </w:pPr>
      <w:r w:rsidRPr="00B531D9">
        <w:rPr>
          <w:rFonts w:ascii="Calibri" w:hAnsi="Calibri" w:cs="Calibri"/>
        </w:rPr>
        <w:t>Communication will follow the Week 1 communications plan, refined for execution. The proposed cadence is a weekly workstream coordination meeting, weekly written status update, milestone/stage-gate reviews, and ad hoc escalation for urgent blockers. Meetings will have an agenda, action owner and due date; decisions and changes will be recorded in a shared, version-controlled location. The PM will tailor messages to the audience: concise decision-focused reporting for the sponsor, detailed dependency and task updates for workstream leads, and plain-language business progress and acceptance information for SMEs and users.</w:t>
      </w:r>
    </w:p>
    <w:p w14:paraId="1624E34D" w14:textId="77777777" w:rsidR="003B1771" w:rsidRPr="00B531D9" w:rsidRDefault="003B1771" w:rsidP="003B1771">
      <w:pPr>
        <w:rPr>
          <w:rFonts w:ascii="Calibri" w:hAnsi="Calibri" w:cs="Calibri"/>
        </w:rPr>
      </w:pPr>
      <w:r w:rsidRPr="00B531D9">
        <w:rPr>
          <w:rFonts w:ascii="Calibri" w:hAnsi="Calibri" w:cs="Calibri"/>
        </w:rPr>
        <w:t>The exact channel, cadence and recipients must be confirmed with the sponsor and cohort/team. Confidential or sensitive data must not be included in broad status communications or unapproved repositories.</w:t>
      </w:r>
    </w:p>
    <w:p w14:paraId="2030BE0B" w14:textId="77777777" w:rsidR="003B1771" w:rsidRPr="00B531D9" w:rsidRDefault="003B1771" w:rsidP="003B1771">
      <w:pPr>
        <w:pStyle w:val="Heading1"/>
        <w:rPr>
          <w:rFonts w:ascii="Calibri" w:hAnsi="Calibri" w:cs="Calibri"/>
        </w:rPr>
      </w:pPr>
      <w:r w:rsidRPr="00B531D9">
        <w:rPr>
          <w:rFonts w:ascii="Calibri" w:hAnsi="Calibri" w:cs="Calibri"/>
        </w:rPr>
        <w:t>6. Change Control and Scope Protection</w:t>
      </w:r>
    </w:p>
    <w:p w14:paraId="08F760E6" w14:textId="77777777" w:rsidR="003B1771" w:rsidRPr="00B531D9" w:rsidRDefault="003B1771" w:rsidP="003B1771">
      <w:pPr>
        <w:rPr>
          <w:rFonts w:ascii="Calibri" w:hAnsi="Calibri" w:cs="Calibri"/>
        </w:rPr>
      </w:pPr>
      <w:r w:rsidRPr="00B531D9">
        <w:rPr>
          <w:rFonts w:ascii="Calibri" w:hAnsi="Calibri" w:cs="Calibri"/>
        </w:rPr>
        <w:t>The approved scope baseline comprises the charter, scope statement, WBS and associated acceptance criteria. Any request affecting deliverables, exclusions, schedule, cost, resources, data access, quality or risk must be recorded as a change request. The PM will assess impact with relevant leads, including dependencies, estimates, security/privacy and acceptance. The sponsor or delegated change authority will approve, reject or defer the request. Only approved changes are incorporated into controlled baselines, with version history and stakeholder communication.</w:t>
      </w:r>
    </w:p>
    <w:p w14:paraId="154D142D" w14:textId="77777777" w:rsidR="003B1771" w:rsidRPr="00B531D9" w:rsidRDefault="003B1771" w:rsidP="003B1771">
      <w:pPr>
        <w:rPr>
          <w:rFonts w:ascii="Calibri" w:hAnsi="Calibri" w:cs="Calibri"/>
        </w:rPr>
      </w:pPr>
      <w:r w:rsidRPr="00B531D9">
        <w:rPr>
          <w:rFonts w:ascii="Calibri" w:hAnsi="Calibri" w:cs="Calibri"/>
        </w:rPr>
        <w:t>Out of scope unless formally approved: ERP implementation, mobile application development, live production deployment, payment gateway integration and customer loyalty system implementation. The PM coordinates the four technical tracks but does not substitute for their technical deliverables.</w:t>
      </w:r>
    </w:p>
    <w:p w14:paraId="490BB3CD" w14:textId="77777777" w:rsidR="003B1771" w:rsidRPr="00B531D9" w:rsidRDefault="003B1771" w:rsidP="003B1771">
      <w:pPr>
        <w:pStyle w:val="Heading1"/>
        <w:rPr>
          <w:rFonts w:ascii="Calibri" w:hAnsi="Calibri" w:cs="Calibri"/>
        </w:rPr>
      </w:pPr>
      <w:r w:rsidRPr="00B531D9">
        <w:rPr>
          <w:rFonts w:ascii="Calibri" w:hAnsi="Calibri" w:cs="Calibri"/>
        </w:rPr>
        <w:lastRenderedPageBreak/>
        <w:t>7. Quality, Testing and Acceptance</w:t>
      </w:r>
    </w:p>
    <w:p w14:paraId="60FD94D0" w14:textId="77777777" w:rsidR="003B1771" w:rsidRPr="00B531D9" w:rsidRDefault="003B1771" w:rsidP="003B1771">
      <w:pPr>
        <w:rPr>
          <w:rFonts w:ascii="Calibri" w:hAnsi="Calibri" w:cs="Calibri"/>
        </w:rPr>
      </w:pPr>
      <w:r w:rsidRPr="00B531D9">
        <w:rPr>
          <w:rFonts w:ascii="Calibri" w:hAnsi="Calibri" w:cs="Calibri"/>
        </w:rPr>
        <w:t>Quality will be built into planning and reviewed throughout execution. Each workstream will define deliverable-specific checks and provide evidence. The QA/Test Lead will coordinate integrated test planning, test cases, defect severity, retesting and readiness reporting. Business users will participate in review/UAT against agreed business questions and acceptance criteria. Critical/high-severity defects, missing evidence, unresolved privacy/security concerns or unapproved scope changes will prevent a readiness recommendation until resolved or formally dispositioned.</w:t>
      </w:r>
    </w:p>
    <w:p w14:paraId="7B42EB7E" w14:textId="77777777" w:rsidR="003B1771" w:rsidRPr="00B531D9" w:rsidRDefault="003B1771" w:rsidP="003B1771">
      <w:pPr>
        <w:rPr>
          <w:rFonts w:ascii="Calibri" w:hAnsi="Calibri" w:cs="Calibri"/>
        </w:rPr>
      </w:pPr>
      <w:r w:rsidRPr="00B531D9">
        <w:rPr>
          <w:rFonts w:ascii="Calibri" w:hAnsi="Calibri" w:cs="Calibri"/>
        </w:rPr>
        <w:t>Acceptance criteria and exit thresholds are proposed for planning and must be confirmed with the sponsor and business owner. The final package will include approved deliverables, test and acceptance evidence, known limitations, decisions, handover materials, repository links and closure approval.</w:t>
      </w:r>
    </w:p>
    <w:p w14:paraId="51512B3F" w14:textId="77777777" w:rsidR="003B1771" w:rsidRPr="00B531D9" w:rsidRDefault="003B1771" w:rsidP="003B1771">
      <w:pPr>
        <w:pStyle w:val="Heading1"/>
        <w:rPr>
          <w:rFonts w:ascii="Calibri" w:hAnsi="Calibri" w:cs="Calibri"/>
        </w:rPr>
      </w:pPr>
      <w:r w:rsidRPr="00B531D9">
        <w:rPr>
          <w:rFonts w:ascii="Calibri" w:hAnsi="Calibri" w:cs="Calibri"/>
        </w:rPr>
        <w:t>8. Schedule and Budget Basis</w:t>
      </w:r>
    </w:p>
    <w:p w14:paraId="31F4EE13" w14:textId="77777777" w:rsidR="003B1771" w:rsidRPr="00B531D9" w:rsidRDefault="003B1771" w:rsidP="003B1771">
      <w:pPr>
        <w:rPr>
          <w:rFonts w:ascii="Calibri" w:hAnsi="Calibri" w:cs="Calibri"/>
        </w:rPr>
      </w:pPr>
      <w:r w:rsidRPr="00B531D9">
        <w:rPr>
          <w:rFonts w:ascii="Calibri" w:hAnsi="Calibri" w:cs="Calibri"/>
        </w:rPr>
        <w:t>The accompanying schedule uses a provisional start date of 19 October 2026, Monday-Friday working calendar, finish-to-start dependencies and estimated durations. The computed network duration is 38 working days, with a provisional finish of 09 December 2026. These dates are a planning model, not confirmed commitments; public holidays, leave, resource leveling and actual team availability are not modeled.</w:t>
      </w:r>
    </w:p>
    <w:p w14:paraId="1C5E0EBE" w14:textId="77777777" w:rsidR="003B1771" w:rsidRPr="00B531D9" w:rsidRDefault="003B1771" w:rsidP="003B1771">
      <w:pPr>
        <w:rPr>
          <w:rFonts w:ascii="Calibri" w:hAnsi="Calibri" w:cs="Calibri"/>
        </w:rPr>
      </w:pPr>
      <w:r w:rsidRPr="00B531D9">
        <w:rPr>
          <w:rFonts w:ascii="Calibri" w:hAnsi="Calibri" w:cs="Calibri"/>
        </w:rPr>
        <w:t>The budget workbook provides an indicative estimate of R1,237,400.00, including a 15% contingency reserve. Cost inputs are illustrative assumptions, not supplier quotes, actual salary rates or an approved funding envelope. Finance/procurement and the sponsor must validate rates, license/cloud needs, tax treatment, procurement rules and contingency governance before budget baseline approval.</w:t>
      </w:r>
    </w:p>
    <w:p w14:paraId="5F685F92" w14:textId="77777777" w:rsidR="003B1771" w:rsidRPr="00B531D9" w:rsidRDefault="003B1771" w:rsidP="003B1771">
      <w:pPr>
        <w:pStyle w:val="Heading1"/>
        <w:rPr>
          <w:rFonts w:ascii="Calibri" w:hAnsi="Calibri" w:cs="Calibri"/>
        </w:rPr>
      </w:pPr>
      <w:r w:rsidRPr="00B531D9">
        <w:rPr>
          <w:rFonts w:ascii="Calibri" w:hAnsi="Calibri" w:cs="Calibri"/>
        </w:rPr>
        <w:t>9. Assumptions, Constraints and Open Decisions</w:t>
      </w:r>
    </w:p>
    <w:p w14:paraId="422747FE" w14:textId="77777777" w:rsidR="003B1771" w:rsidRPr="00B531D9" w:rsidRDefault="003B1771" w:rsidP="003B1771">
      <w:pPr>
        <w:pStyle w:val="ListBullet"/>
        <w:tabs>
          <w:tab w:val="num" w:pos="360"/>
        </w:tabs>
        <w:ind w:left="360" w:hanging="360"/>
        <w:rPr>
          <w:rFonts w:ascii="Calibri" w:hAnsi="Calibri" w:cs="Calibri"/>
        </w:rPr>
      </w:pPr>
      <w:r w:rsidRPr="00B531D9">
        <w:rPr>
          <w:rFonts w:ascii="Calibri" w:hAnsi="Calibri" w:cs="Calibri"/>
        </w:rPr>
        <w:t>Confirm sponsor, business owner, workstream leads, QA lead, data owners and approval authority.</w:t>
      </w:r>
    </w:p>
    <w:p w14:paraId="7801C0F3" w14:textId="77777777" w:rsidR="003B1771" w:rsidRPr="00B531D9" w:rsidRDefault="003B1771" w:rsidP="003B1771">
      <w:pPr>
        <w:pStyle w:val="ListBullet"/>
        <w:tabs>
          <w:tab w:val="num" w:pos="360"/>
        </w:tabs>
        <w:ind w:left="360" w:hanging="360"/>
        <w:rPr>
          <w:rFonts w:ascii="Calibri" w:hAnsi="Calibri" w:cs="Calibri"/>
        </w:rPr>
      </w:pPr>
      <w:r w:rsidRPr="00B531D9">
        <w:rPr>
          <w:rFonts w:ascii="Calibri" w:hAnsi="Calibri" w:cs="Calibri"/>
        </w:rPr>
        <w:t>Validate activity estimates, dependency logic, start date, deadline, working calendar, holidays and team capacity.</w:t>
      </w:r>
    </w:p>
    <w:p w14:paraId="765416C5" w14:textId="77777777" w:rsidR="003B1771" w:rsidRPr="00B531D9" w:rsidRDefault="003B1771" w:rsidP="003B1771">
      <w:pPr>
        <w:pStyle w:val="ListBullet"/>
        <w:tabs>
          <w:tab w:val="num" w:pos="360"/>
        </w:tabs>
        <w:ind w:left="360" w:hanging="360"/>
        <w:rPr>
          <w:rFonts w:ascii="Calibri" w:hAnsi="Calibri" w:cs="Calibri"/>
        </w:rPr>
      </w:pPr>
      <w:r w:rsidRPr="00B531D9">
        <w:rPr>
          <w:rFonts w:ascii="Calibri" w:hAnsi="Calibri" w:cs="Calibri"/>
        </w:rPr>
        <w:t>Confirm project acceptance criteria, business question priorities and milestone evidence.</w:t>
      </w:r>
    </w:p>
    <w:p w14:paraId="12FA845F" w14:textId="77777777" w:rsidR="003B1771" w:rsidRPr="00B531D9" w:rsidRDefault="003B1771" w:rsidP="003B1771">
      <w:pPr>
        <w:pStyle w:val="ListBullet"/>
        <w:tabs>
          <w:tab w:val="num" w:pos="360"/>
        </w:tabs>
        <w:ind w:left="360" w:hanging="360"/>
        <w:rPr>
          <w:rFonts w:ascii="Calibri" w:hAnsi="Calibri" w:cs="Calibri"/>
        </w:rPr>
      </w:pPr>
      <w:r w:rsidRPr="00B531D9">
        <w:rPr>
          <w:rFonts w:ascii="Calibri" w:hAnsi="Calibri" w:cs="Calibri"/>
        </w:rPr>
        <w:t>Confirm approved software, repository, cloud environment, access/security controls and procurement route.</w:t>
      </w:r>
    </w:p>
    <w:p w14:paraId="2FB4ED48" w14:textId="77777777" w:rsidR="003B1771" w:rsidRPr="00B531D9" w:rsidRDefault="003B1771" w:rsidP="003B1771">
      <w:pPr>
        <w:pStyle w:val="ListBullet"/>
        <w:tabs>
          <w:tab w:val="num" w:pos="360"/>
        </w:tabs>
        <w:ind w:left="360" w:hanging="360"/>
        <w:rPr>
          <w:rFonts w:ascii="Calibri" w:hAnsi="Calibri" w:cs="Calibri"/>
        </w:rPr>
      </w:pPr>
      <w:r w:rsidRPr="00B531D9">
        <w:rPr>
          <w:rFonts w:ascii="Calibri" w:hAnsi="Calibri" w:cs="Calibri"/>
        </w:rPr>
        <w:t>Validate indicative budget assumptions and determine VAT/overhead treatment.</w:t>
      </w:r>
    </w:p>
    <w:p w14:paraId="4AFFA28C" w14:textId="77777777" w:rsidR="003B1771" w:rsidRPr="00B531D9" w:rsidRDefault="003B1771" w:rsidP="003B1771">
      <w:pPr>
        <w:pStyle w:val="ListBullet"/>
        <w:tabs>
          <w:tab w:val="num" w:pos="360"/>
        </w:tabs>
        <w:ind w:left="360" w:hanging="360"/>
        <w:rPr>
          <w:rFonts w:ascii="Calibri" w:hAnsi="Calibri" w:cs="Calibri"/>
        </w:rPr>
      </w:pPr>
      <w:r w:rsidRPr="00B531D9">
        <w:rPr>
          <w:rFonts w:ascii="Calibri" w:hAnsi="Calibri" w:cs="Calibri"/>
        </w:rPr>
        <w:t>Confirm communication channels, meeting cadence, escalation thresholds and status format.</w:t>
      </w:r>
    </w:p>
    <w:p w14:paraId="4C0BA1F6" w14:textId="77777777" w:rsidR="003B1771" w:rsidRPr="00B531D9" w:rsidRDefault="003B1771" w:rsidP="003B1771">
      <w:pPr>
        <w:pStyle w:val="ListBullet"/>
        <w:tabs>
          <w:tab w:val="num" w:pos="360"/>
        </w:tabs>
        <w:ind w:left="360" w:hanging="360"/>
        <w:rPr>
          <w:rFonts w:ascii="Calibri" w:hAnsi="Calibri" w:cs="Calibri"/>
        </w:rPr>
      </w:pPr>
      <w:r w:rsidRPr="00B531D9">
        <w:rPr>
          <w:rFonts w:ascii="Calibri" w:hAnsi="Calibri" w:cs="Calibri"/>
        </w:rPr>
        <w:t>Maintain scope boundaries and require formal change approval for additions.</w:t>
      </w:r>
    </w:p>
    <w:p w14:paraId="755130AF" w14:textId="77777777" w:rsidR="003B1771" w:rsidRPr="00B531D9" w:rsidRDefault="003B1771" w:rsidP="003B1771">
      <w:pPr>
        <w:pStyle w:val="Heading1"/>
        <w:rPr>
          <w:rFonts w:ascii="Calibri" w:hAnsi="Calibri" w:cs="Calibri"/>
        </w:rPr>
      </w:pPr>
      <w:r w:rsidRPr="00B531D9">
        <w:rPr>
          <w:rFonts w:ascii="Calibri" w:hAnsi="Calibri" w:cs="Calibri"/>
        </w:rPr>
        <w:t>10. Closure Strategy</w:t>
      </w:r>
    </w:p>
    <w:p w14:paraId="46C58D01" w14:textId="77777777" w:rsidR="003B1771" w:rsidRPr="00B531D9" w:rsidRDefault="003B1771" w:rsidP="003B1771">
      <w:pPr>
        <w:rPr>
          <w:rFonts w:ascii="Calibri" w:hAnsi="Calibri" w:cs="Calibri"/>
        </w:rPr>
      </w:pPr>
      <w:r w:rsidRPr="00B531D9">
        <w:rPr>
          <w:rFonts w:ascii="Calibri" w:hAnsi="Calibri" w:cs="Calibri"/>
        </w:rPr>
        <w:t>Closure will occur after deliverables are reviewed and accepted, testing and business validation evidence is complete, remaining defects/limitations are documented and dispositioned, access and environments are handled according to policy, project records are stored in the approved repository, outstanding actions have owners, lessons learned are captured, and the sponsor signs off. The PM will issue a closure summary covering outcome against objectives, schedule and cost performance where actuals are available, key risks/issues, handover and lessons learned.</w:t>
      </w:r>
    </w:p>
    <w:p w14:paraId="76E2E9B0" w14:textId="77777777" w:rsidR="003B1771" w:rsidRPr="00B531D9" w:rsidRDefault="003B1771">
      <w:pPr>
        <w:rPr>
          <w:rFonts w:ascii="Calibri" w:hAnsi="Calibri" w:cs="Calibri"/>
        </w:rPr>
      </w:pPr>
    </w:p>
    <w:sectPr w:rsidR="003B1771" w:rsidRPr="00B531D9" w:rsidSect="003B1771">
      <w:footerReference w:type="default" r:id="rId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85C60" w14:textId="77777777" w:rsidR="00157AF2" w:rsidRDefault="00157AF2" w:rsidP="003B1771">
      <w:pPr>
        <w:spacing w:after="0" w:line="240" w:lineRule="auto"/>
      </w:pPr>
      <w:r>
        <w:separator/>
      </w:r>
    </w:p>
  </w:endnote>
  <w:endnote w:type="continuationSeparator" w:id="0">
    <w:p w14:paraId="706E70AE" w14:textId="77777777" w:rsidR="00157AF2" w:rsidRDefault="00157AF2" w:rsidP="003B1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3AB4" w14:textId="7BEEA362" w:rsidR="003B1771" w:rsidRDefault="003B177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32145" w14:textId="77777777" w:rsidR="00157AF2" w:rsidRDefault="00157AF2" w:rsidP="003B1771">
      <w:pPr>
        <w:spacing w:after="0" w:line="240" w:lineRule="auto"/>
      </w:pPr>
      <w:r>
        <w:separator/>
      </w:r>
    </w:p>
  </w:footnote>
  <w:footnote w:type="continuationSeparator" w:id="0">
    <w:p w14:paraId="4CBB74C2" w14:textId="77777777" w:rsidR="00157AF2" w:rsidRDefault="00157AF2" w:rsidP="003B1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9101E02"/>
    <w:lvl w:ilvl="0">
      <w:start w:val="1"/>
      <w:numFmt w:val="bullet"/>
      <w:pStyle w:val="ListBullet"/>
      <w:lvlText w:val=""/>
      <w:lvlJc w:val="left"/>
      <w:pPr>
        <w:tabs>
          <w:tab w:val="num" w:pos="360"/>
        </w:tabs>
        <w:ind w:left="360" w:hanging="360"/>
      </w:pPr>
      <w:rPr>
        <w:rFonts w:ascii="Symbol" w:hAnsi="Symbol" w:hint="default"/>
      </w:rPr>
    </w:lvl>
  </w:abstractNum>
  <w:num w:numId="1" w16cid:durableId="871963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771"/>
    <w:rsid w:val="00157AF2"/>
    <w:rsid w:val="003B1771"/>
    <w:rsid w:val="009D70EF"/>
    <w:rsid w:val="00B531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9808C"/>
  <w15:chartTrackingRefBased/>
  <w15:docId w15:val="{90C7F5FE-EB12-4FF1-94D8-6747F281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771"/>
    <w:pPr>
      <w:spacing w:after="200" w:line="276" w:lineRule="auto"/>
    </w:pPr>
    <w:rPr>
      <w:rFonts w:ascii="Aptos" w:eastAsiaTheme="minorEastAsia" w:hAnsi="Aptos"/>
      <w:kern w:val="0"/>
      <w:sz w:val="19"/>
      <w:szCs w:val="22"/>
      <w:lang w:val="en-US"/>
      <w14:ligatures w14:val="none"/>
    </w:rPr>
  </w:style>
  <w:style w:type="paragraph" w:styleId="Heading1">
    <w:name w:val="heading 1"/>
    <w:basedOn w:val="Normal"/>
    <w:next w:val="Normal"/>
    <w:link w:val="Heading1Char"/>
    <w:uiPriority w:val="9"/>
    <w:qFormat/>
    <w:rsid w:val="003B1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771"/>
    <w:rPr>
      <w:rFonts w:eastAsiaTheme="majorEastAsia" w:cstheme="majorBidi"/>
      <w:color w:val="272727" w:themeColor="text1" w:themeTint="D8"/>
    </w:rPr>
  </w:style>
  <w:style w:type="paragraph" w:styleId="Title">
    <w:name w:val="Title"/>
    <w:basedOn w:val="Normal"/>
    <w:next w:val="Normal"/>
    <w:link w:val="TitleChar"/>
    <w:uiPriority w:val="10"/>
    <w:qFormat/>
    <w:rsid w:val="003B1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771"/>
    <w:pPr>
      <w:spacing w:before="160"/>
      <w:jc w:val="center"/>
    </w:pPr>
    <w:rPr>
      <w:i/>
      <w:iCs/>
      <w:color w:val="404040" w:themeColor="text1" w:themeTint="BF"/>
    </w:rPr>
  </w:style>
  <w:style w:type="character" w:customStyle="1" w:styleId="QuoteChar">
    <w:name w:val="Quote Char"/>
    <w:basedOn w:val="DefaultParagraphFont"/>
    <w:link w:val="Quote"/>
    <w:uiPriority w:val="29"/>
    <w:rsid w:val="003B1771"/>
    <w:rPr>
      <w:i/>
      <w:iCs/>
      <w:color w:val="404040" w:themeColor="text1" w:themeTint="BF"/>
    </w:rPr>
  </w:style>
  <w:style w:type="paragraph" w:styleId="ListParagraph">
    <w:name w:val="List Paragraph"/>
    <w:basedOn w:val="Normal"/>
    <w:uiPriority w:val="34"/>
    <w:qFormat/>
    <w:rsid w:val="003B1771"/>
    <w:pPr>
      <w:ind w:left="720"/>
      <w:contextualSpacing/>
    </w:pPr>
  </w:style>
  <w:style w:type="character" w:styleId="IntenseEmphasis">
    <w:name w:val="Intense Emphasis"/>
    <w:basedOn w:val="DefaultParagraphFont"/>
    <w:uiPriority w:val="21"/>
    <w:qFormat/>
    <w:rsid w:val="003B1771"/>
    <w:rPr>
      <w:i/>
      <w:iCs/>
      <w:color w:val="0F4761" w:themeColor="accent1" w:themeShade="BF"/>
    </w:rPr>
  </w:style>
  <w:style w:type="paragraph" w:styleId="IntenseQuote">
    <w:name w:val="Intense Quote"/>
    <w:basedOn w:val="Normal"/>
    <w:next w:val="Normal"/>
    <w:link w:val="IntenseQuoteChar"/>
    <w:uiPriority w:val="30"/>
    <w:qFormat/>
    <w:rsid w:val="003B1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771"/>
    <w:rPr>
      <w:i/>
      <w:iCs/>
      <w:color w:val="0F4761" w:themeColor="accent1" w:themeShade="BF"/>
    </w:rPr>
  </w:style>
  <w:style w:type="character" w:styleId="IntenseReference">
    <w:name w:val="Intense Reference"/>
    <w:basedOn w:val="DefaultParagraphFont"/>
    <w:uiPriority w:val="32"/>
    <w:qFormat/>
    <w:rsid w:val="003B1771"/>
    <w:rPr>
      <w:b/>
      <w:bCs/>
      <w:smallCaps/>
      <w:color w:val="0F4761" w:themeColor="accent1" w:themeShade="BF"/>
      <w:spacing w:val="5"/>
    </w:rPr>
  </w:style>
  <w:style w:type="paragraph" w:styleId="Footer">
    <w:name w:val="footer"/>
    <w:basedOn w:val="Normal"/>
    <w:link w:val="FooterChar"/>
    <w:uiPriority w:val="99"/>
    <w:unhideWhenUsed/>
    <w:rsid w:val="003B17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771"/>
    <w:rPr>
      <w:rFonts w:ascii="Aptos" w:eastAsiaTheme="minorEastAsia" w:hAnsi="Aptos"/>
      <w:kern w:val="0"/>
      <w:sz w:val="19"/>
      <w:szCs w:val="22"/>
      <w:lang w:val="en-US"/>
      <w14:ligatures w14:val="none"/>
    </w:rPr>
  </w:style>
  <w:style w:type="paragraph" w:styleId="ListBullet">
    <w:name w:val="List Bullet"/>
    <w:basedOn w:val="Normal"/>
    <w:uiPriority w:val="99"/>
    <w:unhideWhenUsed/>
    <w:rsid w:val="003B1771"/>
    <w:pPr>
      <w:numPr>
        <w:numId w:val="1"/>
      </w:numPr>
      <w:tabs>
        <w:tab w:val="clear" w:pos="360"/>
      </w:tabs>
      <w:ind w:left="0" w:firstLine="0"/>
      <w:contextualSpacing/>
    </w:pPr>
  </w:style>
  <w:style w:type="table" w:styleId="LightShading-Accent1">
    <w:name w:val="Light Shading Accent 1"/>
    <w:basedOn w:val="TableNormal"/>
    <w:uiPriority w:val="60"/>
    <w:rsid w:val="003B1771"/>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Header">
    <w:name w:val="header"/>
    <w:basedOn w:val="Normal"/>
    <w:link w:val="HeaderChar"/>
    <w:uiPriority w:val="99"/>
    <w:unhideWhenUsed/>
    <w:rsid w:val="003B17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1771"/>
    <w:rPr>
      <w:rFonts w:ascii="Aptos" w:eastAsiaTheme="minorEastAsia" w:hAnsi="Aptos"/>
      <w:kern w:val="0"/>
      <w:sz w:val="19"/>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1405</Words>
  <Characters>8011</Characters>
  <Application>Microsoft Office Word</Application>
  <DocSecurity>0</DocSecurity>
  <Lines>66</Lines>
  <Paragraphs>18</Paragraphs>
  <ScaleCrop>false</ScaleCrop>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Nontethelelo Baleni</dc:creator>
  <cp:keywords/>
  <dc:description/>
  <cp:lastModifiedBy>Nontethelelo Baleni</cp:lastModifiedBy>
  <cp:revision>2</cp:revision>
  <dcterms:created xsi:type="dcterms:W3CDTF">2026-10-28T18:46:00Z</dcterms:created>
  <dcterms:modified xsi:type="dcterms:W3CDTF">2026-10-28T18:46:00Z</dcterms:modified>
</cp:coreProperties>
</file>