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cefb6a810e9d03e4a2f473e4e1ce811eeb927d1"/>
    <w:p>
      <w:pPr>
        <w:pStyle w:val="Heading1"/>
      </w:pPr>
      <w:r>
        <w:t xml:space="preserve">Протокол разногласий и предлагаемых правок к ФТТ RatioT.Cloud</w:t>
      </w:r>
    </w:p>
    <w:p>
      <w:pPr>
        <w:pStyle w:val="FirstParagraph"/>
      </w:pPr>
      <w:r>
        <w:rPr>
          <w:bCs/>
          <w:b/>
        </w:rPr>
        <w:t xml:space="preserve">Объект:</w:t>
      </w:r>
      <w:r>
        <w:t xml:space="preserve"> </w:t>
      </w:r>
      <w:r>
        <w:t xml:space="preserve">RatioT.Cloud_FTT.docx, редакция v004 от 14.09.2026</w:t>
      </w:r>
      <w:r>
        <w:t xml:space="preserve"> </w:t>
      </w:r>
      <w:r>
        <w:rPr>
          <w:bCs/>
          <w:b/>
        </w:rPr>
        <w:t xml:space="preserve">Автор ФТТ (заказчик):</w:t>
      </w:r>
      <w:r>
        <w:t xml:space="preserve"> </w:t>
      </w:r>
      <w:r>
        <w:t xml:space="preserve">владелец ФТТ RatioT.Cloud</w:t>
      </w:r>
      <w:r>
        <w:t xml:space="preserve"> </w:t>
      </w:r>
      <w:r>
        <w:rPr>
          <w:bCs/>
          <w:b/>
        </w:rPr>
        <w:t xml:space="preserve">Подготовили:</w:t>
      </w:r>
      <w:r>
        <w:t xml:space="preserve"> </w:t>
      </w:r>
      <w:r>
        <w:t xml:space="preserve">Андрей Ефремцев (delivery), Марко Петрович (product) — позиции согласуются, аналитическая подготовка: Kimi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v1 — 15.09.2026; v2 — 18.09.2026</w:t>
      </w:r>
      <w:r>
        <w:t xml:space="preserve"> </w:t>
      </w:r>
      <w:r>
        <w:rPr>
          <w:bCs/>
          <w:b/>
        </w:rPr>
        <w:t xml:space="preserve">Статус:</w:t>
      </w:r>
      <w:r>
        <w:t xml:space="preserve"> </w:t>
      </w:r>
      <w:r>
        <w:t xml:space="preserve">на согласовании с автором ФТТ. Основной документ не изменялся; все правки предлагаются здесь, одним перечнем.</w:t>
      </w:r>
      <w:r>
        <w:t xml:space="preserve"> </w:t>
      </w:r>
      <w:r>
        <w:rPr>
          <w:bCs/>
          <w:b/>
        </w:rPr>
        <w:t xml:space="preserve">Версия v2:</w:t>
      </w:r>
      <w:r>
        <w:t xml:space="preserve"> </w:t>
      </w:r>
      <w:r>
        <w:t xml:space="preserve">добавлены блоки 3–4 (П-11 … П-21) по итогам сплошного анализа полного текста ФТТ v004 (3718 строк) вместе с материалами ревью (журнал решений DEC-001…189, системный портрет, product-inputs). Ключевое замечание v2 — П-11 (платформенная независимость backend); вывод v1 «противоречий с архитектурным baseline, включая backend на AggreGate, не выявлено» относится к первой волне и по позиции П-11 пересматривается.</w:t>
      </w:r>
    </w:p>
    <w:p>
      <w:pPr>
        <w:pStyle w:val="BodyText"/>
      </w:pPr>
      <w:r>
        <w:t xml:space="preserve">Каждая позиция: где в ФТТ → что сейчас → что предлагаем (готовый текст, где возможно) → почему → влияние на бюджетную оценку.</w:t>
      </w:r>
    </w:p>
    <w:p>
      <w:r>
        <w:pict>
          <v:rect style="width:0;height:1.5pt" o:hralign="center" o:hrstd="t" o:hr="t"/>
        </w:pict>
      </w:r>
    </w:p>
    <w:bookmarkStart w:id="22" w:name="X624f4b1e87dd628ae1770f3c395d4c7b863eccb"/>
    <w:p>
      <w:pPr>
        <w:pStyle w:val="Heading2"/>
      </w:pPr>
      <w:r>
        <w:t xml:space="preserve">Блок 0. Блокеры: без этого оценка подрядчика неоднозначна</w:t>
      </w:r>
    </w:p>
    <w:bookmarkStart w:id="20" w:name="X8c38551ec6b0701fb6629a6bd78986466afdffe"/>
    <w:p>
      <w:pPr>
        <w:pStyle w:val="Heading3"/>
      </w:pPr>
      <w:r>
        <w:t xml:space="preserve">П-1. Раздел 2.1 — заполнить таблицу оборудования первой очереди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таблица состоит из строк «ЗАПОЛНИТЬ».</w:t>
      </w:r>
      <w:r>
        <w:t xml:space="preserve"> </w:t>
      </w:r>
      <w:r>
        <w:rPr>
          <w:bCs/>
          <w:b/>
        </w:rPr>
        <w:t xml:space="preserve">Что нужно:</w:t>
      </w:r>
      <w:r>
        <w:t xml:space="preserve"> </w:t>
      </w:r>
      <w:r>
        <w:t xml:space="preserve">конкретный перечень SKU (производитель, модель, тип, интерфейс, протокол, роль, нужны ли System Device Template и Visual Template, предоставляются ли образец и документация). Из исходной заготовки зацепка — семейство Mitra и приборы ДКС (DEC-031: системный каталог первого этапа — приборы ДКС).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состав таблицы — база бюджетной оценки; без неё System Library, Device Templates, Visual Templates и испытания неоценимы.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определяет объём. Ориентир для обсуждения: 5–15 SKU.</w:t>
      </w:r>
    </w:p>
    <w:bookmarkEnd w:id="20"/>
    <w:bookmarkStart w:id="21" w:name="X0cec711d092f0b991c4b63f2581c9ec5bbb6d2c"/>
    <w:p>
      <w:pPr>
        <w:pStyle w:val="Heading3"/>
      </w:pPr>
      <w:r>
        <w:t xml:space="preserve">П-2. Раздел 2.2 — выбрать конкретное MQTT-устройство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«Выбранное устройство SKU: ЗАПОЛНИТЬ».</w:t>
      </w:r>
      <w:r>
        <w:t xml:space="preserve"> </w:t>
      </w:r>
      <w:r>
        <w:rPr>
          <w:bCs/>
          <w:b/>
        </w:rPr>
        <w:t xml:space="preserve">Что нужно:</w:t>
      </w:r>
      <w:r>
        <w:t xml:space="preserve"> </w:t>
      </w:r>
      <w:r>
        <w:t xml:space="preserve">одно стороннее MQTT-устройство + пакет документации (topic structure, формат сообщения, телеметрия, команды, аутентификация/TLS, подтверждения/ошибки, примеры обмена или симулятор).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абстрактный «любой MQTT» неоценим; расширение на иные MQTT-протоколы — отдельный объём. Критерий выбора: устройство реально доступно для закупки/испытаний, желательно JSON без Protobuf (иначе Protobuf войдёт в объём, DEC-158).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определяет трудоёмкость профиля MQTT.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a3da96f80aa8176815d6ff27f62c54031bdbcf9"/>
    <w:p>
      <w:pPr>
        <w:pStyle w:val="Heading2"/>
      </w:pPr>
      <w:r>
        <w:t xml:space="preserve">Блок 1. Продуктовые решения для раздела 2 (проекты — требуют подтверждения владельца продукта)</w:t>
      </w:r>
    </w:p>
    <w:bookmarkStart w:id="23" w:name="Xe4e66e1be2da5a7c0ce35f88ec6dd288fc9a8c4"/>
    <w:p>
      <w:pPr>
        <w:pStyle w:val="Heading3"/>
      </w:pPr>
      <w:r>
        <w:t xml:space="preserve">П-3. Раздел 2.3 — подтвердить границу Gateway первой очереди</w:t>
      </w:r>
    </w:p>
    <w:p>
      <w:pPr>
        <w:pStyle w:val="FirstParagraph"/>
      </w:pPr>
      <w:r>
        <w:rPr>
          <w:bCs/>
          <w:b/>
        </w:rPr>
        <w:t xml:space="preserve">Что предлагаем:</w:t>
      </w:r>
      <w:r>
        <w:t xml:space="preserve"> </w:t>
      </w:r>
      <w:r>
        <w:t xml:space="preserve">&gt; ☒ Подтверждаю указанную границу. ☐ Изменить границу следующим образом: ___</w:t>
      </w:r>
    </w:p>
    <w:p>
      <w:pPr>
        <w:pStyle w:val="BodyText"/>
      </w:pPr>
      <w:r>
        <w:t xml:space="preserve">и добавить в раздел 9.2 одну фразу:</w:t>
      </w:r>
      <w:r>
        <w:t xml:space="preserve"> </w:t>
      </w:r>
      <w:r>
        <w:t xml:space="preserve">&gt; «Первая поставка принимается на сценарии с одним Device. Протокол Gateway↔Cloud и конфигурационная модель не должны требовать переработки при расширении до нескольких устройств на одном шлюзе; промышленная многоустройственная эксплуатация одного шлюза — отдельный объём оценки по change request.»</w:t>
      </w:r>
    </w:p>
    <w:p>
      <w:pPr>
        <w:pStyle w:val="BodyText"/>
      </w:pPr>
      <w:r>
        <w:rPr>
          <w:bCs/>
          <w:b/>
        </w:rPr>
        <w:t xml:space="preserve">Почему:</w:t>
      </w:r>
      <w:r>
        <w:t xml:space="preserve"> </w:t>
      </w:r>
      <w:r>
        <w:t xml:space="preserve">иначе «одно Device» и «архитектурная возможность расширения» читаются по-разному, и второе устройство через тот же шлюз превратится в неожиданный платный change request после оценки. Фраза не увеличивает объём, но защищает архитектурно.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нет (при подтверждении текущей границы).</w:t>
      </w:r>
    </w:p>
    <w:bookmarkEnd w:id="23"/>
    <w:bookmarkStart w:id="24" w:name="X703d25909b683674a7f4391c5848da2e662cb1a"/>
    <w:p>
      <w:pPr>
        <w:pStyle w:val="Heading3"/>
      </w:pPr>
      <w:r>
        <w:t xml:space="preserve">П-4. Раздел 2.5 и 18.5 — отчёт по наработке моточасов</w:t>
      </w:r>
    </w:p>
    <w:p>
      <w:pPr>
        <w:pStyle w:val="FirstParagraph"/>
      </w:pP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отметить</w:t>
      </w:r>
      <w:r>
        <w:t xml:space="preserve"> </w:t>
      </w:r>
      <w:r>
        <w:t xml:space="preserve">&gt; ☒ Отчёт по наработке моточасов</w:t>
      </w:r>
      <w:r>
        <w:t xml:space="preserve"> </w:t>
      </w:r>
      <w:r>
        <w:rPr>
          <w:bCs/>
          <w:b/>
        </w:rPr>
        <w:t xml:space="preserve">не входит</w:t>
      </w:r>
      <w:r>
        <w:t xml:space="preserve"> </w:t>
      </w:r>
      <w:r>
        <w:t xml:space="preserve">в первую поставку.</w:t>
      </w:r>
    </w:p>
    <w:p>
      <w:pPr>
        <w:pStyle w:val="BodyText"/>
      </w:pPr>
      <w:r>
        <w:t xml:space="preserve">В 18.5 остаются два обязательных Jasper-шаблона (потребление ресурсов за период; журнал аварий и действий персонала). Техническая возможность моточасов сохраняется без отдельной разработки: вычисляемый параметр через Automation (раздел 7.9, DEC-142) → параметр виртуального устройства → архив → типовой отчёт/CSV-экспорт.</w:t>
      </w:r>
    </w:p>
    <w:p>
      <w:pPr>
        <w:pStyle w:val="BodyText"/>
      </w:pPr>
      <w:r>
        <w:rPr>
          <w:bCs/>
          <w:b/>
        </w:rPr>
        <w:t xml:space="preserve">Почему:</w:t>
      </w:r>
      <w:r>
        <w:t xml:space="preserve"> </w:t>
      </w:r>
      <w:r>
        <w:t xml:space="preserve">DEC-151 — для универсального IIoT-продукта отчёт не обязателен; это снижает scope первой поставки. Если первые клиенты критично нуждаются в готовом шаблоне — альтернатива: включить и расписать содержание (период, группировка по Assets/оборудованию, суммарная наработка и по периодам), это добавит в бюджет шаблон и сценарии ПМИ.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снижает/не меняет при предложенном варианте; небольшое увеличение при альтернативе.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блок-2.-правки-текста-фтт"/>
    <w:p>
      <w:pPr>
        <w:pStyle w:val="Heading2"/>
      </w:pPr>
      <w:r>
        <w:t xml:space="preserve">Блок 2. Правки текста ФТТ</w:t>
      </w:r>
    </w:p>
    <w:bookmarkStart w:id="26" w:name="Xb03ad1ca741562daed6c778f2900e221b47adc7"/>
    <w:p>
      <w:pPr>
        <w:pStyle w:val="Heading3"/>
      </w:pPr>
      <w:r>
        <w:t xml:space="preserve">П-5. Весь документ — финальная вычитка (подтверждённые опечатки)</w:t>
      </w:r>
    </w:p>
    <w:p>
      <w:pPr>
        <w:pStyle w:val="FirstParagraph"/>
      </w:pPr>
      <w:r>
        <w:t xml:space="preserve">Список проверенных мест: «стандратного» (2.3), «Изенить» в поле решения владельца (2.3), «зависисмостей» (1.3), «ПОльзователем» (11.1), «конфигрурации» и «не зависимо» (5.9), «приофиля» (7.7), «лолжна» (21.2), «в рамкахдругих» и «техпроцесс процесс» (4.5); пункт после 6.6 оформлен заголовком без номера.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документ уходит на бюджетную оценку; опечатка в поле решения владельца выглядит как незаполненность.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нет.</w:t>
      </w:r>
    </w:p>
    <w:bookmarkEnd w:id="26"/>
    <w:bookmarkStart w:id="27" w:name="X7cf618f8924b5b6bd19c2de8f9cc19714b6c483"/>
    <w:p>
      <w:pPr>
        <w:pStyle w:val="Heading3"/>
      </w:pPr>
      <w:r>
        <w:t xml:space="preserve">П-6. Весь документ — маркировка обоснований решениями (DEC-xxx, P-00x)</w:t>
      </w:r>
    </w:p>
    <w:p>
      <w:pPr>
        <w:pStyle w:val="FirstParagraph"/>
      </w:pP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в конец ключевых требований — ссылки вида</w:t>
      </w:r>
      <w:r>
        <w:t xml:space="preserve"> </w:t>
      </w:r>
      <w:r>
        <w:rPr>
          <w:rStyle w:val="VerbatimChar"/>
        </w:rPr>
        <w:t xml:space="preserve">(DEC-142)</w:t>
      </w:r>
      <w:r>
        <w:t xml:space="preserve">,</w:t>
      </w:r>
      <w:r>
        <w:t xml:space="preserve"> </w:t>
      </w:r>
      <w:r>
        <w:rPr>
          <w:rStyle w:val="VerbatimChar"/>
        </w:rPr>
        <w:t xml:space="preserve">(P-003)</w:t>
      </w:r>
      <w:r>
        <w:t xml:space="preserve"> </w:t>
      </w:r>
      <w:r>
        <w:t xml:space="preserve">на журнал решений и product-inputs. Минимум — разделы 2, 4, 5, 9, 12, 19. Текст требований не переписывается.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~190 принятых решений сейчас в ФТТ не прослеживаются; любое требование можно оспорить и разбирать с нуля. Ссылки защищают принятые решения при будущих правках и ускоряют review.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нет.</w:t>
      </w:r>
    </w:p>
    <w:bookmarkEnd w:id="27"/>
    <w:bookmarkStart w:id="28" w:name="X557f02a601fe0e7420c31c2883855c09547fb14"/>
    <w:p>
      <w:pPr>
        <w:pStyle w:val="Heading3"/>
      </w:pPr>
      <w:r>
        <w:t xml:space="preserve">П-7. Разделы 19.4 / 24.6 / 3.4 — измеримое определение «одновременных интерактивных UI-пользователей»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тарифное поле «Max simultaneous interactive UI users/Space» и NFR ≥500 одновременных пользователей; механизм учёта — на ТЗ.</w:t>
      </w:r>
      <w:r>
        <w:t xml:space="preserve"> </w:t>
      </w: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минимум — в 3.4 потребовать, чтобы каждый подрядчик в допущениях оценки указал предполагаемый механизм учёта (иначе оценки несравнимы). Предпочтительно — зафиксировать продуктовое определение до оценки, напр.: «интерактивный UI-пользователь = аутентифицированная сессия web-клиента с активным соединением; лимит проверяется при установке соединения» (реализация — ТЗ).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без определения подрядчики оценят по-разному (сессии/websocket/активность за окно), спор всплывёт на приёмке.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низкое.</w:t>
      </w:r>
    </w:p>
    <w:bookmarkEnd w:id="28"/>
    <w:bookmarkStart w:id="29" w:name="X544b3b27915f4bc485b4a727843bdadc0f677f4"/>
    <w:p>
      <w:pPr>
        <w:pStyle w:val="Heading3"/>
      </w:pPr>
      <w:r>
        <w:t xml:space="preserve">П-8. Раздел 23.2 — добавить проверку alarm flood в regression suite</w:t>
      </w:r>
    </w:p>
    <w:p>
      <w:pPr>
        <w:pStyle w:val="FirstParagraph"/>
      </w:pP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в области покрытия regression suite добавить: «защита от деградации при массовом числе одновременных таймерных состояний Alarm Rules (TON/TOFF, anti-flapping): контрольный сценарий с большим числом одновременных состояний; конкретные параметры — ТЗ/sizing».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Alarm Rules работают на общем движке с Automation (11.4), но тарифную квоту экземпляров не расходуют (12.13) — корректно, однако граница по одновременным таймерным состояниям при 50 000 устройствах не проверяется ничем. Правка не меняет продуктовый объём.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нет (в пределах существующих NFR-тестов).</w:t>
      </w:r>
    </w:p>
    <w:bookmarkEnd w:id="29"/>
    <w:bookmarkStart w:id="30" w:name="X2e45bbacd0deab35d9fa034742d1d449570be4b"/>
    <w:p>
      <w:pPr>
        <w:pStyle w:val="Heading3"/>
      </w:pPr>
      <w:r>
        <w:t xml:space="preserve">П-9. Раздел 25.8 — принцип хранения Security Audit после удаления Space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аудит не удаляется при удалении Space (21.8), срок хранения — на ТЗ.</w:t>
      </w:r>
      <w:r>
        <w:t xml:space="preserve"> </w:t>
      </w: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добавить принцип: «записи аудита, относящиеся к удалённому Space, подлежат обезличиванию либо удалению по истечении retention; механизм — ТЗ». Либо явно: «аудит хранится N лет независимо от удаления Space» — тогда нужна оценка объёма.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в аудите есть персональные данные (actor, приглашения по телефону/e-mail); бесконечное хранение противоречит требованиям к ПДн, а объём хранения влияет на sizing.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низкое.</w:t>
      </w:r>
    </w:p>
    <w:bookmarkEnd w:id="30"/>
    <w:bookmarkStart w:id="31" w:name="Xd53f60f0ab28746d37dddbbfa1b484d5433810a"/>
    <w:p>
      <w:pPr>
        <w:pStyle w:val="Heading3"/>
      </w:pPr>
      <w:r>
        <w:t xml:space="preserve">П-10. Разделы 3.4 / 22.7 — сравнимость оценок маршрутизации FQDN→Space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механизм определения Space по custom FQDN до аутентификации целиком на ТЗ.</w:t>
      </w:r>
      <w:r>
        <w:t xml:space="preserve"> </w:t>
      </w: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инварианты в ФТТ сформулированы правильно (Space определяется до auth; frontend Space ID недоверен). Добавить в 3.4: «подрядчик в допущениях указывает предполагаемый механизм маршрутизации FQDN→Space и защиту от подмены tenant».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критичный multi-tenancy механизм; оценки могут разойтись от nginx-маппинга до отдельного tenant-router. Требование к допущениям делает оценки сравнимыми, реализация остаётся на ТЗ.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снижает риск разброса оценок.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e84ab9c6b3e3cee8edfb39cc788d6c2bf56f4e8"/>
    <w:p>
      <w:pPr>
        <w:pStyle w:val="Heading2"/>
      </w:pPr>
      <w:r>
        <w:t xml:space="preserve">Блок 3. Архитектура платформы (ключевое замечание v2)</w:t>
      </w:r>
    </w:p>
    <w:bookmarkStart w:id="33" w:name="Xe29a1f3bde40b5c254e310cc3dedacb0e12540a"/>
    <w:p>
      <w:pPr>
        <w:pStyle w:val="Heading3"/>
      </w:pPr>
      <w:r>
        <w:t xml:space="preserve">П-11. Платформенная независимость backend: AggreGate — допустимый вариант, а не предписание</w:t>
      </w:r>
    </w:p>
    <w:p>
      <w:pPr>
        <w:pStyle w:val="FirstParagraph"/>
      </w:pPr>
      <w:r>
        <w:rPr>
          <w:bCs/>
          <w:b/>
        </w:rPr>
        <w:t xml:space="preserve">Что сейчас.</w:t>
      </w:r>
      <w:r>
        <w:t xml:space="preserve"> </w:t>
      </w:r>
      <w:r>
        <w:t xml:space="preserve">ФТТ жёстко фиксирует серверную платформу:</w:t>
      </w:r>
      <w:r>
        <w:t xml:space="preserve"> </w:t>
      </w:r>
      <w:r>
        <w:t xml:space="preserve">- 1.3 п.1 — «Backend строится на Tibbo AggreGate Server»; 1.5 — определение «Системы» включает backend на AggreGate; то же предписание повторено в 4.4, 17.1, 24.1.</w:t>
      </w:r>
      <w:r>
        <w:t xml:space="preserve"> </w:t>
      </w:r>
      <w:r>
        <w:t xml:space="preserve">- AggreGate — обязательная часть контура поставки и результата проекта: 22.2, 27.2, 27.5, 28.2 («приложение AggreGate/low-code-компоненты» — в комплекте поставки).</w:t>
      </w:r>
      <w:r>
        <w:t xml:space="preserve"> </w:t>
      </w:r>
      <w:r>
        <w:t xml:space="preserve">- 3.2 обязывает выделить в оценке блок лицензий AggreGate; 24.1 обязывает использовать штатную кластеризацию/отказоустойчивость AggreGate и запрещает собственный failover.</w:t>
      </w:r>
      <w:r>
        <w:t xml:space="preserve"> </w:t>
      </w:r>
      <w:r>
        <w:t xml:space="preserve">- При этом baseline-версия, редакция и стоимость AggreGate намеренно не фиксируются (22.5 — «определяется в ТЗ»).</w:t>
      </w:r>
    </w:p>
    <w:p>
      <w:pPr>
        <w:pStyle w:val="BodyText"/>
      </w:pPr>
      <w:r>
        <w:rPr>
          <w:bCs/>
          <w:b/>
        </w:rPr>
        <w:t xml:space="preserve">Что не устраивает.</w:t>
      </w:r>
      <w:r>
        <w:t xml:space="preserve"> </w:t>
      </w:r>
      <w:r>
        <w:t xml:space="preserve">1. Смета жёстко привязана к платформе, версия и стоимость которой намеренно не определены: кластерная лицензия под 50 000+ устройств, HA и 500 пользователей (24.6) может стать доминирующей и неконтролируемой статьёй TCO.</w:t>
      </w:r>
      <w:r>
        <w:t xml:space="preserve"> </w:t>
      </w:r>
      <w:r>
        <w:t xml:space="preserve">2. Исключается конкуренция подрядчиков и вариант разработки backend на собственной серверной платформе Заказчика.</w:t>
      </w:r>
      <w:r>
        <w:t xml:space="preserve"> </w:t>
      </w:r>
      <w:r>
        <w:t xml:space="preserve">3. Vendor lock-in: продуктовая функциональность описана через механизмы одного вендора; регрессионные требования (23.4, 29.4) привязаны к чужому циклу релизов.</w:t>
      </w:r>
    </w:p>
    <w:p>
      <w:pPr>
        <w:pStyle w:val="BodyText"/>
      </w:pPr>
      <w:r>
        <w:rPr>
          <w:bCs/>
          <w:b/>
        </w:rPr>
        <w:t xml:space="preserve">Что предлагаем.</w:t>
      </w:r>
      <w:r>
        <w:t xml:space="preserve"> </w:t>
      </w:r>
      <w:r>
        <w:t xml:space="preserve">1. Платформенно-нейтральная формулировка: «серверная часть RatioT.Cloud реализуется по одному из допустимых вариантов:</w:t>
      </w:r>
      <w:r>
        <w:t xml:space="preserve"> </w:t>
      </w:r>
      <w:r>
        <w:rPr>
          <w:bCs/>
          <w:b/>
        </w:rPr>
        <w:t xml:space="preserve">(А)</w:t>
      </w:r>
      <w:r>
        <w:t xml:space="preserve"> </w:t>
      </w:r>
      <w:r>
        <w:t xml:space="preserve">собственная серверная платформа, разработка с нуля;</w:t>
      </w:r>
      <w:r>
        <w:t xml:space="preserve"> </w:t>
      </w:r>
      <w:r>
        <w:rPr>
          <w:bCs/>
          <w:b/>
        </w:rPr>
        <w:t xml:space="preserve">(Б)</w:t>
      </w:r>
      <w:r>
        <w:t xml:space="preserve"> </w:t>
      </w:r>
      <w:r>
        <w:t xml:space="preserve">платформа Tibbo AggreGate Server». Продуктовая функциональность (разделы 5–21) не меняется ни в одном варианте.</w:t>
      </w:r>
      <w:r>
        <w:t xml:space="preserve"> </w:t>
      </w:r>
      <w:r>
        <w:t xml:space="preserve">2. Формулировки «штатные механизмы AggreGate» заменяются на «штатные механизмы выбранной серверной платформы». Места правки: 1.3 п.5, 4.2, 5.9, 10.5, 10.6, 15.2, 18.1, 22.2, 24.1–24.4, 25.1, 25.2, 25.7, 25.10, 26.1–26.2, 27.2.</w:t>
      </w:r>
      <w:r>
        <w:t xml:space="preserve"> </w:t>
      </w:r>
      <w:r>
        <w:t xml:space="preserve">3. В раздел 3 добавить требование: подрядчик представляет</w:t>
      </w:r>
      <w:r>
        <w:t xml:space="preserve"> </w:t>
      </w:r>
      <w:r>
        <w:rPr>
          <w:bCs/>
          <w:b/>
        </w:rPr>
        <w:t xml:space="preserve">раздельную бюджетную оценку вариантов А и Б</w:t>
      </w:r>
      <w:r>
        <w:t xml:space="preserve"> </w:t>
      </w:r>
      <w:r>
        <w:t xml:space="preserve">с обоснованием рекомендуемого выбора: TCO на 3–5 лет (для варианта Б — лицензии AggreGate отдельной строкой), риски, требования к команде, оценка зависимости от вендора. Выбранный вариант фиксируется Заказчиком до разработки ТЗ.</w:t>
      </w:r>
      <w:r>
        <w:t xml:space="preserve"> </w:t>
      </w:r>
      <w:r>
        <w:t xml:space="preserve">4. Блок 3.2 (оценка лицензий AggreGate) становится обязательным только для варианта Б; для варианта А действует общий принцип 3.3 (коммерческие компоненты отдельными строками с обоснованием).</w:t>
      </w:r>
      <w:r>
        <w:t xml:space="preserve"> </w:t>
      </w:r>
      <w:r>
        <w:t xml:space="preserve">5. Требования кластеризации/HA (24.1–24.4) формулируются через обязательные свойства — отказоустойчивость, отсутствие очевидных SPOF, распределение Space по узлам при единой логической системе — с приоритетом штатных механизмов</w:t>
      </w:r>
      <w:r>
        <w:t xml:space="preserve"> </w:t>
      </w:r>
      <w:r>
        <w:rPr>
          <w:bCs/>
          <w:b/>
        </w:rPr>
        <w:t xml:space="preserve">выбранной</w:t>
      </w:r>
      <w:r>
        <w:t xml:space="preserve"> </w:t>
      </w:r>
      <w:r>
        <w:t xml:space="preserve">платформы; абсолютный запрет собственного failover заменяется требованием обоснования.</w:t>
      </w:r>
      <w:r>
        <w:t xml:space="preserve"> </w:t>
      </w:r>
      <w:r>
        <w:t xml:space="preserve">6. Политика версий (22.5, 23.4, 29.4) формулируется нейтрально: «обновления серверной платформы не должны блокировать выпуски RatioT.Cloud; baseline и порядок обновлений — ТЗ».</w:t>
      </w:r>
    </w:p>
    <w:p>
      <w:pPr>
        <w:pStyle w:val="BodyText"/>
      </w:pPr>
      <w:r>
        <w:rPr>
          <w:bCs/>
          <w:b/>
        </w:rPr>
        <w:t xml:space="preserve">Почему важно:</w:t>
      </w:r>
      <w:r>
        <w:t xml:space="preserve"> </w:t>
      </w:r>
      <w:r>
        <w:t xml:space="preserve">продуктовый объём не меняется, но открывается конкуренция вариантов реализации и появляется контроль TCO; снимается зависимость сметы от нефиксированной версии вендорской платформы.</w:t>
      </w:r>
      <w:r>
        <w:t xml:space="preserve"> </w:t>
      </w:r>
      <w:r>
        <w:rPr>
          <w:bCs/>
          <w:b/>
        </w:rPr>
        <w:t xml:space="preserve">Что ещё затрагивает:</w:t>
      </w:r>
      <w:r>
        <w:t xml:space="preserve"> </w:t>
      </w:r>
      <w:r>
        <w:t xml:space="preserve">при принятии — пересмотр решений DEC-021, DEC-105, DEC-106, DEC-115, DEC-120 и соответствующих пунктов системного портрета; перечитываются разделы 14 (autotests), 16 (SuperAdmin/IAM), 20 (этапы) после правки формулировок.</w:t>
      </w:r>
      <w:r>
        <w:t xml:space="preserve"> </w:t>
      </w:r>
      <w:r>
        <w:rPr>
          <w:bCs/>
          <w:b/>
        </w:rPr>
        <w:t xml:space="preserve">Влияние на бюджетную оценку:</w:t>
      </w:r>
      <w:r>
        <w:t xml:space="preserve"> </w:t>
      </w:r>
      <w:r>
        <w:t xml:space="preserve">меняется структура сметы (два варианта backend); продуктовый объём — нет.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X43796fe8fe9cd3acf3ffce8e8d828b84a283b13"/>
    <w:p>
      <w:pPr>
        <w:pStyle w:val="Heading2"/>
      </w:pPr>
      <w:r>
        <w:t xml:space="preserve">Блок 4. Внешние зависимости, противоречия и уточнения (вторая волна, v2)</w:t>
      </w:r>
    </w:p>
    <w:bookmarkStart w:id="35" w:name="Xa8c803857b2b01550452e5a48ca0d9faaaa2c50"/>
    <w:p>
      <w:pPr>
        <w:pStyle w:val="Heading3"/>
      </w:pPr>
      <w:r>
        <w:t xml:space="preserve">П-12. Каналы уведомлений: внешние зависимости и стоимость не закреплены (11.7, 19.5, 20.7, 3.3/3.4)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Web/in-app, Web Push, E-mail, Telegram и SMS — обязательные каналы первой версии (11.7, 19.5). Провайдеры не определены: чей Telegram-бот и где он хостится, какой SMTP-сервис используется, через какой SMS-шлюз (платная внешняя зависимость) идёт отправка, какие требования к Web Push (VAPID, управление подписками). Раздел 20.7 описывает SMS-провайдера только для On-Premise; SaaS-контур никем не закреплён.</w:t>
      </w:r>
      <w:r>
        <w:t xml:space="preserve"> </w:t>
      </w:r>
      <w:r>
        <w:rPr>
          <w:bCs/>
          <w:b/>
        </w:rPr>
        <w:t xml:space="preserve">Что предлагаем:</w:t>
      </w:r>
      <w:r>
        <w:t xml:space="preserve"> </w:t>
      </w:r>
      <w:r>
        <w:t xml:space="preserve">(1) в 3.4 — подрядчик в допущениях указывает внешние сервисы доставки по каждому каналу и их эксплуатационную стоимость; (2) в 19.5 — принцип: «интеграция с провайдерами доставки реализуется через адаптер; замена провайдера SMS/SMTP/Telegram не требует изменения Event/Alarm-логики и маршрутизации» (по аналогии с уже принятым принципом для MAX, DEC-140); (3) зафиксировать, что для SaaS-контура корпоративные SMTP/SMS-шлюзы предоставляет Заказчик/ДИТ, а внешний SMS-агрегатор — отдельной строкой оценки и эксплуатационных расходов.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сейчас каждый подрядчик оценит по-своему (покупной агрегатор против корпоративного шлюза), а эксплуатационная стоимость SMS для Заказчика не прозрачна.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снижает разброс оценок; делает видимой эксплуатационную стоимость SMS.</w:t>
      </w:r>
    </w:p>
    <w:bookmarkEnd w:id="35"/>
    <w:bookmarkStart w:id="36" w:name="Xd86c82e213c9ffcbc08fe12500f9712b6c26f6c"/>
    <w:p>
      <w:pPr>
        <w:pStyle w:val="Heading3"/>
      </w:pPr>
      <w:r>
        <w:t xml:space="preserve">П-13. Целевая ёмкость Space (5000 параметров) против тарифных лимитов (10.7, 19.4, 2.6)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«не менее 5000 Parameters на одно Пространство как минимальную целевую ёмкость» при тарифном поле</w:t>
      </w:r>
      <w:r>
        <w:t xml:space="preserve"> </w:t>
      </w:r>
      <w:r>
        <w:rPr>
          <w:rStyle w:val="VerbatimChar"/>
        </w:rPr>
        <w:t xml:space="preserve">Max Parameters per Space</w:t>
      </w:r>
      <w:r>
        <w:t xml:space="preserve"> </w:t>
      </w:r>
      <w:r>
        <w:t xml:space="preserve">и иллюстративной сетке 100/500/2000/5000+.</w:t>
      </w:r>
      <w:r>
        <w:t xml:space="preserve"> </w:t>
      </w: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переформулировать: «архитектура должна обеспечивать ёмкость до 5000 параметров на Space; фактический лимит задаётся тарифом (поле</w:t>
      </w:r>
      <w:r>
        <w:t xml:space="preserve"> </w:t>
      </w:r>
      <w:r>
        <w:rPr>
          <w:rStyle w:val="VerbatimChar"/>
        </w:rPr>
        <w:t xml:space="preserve">Max Parameters per Space</w:t>
      </w:r>
      <w:r>
        <w:t xml:space="preserve">)». Слово «минимальную» убрать.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«минимальная ёмкость 5000» читается как гарантия для любого тарифа — низкие тарифы становятся невозможны, а подрядчик заложит архитектуру под максимум.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без правки — завышение; после правки — нейтрально.</w:t>
      </w:r>
    </w:p>
    <w:bookmarkEnd w:id="36"/>
    <w:bookmarkStart w:id="37" w:name="Xcd8590b3266d8b6d67717a5f0aa2f7b48b137ce"/>
    <w:p>
      <w:pPr>
        <w:pStyle w:val="Heading3"/>
      </w:pPr>
      <w:r>
        <w:t xml:space="preserve">П-14. «Шлюз» как источник Событий противоречит составу протокола Gateway↔Cloud (11.1, раздел 9)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раздел 11.1 перечисляет среди источников Event «Шлюз», но функции агента и внутренний протокол Gateway↔Cloud (раздел 9) передают только телеметрию, команды и конфигурацию — передачи событий там нет.</w:t>
      </w:r>
      <w:r>
        <w:t xml:space="preserve"> </w:t>
      </w: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выбрать одно: (а) убрать «Шлюз» из перечня источников Event; либо (б) добавить в протокол Gateway↔Cloud передачу событий/ошибок шлюза (это расширение объёма оценки — тогда явно).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иначе подрядчики по-разному включат или не включат этот объём, а на приёмке появится спор.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низкое (вариант а) / небольшое увеличение (вариант б).</w:t>
      </w:r>
    </w:p>
    <w:bookmarkEnd w:id="37"/>
    <w:bookmarkStart w:id="38" w:name="Xb1b1ee94430ca41cad524a7166bd5dee56defd2"/>
    <w:p>
      <w:pPr>
        <w:pStyle w:val="Heading3"/>
      </w:pPr>
      <w:r>
        <w:t xml:space="preserve">П-15. Состав ежедневного backup, retention и RPO не определены (21.1–21.2, 24.9)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21.1 требует «полное резервное копирование эксплуатационного состояния инсталляции», 21.2 — «не требуется ежедневный полный дамп всей телеметрии». Что именно входит в ежедневный автоматический backup — не сказано. Retention копий, off-node/off-site размещение, шифрование не заданы. Целевой RPO в ФТТ отсутствует (24.9 прямо не задаёт SLA/RTO/RPO, а 29.2 требует HA-сценарии в ПМИ — проверять нечему).</w:t>
      </w:r>
      <w:r>
        <w:t xml:space="preserve"> </w:t>
      </w: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определить: ежедневный backup включает конфигурацию всех Space и БД приложения без сырых телеметрических массивов (стратегия телеметрии — DB-native, выбор подрядчика); retention и off-node копия — ТЗ; целевой RPO (ориентир ≤ 24 ч) согласуется в ТЗ до ПСИ №1 и попадает в ПМИ.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подрядчик может понять от «ежедневного backup конфигурации» до «backup всей БД» — разброс оценок кратный; у Заказчика скрытый риск потери до суток телеметрии.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среднее (сопоставляет оценки), снимает спор на приёмке.</w:t>
      </w:r>
    </w:p>
    <w:bookmarkEnd w:id="38"/>
    <w:bookmarkStart w:id="39" w:name="Xa836e5e09a128494653dba91ae6ffd9917d9c4a"/>
    <w:p>
      <w:pPr>
        <w:pStyle w:val="Heading3"/>
      </w:pPr>
      <w:r>
        <w:t xml:space="preserve">П-16. Ответственность за альбом UX/UI в Figma не зафиксирована (13.5, 28.6, 3.1)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13.5 — альбом «должен быть спроектирован в рамках отдельного этапа ТЗ+UX/UI»; 28.6 — Figma «входит в поставку» и «достаточна для разработки frontend без самостоятельного додумывания UI». Кто производит альбом — прямо не сказано.</w:t>
      </w:r>
      <w:r>
        <w:t xml:space="preserve"> </w:t>
      </w: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зафиксировать дословно: «альбом UX/UI (desktop + mobile) разрабатывается подрядчиком в составе этапа ТЗ+UX/UI (блок 3 оценки по 3.1) и передаётся в Figma как часть комплекта поставки».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если прочитать как вход от Заказчика — подрядчик не заложит в смету огромный объём; если как его работу — наоборот. Разброс смет кратный.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определяет принадлежность крупного блока оценки.</w:t>
      </w:r>
    </w:p>
    <w:bookmarkEnd w:id="39"/>
    <w:bookmarkStart w:id="40" w:name="Xcbea7f0268081fac94468213d160c8386907961"/>
    <w:p>
      <w:pPr>
        <w:pStyle w:val="Heading3"/>
      </w:pPr>
      <w:r>
        <w:t xml:space="preserve">П-17. Критерий «совместимая On-Premise инсталляция» для переноса Space не определён (21.5)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перенос Space «SaaS → совместимый On-Premise» — целевой сценарий (21.5), но критерий совместимости нигде не определён, при этом модели SaaS (тарифы, глобальные учётки) и On-Premise (три installation-wide лимита: Spaces/Devices/Parameters) принципиально различаются.</w:t>
      </w:r>
      <w:r>
        <w:t xml:space="preserve"> </w:t>
      </w: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добавить определение: «совместимая инсталляция — та же major-версия RatioT.Cloud; переносится конфигурационный пакет Space (21.3) со всеми смысловыми ID; тарифные ограничения SaaS не переносятся и заменяются лимитами лицензии On-Premise; несовместимые ссылочные сущности (пользователи) пересоздаются мастером импорта по правилам 21.3».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иначе «перенос Space» может быть оценён от копирования конфига до полноценного транслятора моделей.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сопоставляет оценки.</w:t>
      </w:r>
    </w:p>
    <w:bookmarkEnd w:id="40"/>
    <w:bookmarkStart w:id="41" w:name="Xbee71c28ec8cd92bcfe174f0df55e1af477cf81"/>
    <w:p>
      <w:pPr>
        <w:pStyle w:val="Heading3"/>
      </w:pPr>
      <w:r>
        <w:t xml:space="preserve">П-18. Проверяемость NFR и критерии приёмки HA (24.6, 24.9, 29.2)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числа NFR (1.5 с; ≥500 одновременных UI-пользователей; 50 000+ Devices; 5000 параметров/Space; архив до 1 с) заявлены как «целевые ориентиры», а профиль нагрузки и методика — на ТЗ. ПМИ обязана включать HA-отказные сценарии, но SLA/RTO/RPO не заданы.</w:t>
      </w:r>
      <w:r>
        <w:t xml:space="preserve"> </w:t>
      </w:r>
      <w:r>
        <w:rPr>
          <w:bCs/>
          <w:b/>
        </w:rPr>
        <w:t xml:space="preserve">Что предлагаем:</w:t>
      </w:r>
      <w:r>
        <w:t xml:space="preserve"> </w:t>
      </w:r>
      <w:r>
        <w:t xml:space="preserve">(1) зафиксировать принцип: каждое число раздела 24.6 проверяется нагрузочным/функциональным тестом согласованного профиля и имеет критерий приёмки в ПМИ; (2) RTO/RPO и допустимые режимы отказа узла согласуются в ТЗ до ПСИ №1 и попадают в ПМИ.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«ориентиры без критерия приёмки» — классический конфликт на приёмке: подрядчик минимизирует профиль, Заказчик читает числа как обязательство.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низкое–среднее; главное — снимает спор на приёмке.</w:t>
      </w:r>
    </w:p>
    <w:bookmarkEnd w:id="41"/>
    <w:bookmarkStart w:id="42" w:name="X4961365cdfbe8768545c1591f88a35fbffcca0e"/>
    <w:p>
      <w:pPr>
        <w:pStyle w:val="Heading3"/>
      </w:pPr>
      <w:r>
        <w:t xml:space="preserve">П-19. Сервисный вход SuperAdmin: уведомление владельца Space (16.3, 25.8)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SuperAdmin имеет audited service access в любой Space без приглашения; аудит фиксирует вход и действия. Требования уведомлять владельца Space о сервисном входе нет.</w:t>
      </w:r>
      <w:r>
        <w:t xml:space="preserve"> </w:t>
      </w: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добавить: «о факте сервисного входа SuperAdmin владелец Space получает уведомление (in-app и/или e-mail); механизм — ТЗ».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для мультиарендного продукта прозрачность сервисного доступа — стандартное ожидание клиентов; реализация стоит почти ничего.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низкое.</w:t>
      </w:r>
    </w:p>
    <w:bookmarkEnd w:id="42"/>
    <w:bookmarkStart w:id="43" w:name="X64306a0fd8ef77bd10aa9f42f53d67b534b7156"/>
    <w:p>
      <w:pPr>
        <w:pStyle w:val="Heading3"/>
      </w:pPr>
      <w:r>
        <w:t xml:space="preserve">П-20. Неудаляемая системная учётка admin: первичная смена пароля и контроль использования (16.1, 25.12)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системный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с привилегией SuperAdmin неудаляем (16.1); при этом 25.12 не задаёт ни обязательной смены первичного пароля, ни отдельного контроля использования admin.</w:t>
      </w:r>
      <w:r>
        <w:t xml:space="preserve"> </w:t>
      </w: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добавить: «первый вход в системную учётку admin требует обязательной смены пароля; использование admin вне процедур первичной настройки фиксируется отдельным оповещением пользователей с привилегией SuperAdmin».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break-glass учётка с неизменённым паролем — стандартный риск безопасности; второй механизм break-glass (SuperAdmin-привилегия обычного аккаунта) уже описан в 16.3, поэтому admin не должен оставаться «тихим».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низкое.</w:t>
      </w:r>
    </w:p>
    <w:bookmarkEnd w:id="43"/>
    <w:bookmarkStart w:id="44" w:name="X5c86409282cbb4b560ee684d72f12975f724101"/>
    <w:p>
      <w:pPr>
        <w:pStyle w:val="Heading3"/>
      </w:pPr>
      <w:r>
        <w:t xml:space="preserve">П-21. Мелкие нестыковки и терминология (вычитка второй волны)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2.3</w:t>
      </w:r>
      <w:r>
        <w:t xml:space="preserve"> </w:t>
      </w:r>
      <w:r>
        <w:t xml:space="preserve">— пункт «внутренний MQTT/TLS-протокол Gateway↔Cloud» продублирован дважды подряд; убрать дубль.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Раздел 11 (severity)</w:t>
      </w:r>
      <w:r>
        <w:t xml:space="preserve"> </w:t>
      </w:r>
      <w:r>
        <w:t xml:space="preserve">— уровень важности «Авария» совпадает с именем сущности Alarm/Авария; в API и локализации станет неразличимо. Переименовать уровень (например, «Критическая авария» /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18.1</w:t>
      </w:r>
      <w:r>
        <w:t xml:space="preserve"> </w:t>
      </w:r>
      <w:r>
        <w:t xml:space="preserve">— «предоставляемые Aggregate средства» (опечатка) + JasperReports задан как обязательная технология отчётности. JasperReports Server — коммерческий продукт: либо добавить его лицензии в 3.3/3.4, либо прямо в 18.1 напомнить принцип 3.3 (допускается аналог с обоснованием).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7.8 / 8.8</w:t>
      </w:r>
      <w:r>
        <w:t xml:space="preserve"> </w:t>
      </w:r>
      <w:r>
        <w:t xml:space="preserve">— Internal Space Store описан дважды с разными акцентами; виртуальное устройство называется то «Virtual Device», то «виртуальное устройство</w:t>
      </w:r>
      <w:r>
        <w:t xml:space="preserve"> </w:t>
      </w:r>
      <w:r>
        <w:t xml:space="preserve">“</w:t>
      </w:r>
      <w:r>
        <w:t xml:space="preserve">Переменные пространства</w:t>
      </w:r>
      <w:r>
        <w:t xml:space="preserve">”</w:t>
      </w:r>
      <w:r>
        <w:t xml:space="preserve">», то «Virtual/Internal Device». Привести к одному термину (предложение: «Внутреннее устройство Space (Internal Space Store)»), определение дать один раз.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7.6</w:t>
      </w:r>
      <w:r>
        <w:t xml:space="preserve"> </w:t>
      </w:r>
      <w:r>
        <w:t xml:space="preserve">— массовое создание Devices «в документированном формате, как минимум через CSV»: кто и когда документирует формат — не сказано. Добавить: «формат фиксируется в документации поставки (API/экспорт)».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11.11 / 19.7</w:t>
      </w:r>
      <w:r>
        <w:t xml:space="preserve"> </w:t>
      </w:r>
      <w:r>
        <w:t xml:space="preserve">— поведение при снижении retention журнала Event/Alarm не описано (для архива телеметрии — описано через Restricted); добавить аналогичный принцип или явную ссылку на 19.7.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18.5</w:t>
      </w:r>
      <w:r>
        <w:t xml:space="preserve"> </w:t>
      </w:r>
      <w:r>
        <w:t xml:space="preserve">— «отчёт по потреблению ресурсов за период»: ресурсов чего — не определено (электроэнергия/тепло/вода по параметрам учёта? SMS?). Расшифровать состав, иначе шаблон неоценим.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19.4</w:t>
      </w:r>
      <w:r>
        <w:t xml:space="preserve"> </w:t>
      </w:r>
      <w:r>
        <w:t xml:space="preserve">— взаимодействие полей</w:t>
      </w:r>
      <w:r>
        <w:t xml:space="preserve"> </w:t>
      </w:r>
      <w:r>
        <w:rPr>
          <w:rStyle w:val="VerbatimChar"/>
        </w:rPr>
        <w:t xml:space="preserve">Max owned Spaces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Max client Spaces</w:t>
      </w:r>
      <w:r>
        <w:t xml:space="preserve"> </w:t>
      </w:r>
      <w:r>
        <w:t xml:space="preserve">у интегратора-владельца не описано (одно считает принадлежность, другое — делегированные Space клиентов; предположительно независимы — зафиксировать).</w:t>
      </w:r>
    </w:p>
    <w:p>
      <w:pPr>
        <w:numPr>
          <w:ilvl w:val="0"/>
          <w:numId w:val="1001"/>
        </w:numPr>
        <w:pStyle w:val="Compact"/>
      </w:pPr>
      <w:r>
        <w:t xml:space="preserve">Опечатки и артефакты конвертации второй волны (дополнить П-5): «Польщователь» (19.2), «лолжна» (21.2), «соз</w:t>
      </w:r>
      <w:r>
        <w:rPr>
          <w:rStyle w:val="VerbatimChar"/>
        </w:rPr>
        <w:t xml:space="preserve">данное» (19), «rollbac</w:t>
      </w:r>
      <w:r>
        <w:t xml:space="preserve">k» (29), склеенные маркеры (7.8), артефакты вида</w:t>
      </w:r>
      <w:r>
        <w:t xml:space="preserve"> </w:t>
      </w:r>
      <w:r>
        <w:rPr>
          <w:rStyle w:val="VerbatimChar"/>
        </w:rPr>
        <w:t xml:space="preserve">`Gateway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RatioT`.</w:t>
      </w:r>
      <w:r>
        <w:t xml:space="preserve">Cloud` `` (2.2, 7.8, 8.8, 12, 13), «стандартратного» (2.3).</w:t>
      </w:r>
    </w:p>
    <w:p>
      <w:pPr>
        <w:pStyle w:val="FirstParagraph"/>
      </w:pPr>
      <w:r>
        <w:rPr>
          <w:bCs/>
          <w:b/>
        </w:rPr>
        <w:t xml:space="preserve">Почему:</w:t>
      </w:r>
      <w:r>
        <w:t xml:space="preserve"> </w:t>
      </w:r>
      <w:r>
        <w:t xml:space="preserve">документ уходит внешнему подрядчику; терминологические двойники прямо порождают разные трактовки в ТЗ и разные оценки.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нет (кроме п.3 — видимость лицензионной стоимости Jasper).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итого-v1-v2"/>
    <w:p>
      <w:pPr>
        <w:pStyle w:val="Heading2"/>
      </w:pPr>
      <w:r>
        <w:t xml:space="preserve">Итого (v1 + v2)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Блокеры до оценки (нужны данные владельца продукта):</w:t>
      </w:r>
      <w:r>
        <w:t xml:space="preserve"> </w:t>
      </w:r>
      <w:r>
        <w:t xml:space="preserve">П-1 (SKU), П-2 (MQTT-устройство), подтверждение П-3 и П-4.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Архитектурное решение до передачи подрядчику:</w:t>
      </w:r>
      <w:r>
        <w:t xml:space="preserve"> </w:t>
      </w:r>
      <w:r>
        <w:t xml:space="preserve">П-11 (платформенная независимость backend; при принятии — пересмотр DEC-021, DEC-105, DEC-106, DEC-115, DEC-120).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Внешние зависимости и сопоставимость оценок:</w:t>
      </w:r>
      <w:r>
        <w:t xml:space="preserve"> </w:t>
      </w:r>
      <w:r>
        <w:t xml:space="preserve">П-12, П-15, П-16, П-17, П-18 (в дополнение к П-7, П-9, П-10 из v1).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Устранение противоречий:</w:t>
      </w:r>
      <w:r>
        <w:t xml:space="preserve"> </w:t>
      </w:r>
      <w:r>
        <w:t xml:space="preserve">П-13, П-14.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Правки текста и вычитка:</w:t>
      </w:r>
      <w:r>
        <w:t xml:space="preserve"> </w:t>
      </w:r>
      <w:r>
        <w:t xml:space="preserve">П-5 (дополнен п.9 П-21), П-6, П-8, П-19, П-20, П-21.</w:t>
      </w:r>
    </w:p>
    <w:p>
      <w:pPr>
        <w:numPr>
          <w:ilvl w:val="0"/>
          <w:numId w:val="1002"/>
        </w:numPr>
        <w:pStyle w:val="Compact"/>
      </w:pPr>
      <w:r>
        <w:t xml:space="preserve">Продуктовый объём предложенные правки не увеличивают; П-4 при альтернативе добавляет один Jasper-шаблон; П-11 меняет структуру сметы (два варианта backend), но не продуктовый scope.</w:t>
      </w:r>
    </w:p>
    <w:p>
      <w:pPr>
        <w:pStyle w:val="FirstParagraph"/>
      </w:pPr>
      <w:r>
        <w:t xml:space="preserve">Противоречий с продуктовым baseline (Space=tenant, Asset-модель, Gateway first-wave, effective access = entitlement AND RBAC, вычисляемые параметры через Automation) в ходе ревью не выявлено. Предписание «backend на AggreGate» как единственно допустимого варианта оспорено отдельной позицией П-11.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2026-09-18T13:00:42Z</dcterms:created>
  <dcterms:modified xsi:type="dcterms:W3CDTF">2026-09-18T13:00:42Z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