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efb6a810e9d03e4a2f473e4e1ce811eeb927d1"/>
    <w:p>
      <w:pPr>
        <w:pStyle w:val="Heading1"/>
      </w:pPr>
      <w:r>
        <w:t xml:space="preserve">Протокол разногласий и предлагаемых правок к ФТТ RatioT.Cloud</w:t>
      </w:r>
    </w:p>
    <w:p>
      <w:pPr>
        <w:pStyle w:val="FirstParagraph"/>
      </w:pPr>
      <w:r>
        <w:rPr>
          <w:bCs/>
          <w:b/>
        </w:rPr>
        <w:t xml:space="preserve">Объект:</w:t>
      </w:r>
      <w:r>
        <w:t xml:space="preserve"> </w:t>
      </w:r>
      <w:r>
        <w:t xml:space="preserve">RatioT.Cloud_FTT.docx, редакция v004 от 14.09.2026</w:t>
      </w:r>
      <w:r>
        <w:t xml:space="preserve"> </w:t>
      </w:r>
      <w:r>
        <w:rPr>
          <w:bCs/>
          <w:b/>
        </w:rPr>
        <w:t xml:space="preserve">Автор ФТТ (заказчик):</w:t>
      </w:r>
      <w:r>
        <w:t xml:space="preserve"> </w:t>
      </w:r>
      <w:r>
        <w:t xml:space="preserve">владелец ФТТ RatioT.Cloud</w:t>
      </w:r>
      <w:r>
        <w:t xml:space="preserve"> </w:t>
      </w:r>
      <w:r>
        <w:rPr>
          <w:bCs/>
          <w:b/>
        </w:rPr>
        <w:t xml:space="preserve">Подготовили:</w:t>
      </w:r>
      <w:r>
        <w:t xml:space="preserve"> </w:t>
      </w:r>
      <w:r>
        <w:t xml:space="preserve">Андрей Ефремцев (delivery), Марко Петрович (product) — позиции согласуются, аналитическая подготовка: Kimi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15.09.2026</w:t>
      </w:r>
      <w:r>
        <w:t xml:space="preserve"> </w:t>
      </w:r>
      <w:r>
        <w:rPr>
          <w:bCs/>
          <w:b/>
        </w:rPr>
        <w:t xml:space="preserve">Статус:</w:t>
      </w:r>
      <w:r>
        <w:t xml:space="preserve"> </w:t>
      </w:r>
      <w:r>
        <w:t xml:space="preserve">на согласовании с автором ФТТ. Основной документ не изменялся; все правки предлагаются здесь, одним перечнем.</w:t>
      </w:r>
    </w:p>
    <w:p>
      <w:pPr>
        <w:pStyle w:val="BodyText"/>
      </w:pPr>
      <w:r>
        <w:t xml:space="preserve">Каждая позиция: где в ФТТ → что сейчас → что предлагаем (готовый текст, где возможно) → почему → влияние на бюджетную оценку.</w:t>
      </w:r>
    </w:p>
    <w:p>
      <w:r>
        <w:pict>
          <v:rect style="width:0;height:1.5pt" o:hralign="center" o:hrstd="t" o:hr="t"/>
        </w:pict>
      </w:r>
    </w:p>
    <w:bookmarkStart w:id="22" w:name="X624f4b1e87dd628ae1770f3c395d4c7b863eccb"/>
    <w:p>
      <w:pPr>
        <w:pStyle w:val="Heading2"/>
      </w:pPr>
      <w:r>
        <w:t xml:space="preserve">Блок 0. Блокеры: без этого оценка подрядчика неоднозначна</w:t>
      </w:r>
    </w:p>
    <w:bookmarkStart w:id="20" w:name="X8c38551ec6b0701fb6629a6bd78986466afdffe"/>
    <w:p>
      <w:pPr>
        <w:pStyle w:val="Heading3"/>
      </w:pPr>
      <w:r>
        <w:t xml:space="preserve">П-1. Раздел 2.1 — заполнить таблицу оборудования первой очереди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таблица состоит из строк «ЗАПОЛНИТЬ».</w:t>
      </w:r>
      <w:r>
        <w:t xml:space="preserve"> </w:t>
      </w:r>
      <w:r>
        <w:rPr>
          <w:bCs/>
          <w:b/>
        </w:rPr>
        <w:t xml:space="preserve">Что нужно:</w:t>
      </w:r>
      <w:r>
        <w:t xml:space="preserve"> </w:t>
      </w:r>
      <w:r>
        <w:t xml:space="preserve">конкретный перечень SKU (производитель, модель, тип, интерфейс, протокол, роль, нужны ли System Device Template и Visual Template, предоставляются ли образец и документация). Из исходной заготовки зацепка — семейство Mitra и приборы ДКС (DEC-031: системный каталог первого этапа — приборы ДКС).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состав таблицы — база бюджетной оценки; без неё System Library, Device Templates, Visual Templates и испытания неоценимы.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определяет объём. Ориентир для обсуждения: 5–15 SKU.</w:t>
      </w:r>
    </w:p>
    <w:bookmarkEnd w:id="20"/>
    <w:bookmarkStart w:id="21" w:name="X0cec711d092f0b991c4b63f2581c9ec5bbb6d2c"/>
    <w:p>
      <w:pPr>
        <w:pStyle w:val="Heading3"/>
      </w:pPr>
      <w:r>
        <w:t xml:space="preserve">П-2. Раздел 2.2 — выбрать конкретное MQTT-устройство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«Выбранное устройство SKU: ЗАПОЛНИТЬ».</w:t>
      </w:r>
      <w:r>
        <w:t xml:space="preserve"> </w:t>
      </w:r>
      <w:r>
        <w:rPr>
          <w:bCs/>
          <w:b/>
        </w:rPr>
        <w:t xml:space="preserve">Что нужно:</w:t>
      </w:r>
      <w:r>
        <w:t xml:space="preserve"> </w:t>
      </w:r>
      <w:r>
        <w:t xml:space="preserve">одно стороннее MQTT-устройство + пакет документации (topic structure, формат сообщения, телеметрия, команды, аутентификация/TLS, подтверждения/ошибки, примеры обмена или симулятор).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абстрактный «любой MQTT» неоценим; расширение на иные MQTT-протоколы — отдельный объём. Критерий выбора: устройство реально доступно для закупки/испытаний, желательно JSON без Protobuf (иначе Protobuf войдёт в объём, DEC-158).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определяет трудоёмкость профиля MQTT.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a3da96f80aa8176815d6ff27f62c54031bdbcf9"/>
    <w:p>
      <w:pPr>
        <w:pStyle w:val="Heading2"/>
      </w:pPr>
      <w:r>
        <w:t xml:space="preserve">Блок 1. Продуктовые решения для раздела 2 (проекты — требуют подтверждения владельца продукта)</w:t>
      </w:r>
    </w:p>
    <w:bookmarkStart w:id="23" w:name="Xe4e66e1be2da5a7c0ce35f88ec6dd288fc9a8c4"/>
    <w:p>
      <w:pPr>
        <w:pStyle w:val="Heading3"/>
      </w:pPr>
      <w:r>
        <w:t xml:space="preserve">П-3. Раздел 2.3 — подтвердить границу Gateway первой очереди</w:t>
      </w:r>
    </w:p>
    <w:p>
      <w:pPr>
        <w:pStyle w:val="FirstParagraph"/>
      </w:pPr>
      <w:r>
        <w:rPr>
          <w:bCs/>
          <w:b/>
        </w:rPr>
        <w:t xml:space="preserve">Что предлагаем:</w:t>
      </w:r>
      <w:r>
        <w:t xml:space="preserve"> </w:t>
      </w:r>
      <w:r>
        <w:t xml:space="preserve">&gt; ☒ Подтверждаю указанную границу. ☐ Изменить границу следующим образом: ___</w:t>
      </w:r>
    </w:p>
    <w:p>
      <w:pPr>
        <w:pStyle w:val="BodyText"/>
      </w:pPr>
      <w:r>
        <w:t xml:space="preserve">и добавить в раздел 9.2 одну фразу:</w:t>
      </w:r>
      <w:r>
        <w:t xml:space="preserve"> </w:t>
      </w:r>
      <w:r>
        <w:t xml:space="preserve">&gt; «Первая поставка принимается на сценарии с одним Device. Протокол Gateway↔Cloud и конфигурационная модель не должны требовать переработки при расширении до нескольких устройств на одном шлюзе; промышленная многоустройственная эксплуатация одного шлюза — отдельный объём оценки по change request.»</w:t>
      </w:r>
    </w:p>
    <w:p>
      <w:pPr>
        <w:pStyle w:val="BodyText"/>
      </w:pPr>
      <w:r>
        <w:rPr>
          <w:bCs/>
          <w:b/>
        </w:rPr>
        <w:t xml:space="preserve">Почему:</w:t>
      </w:r>
      <w:r>
        <w:t xml:space="preserve"> </w:t>
      </w:r>
      <w:r>
        <w:t xml:space="preserve">иначе «одно Device» и «архитектурная возможность расширения» читаются по-разному, и второе устройство через тот же шлюз превратится в неожиданный платный change request после оценки. Фраза не увеличивает объём, но защищает архитектурно.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нет (при подтверждении текущей границы).</w:t>
      </w:r>
    </w:p>
    <w:bookmarkEnd w:id="23"/>
    <w:bookmarkStart w:id="24" w:name="X703d25909b683674a7f4391c5848da2e662cb1a"/>
    <w:p>
      <w:pPr>
        <w:pStyle w:val="Heading3"/>
      </w:pPr>
      <w:r>
        <w:t xml:space="preserve">П-4. Раздел 2.5 и 18.5 — отчёт по наработке моточасов</w:t>
      </w:r>
    </w:p>
    <w:p>
      <w:pPr>
        <w:pStyle w:val="FirstParagraph"/>
      </w:pP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отметить</w:t>
      </w:r>
      <w:r>
        <w:t xml:space="preserve"> </w:t>
      </w:r>
      <w:r>
        <w:t xml:space="preserve">&gt; ☒ Отчёт по наработке моточасов</w:t>
      </w:r>
      <w:r>
        <w:t xml:space="preserve"> </w:t>
      </w:r>
      <w:r>
        <w:rPr>
          <w:bCs/>
          <w:b/>
        </w:rPr>
        <w:t xml:space="preserve">не входит</w:t>
      </w:r>
      <w:r>
        <w:t xml:space="preserve"> </w:t>
      </w:r>
      <w:r>
        <w:t xml:space="preserve">в первую поставку.</w:t>
      </w:r>
    </w:p>
    <w:p>
      <w:pPr>
        <w:pStyle w:val="BodyText"/>
      </w:pPr>
      <w:r>
        <w:t xml:space="preserve">В 18.5 остаются два обязательных Jasper-шаблона (потребление ресурсов за период; журнал аварий и действий персонала). Техническая возможность моточасов сохраняется без отдельной разработки: вычисляемый параметр через Automation (раздел 7.9, DEC-142) → параметр виртуального устройства → архив → типовой отчёт/CSV-экспорт.</w:t>
      </w:r>
    </w:p>
    <w:p>
      <w:pPr>
        <w:pStyle w:val="BodyText"/>
      </w:pPr>
      <w:r>
        <w:rPr>
          <w:bCs/>
          <w:b/>
        </w:rPr>
        <w:t xml:space="preserve">Почему:</w:t>
      </w:r>
      <w:r>
        <w:t xml:space="preserve"> </w:t>
      </w:r>
      <w:r>
        <w:t xml:space="preserve">DEC-151 — для универсального IIoT-продукта отчёт не обязателен; это снижает scope первой поставки. Если первые клиенты критично нуждаются в готовом шаблоне — альтернатива: включить и расписать содержание (период, группировка по Assets/оборудованию, суммарная наработка и по периодам), это добавит в бюджет шаблон и сценарии ПМИ.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снижает/не меняет при предложенном варианте; небольшое увеличение при альтернативе.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блок-2.-правки-текста-фтт"/>
    <w:p>
      <w:pPr>
        <w:pStyle w:val="Heading2"/>
      </w:pPr>
      <w:r>
        <w:t xml:space="preserve">Блок 2. Правки текста ФТТ</w:t>
      </w:r>
    </w:p>
    <w:bookmarkStart w:id="26" w:name="Xb03ad1ca741562daed6c778f2900e221b47adc7"/>
    <w:p>
      <w:pPr>
        <w:pStyle w:val="Heading3"/>
      </w:pPr>
      <w:r>
        <w:t xml:space="preserve">П-5. Весь документ — финальная вычитка (подтверждённые опечатки)</w:t>
      </w:r>
    </w:p>
    <w:p>
      <w:pPr>
        <w:pStyle w:val="FirstParagraph"/>
      </w:pPr>
      <w:r>
        <w:t xml:space="preserve">Список проверенных мест: «стандратного» (2.3), «Изенить» в поле решения владельца (2.3), «зависисмостей» (1.3), «ПОльзователем» (11.1), «конфигрурации» и «не зависимо» (5.9), «приофиля» (7.7), «лолжна» (21.2), «в рамкахдругих» и «техпроцесс процесс» (4.5); пункт после 6.6 оформлен заголовком без номера.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документ уходит на бюджетную оценку; опечатка в поле решения владельца выглядит как незаполненность.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нет.</w:t>
      </w:r>
    </w:p>
    <w:bookmarkEnd w:id="26"/>
    <w:bookmarkStart w:id="27" w:name="X7cf618f8924b5b6bd19c2de8f9cc19714b6c483"/>
    <w:p>
      <w:pPr>
        <w:pStyle w:val="Heading3"/>
      </w:pPr>
      <w:r>
        <w:t xml:space="preserve">П-6. Весь документ — маркировка обоснований решениями (DEC-xxx, P-00x)</w:t>
      </w:r>
    </w:p>
    <w:p>
      <w:pPr>
        <w:pStyle w:val="FirstParagraph"/>
      </w:pP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в конец ключевых требований — ссылки вида</w:t>
      </w:r>
      <w:r>
        <w:t xml:space="preserve"> </w:t>
      </w:r>
      <w:r>
        <w:rPr>
          <w:rStyle w:val="VerbatimChar"/>
        </w:rPr>
        <w:t xml:space="preserve">(DEC-142)</w:t>
      </w:r>
      <w:r>
        <w:t xml:space="preserve">,</w:t>
      </w:r>
      <w:r>
        <w:t xml:space="preserve"> </w:t>
      </w:r>
      <w:r>
        <w:rPr>
          <w:rStyle w:val="VerbatimChar"/>
        </w:rPr>
        <w:t xml:space="preserve">(P-003)</w:t>
      </w:r>
      <w:r>
        <w:t xml:space="preserve"> </w:t>
      </w:r>
      <w:r>
        <w:t xml:space="preserve">на журнал решений и product-inputs. Минимум — разделы 2, 4, 5, 9, 12, 19. Текст требований не переписывается.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~190 принятых решений сейчас в ФТТ не прослеживаются; любое требование можно оспорить и разбирать с нуля. Ссылки защищают принятые решения при будущих правках и ускоряют review.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нет.</w:t>
      </w:r>
    </w:p>
    <w:bookmarkEnd w:id="27"/>
    <w:bookmarkStart w:id="28" w:name="X557f02a601fe0e7420c31c2883855c09547fb14"/>
    <w:p>
      <w:pPr>
        <w:pStyle w:val="Heading3"/>
      </w:pPr>
      <w:r>
        <w:t xml:space="preserve">П-7. Разделы 19.4 / 24.6 / 3.4 — измеримое определение «одновременных интерактивных UI-пользователей»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тарифное поле «Max simultaneous interactive UI users/Space» и NFR ≥500 одновременных пользователей; механизм учёта — на ТЗ.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минимум — в 3.4 потребовать, чтобы каждый подрядчик в допущениях оценки указал предполагаемый механизм учёта (иначе оценки несравнимы). Предпочтительно — зафиксировать продуктовое определение до оценки, напр.: «интерактивный UI-пользователь = аутентифицированная сессия web-клиента с активным соединением; лимит проверяется при установке соединения» (реализация — ТЗ).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без определения подрядчики оценят по-разному (сессии/websocket/активность за окно), спор всплывёт на приёмке.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низкое.</w:t>
      </w:r>
    </w:p>
    <w:bookmarkEnd w:id="28"/>
    <w:bookmarkStart w:id="29" w:name="X544b3b27915f4bc485b4a727843bdadc0f677f4"/>
    <w:p>
      <w:pPr>
        <w:pStyle w:val="Heading3"/>
      </w:pPr>
      <w:r>
        <w:t xml:space="preserve">П-8. Раздел 23.2 — добавить проверку alarm flood в regression suite</w:t>
      </w:r>
    </w:p>
    <w:p>
      <w:pPr>
        <w:pStyle w:val="FirstParagraph"/>
      </w:pP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в области покрытия regression suite добавить: «защита от деградации при массовом числе одновременных таймерных состояний Alarm Rules (TON/TOFF, anti-flapping): контрольный сценарий с большим числом одновременных состояний; конкретные параметры — ТЗ/sizing».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Alarm Rules работают на общем движке с Automation (11.4), но тарифную квоту экземпляров не расходуют (12.13) — корректно, однако граница по одновременным таймерным состояниям при 50 000 устройствах не проверяется ничем. Правка не меняет продуктовый объём.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нет (в пределах существующих NFR-тестов).</w:t>
      </w:r>
    </w:p>
    <w:bookmarkEnd w:id="29"/>
    <w:bookmarkStart w:id="30" w:name="X2e45bbacd0deab35d9fa034742d1d449570be4b"/>
    <w:p>
      <w:pPr>
        <w:pStyle w:val="Heading3"/>
      </w:pPr>
      <w:r>
        <w:t xml:space="preserve">П-9. Раздел 25.8 — принцип хранения Security Audit после удаления Space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аудит не удаляется при удалении Space (21.8), срок хранения — на ТЗ.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добавить принцип: «записи аудита, относящиеся к удалённому Space, подлежат обезличиванию либо удалению по истечении retention; механизм — ТЗ». Либо явно: «аудит хранится N лет независимо от удаления Space» — тогда нужна оценка объёма.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в аудите есть персональные данные (actor, приглашения по телефону/e-mail); бесконечное хранение противоречит требованиям к ПДн, а объём хранения влияет на sizing.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низкое.</w:t>
      </w:r>
    </w:p>
    <w:bookmarkEnd w:id="30"/>
    <w:bookmarkStart w:id="31" w:name="Xd53f60f0ab28746d37dddbbfa1b484d5433810a"/>
    <w:p>
      <w:pPr>
        <w:pStyle w:val="Heading3"/>
      </w:pPr>
      <w:r>
        <w:t xml:space="preserve">П-10. Разделы 3.4 / 22.7 — сравнимость оценок маршрутизации FQDN→Space</w:t>
      </w:r>
    </w:p>
    <w:p>
      <w:pPr>
        <w:pStyle w:val="FirstParagraph"/>
      </w:pPr>
      <w:r>
        <w:rPr>
          <w:bCs/>
          <w:b/>
        </w:rPr>
        <w:t xml:space="preserve">Что сейчас:</w:t>
      </w:r>
      <w:r>
        <w:t xml:space="preserve"> </w:t>
      </w:r>
      <w:r>
        <w:t xml:space="preserve">механизм определения Space по custom FQDN до аутентификации целиком на ТЗ.</w:t>
      </w:r>
      <w:r>
        <w:t xml:space="preserve"> </w:t>
      </w:r>
      <w:r>
        <w:rPr>
          <w:bCs/>
          <w:b/>
        </w:rPr>
        <w:t xml:space="preserve">Что предлагаем:</w:t>
      </w:r>
      <w:r>
        <w:t xml:space="preserve"> </w:t>
      </w:r>
      <w:r>
        <w:t xml:space="preserve">инварианты в ФТТ сформулированы правильно (Space определяется до auth; frontend Space ID недоверен). Добавить в 3.4: «подрядчик в допущениях указывает предполагаемый механизм маршрутизации FQDN→Space и защиту от подмены tenant».</w:t>
      </w:r>
      <w:r>
        <w:t xml:space="preserve"> </w:t>
      </w:r>
      <w:r>
        <w:rPr>
          <w:bCs/>
          <w:b/>
        </w:rPr>
        <w:t xml:space="preserve">Почему:</w:t>
      </w:r>
      <w:r>
        <w:t xml:space="preserve"> </w:t>
      </w:r>
      <w:r>
        <w:t xml:space="preserve">критичный multi-tenancy механизм; оценки могут разойтись от nginx-маппинга до отдельного tenant-router. Требование к допущениям делает оценки сравнимыми, реализация остаётся на ТЗ.</w:t>
      </w:r>
      <w:r>
        <w:t xml:space="preserve"> </w:t>
      </w:r>
      <w:r>
        <w:rPr>
          <w:bCs/>
          <w:b/>
        </w:rPr>
        <w:t xml:space="preserve">Влияние на бюджет:</w:t>
      </w:r>
      <w:r>
        <w:t xml:space="preserve"> </w:t>
      </w:r>
      <w:r>
        <w:t xml:space="preserve">снижает риск разброса оценок.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итого"/>
    <w:p>
      <w:pPr>
        <w:pStyle w:val="Heading2"/>
      </w:pPr>
      <w:r>
        <w:t xml:space="preserve">Итого</w:t>
      </w:r>
    </w:p>
    <w:p>
      <w:pPr>
        <w:numPr>
          <w:ilvl w:val="0"/>
          <w:numId w:val="1001"/>
        </w:numPr>
        <w:pStyle w:val="Compact"/>
      </w:pPr>
      <w:r>
        <w:t xml:space="preserve">Блокеры до оценки (нужны данные от владельца продукта): П-1 (SKU), П-2 (MQTT-устройство), подтверждение П-3 и П-4.</w:t>
      </w:r>
    </w:p>
    <w:p>
      <w:pPr>
        <w:numPr>
          <w:ilvl w:val="0"/>
          <w:numId w:val="1001"/>
        </w:numPr>
        <w:pStyle w:val="Compact"/>
      </w:pPr>
      <w:r>
        <w:t xml:space="preserve">Правки текста, не меняющие продуктовый объём: П-5, П-6, П-8.</w:t>
      </w:r>
    </w:p>
    <w:p>
      <w:pPr>
        <w:numPr>
          <w:ilvl w:val="0"/>
          <w:numId w:val="1001"/>
        </w:numPr>
        <w:pStyle w:val="Compact"/>
      </w:pPr>
      <w:r>
        <w:t xml:space="preserve">Правки, снижающие риск разброса оценок: П-7, П-9, П-10.</w:t>
      </w:r>
    </w:p>
    <w:p>
      <w:pPr>
        <w:numPr>
          <w:ilvl w:val="0"/>
          <w:numId w:val="1001"/>
        </w:numPr>
        <w:pStyle w:val="Compact"/>
      </w:pPr>
      <w:r>
        <w:t xml:space="preserve">Продуктовый объём предложенных правок не увеличивают; П-4 при принятии альтернативы добавляет один Jasper-шаблон.</w:t>
      </w:r>
    </w:p>
    <w:p>
      <w:pPr>
        <w:pStyle w:val="FirstParagraph"/>
      </w:pPr>
      <w:r>
        <w:t xml:space="preserve">Противоречий с архитектурным baseline (Space=tenant, Asset-модель, Gateway first-wave, effective access = entitlement AND RBAC, вычисляемые параметры через Automation, backend на AggreGate) в ходе ревью не выявлено.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2026-09-15T13:11:06Z</dcterms:created>
  <dcterms:modified xsi:type="dcterms:W3CDTF">2026-09-15T13:11:06Z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