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STUDYROUTE / INTERNATIONAL TRACK</w:t>
      </w:r>
    </w:p>
    <w:p>
      <w:pPr>
        <w:pStyle w:val="Title"/>
      </w:pPr>
      <w:r>
        <w:t>Execution Evidence Report</w:t>
      </w:r>
    </w:p>
    <w:p>
      <w:pPr>
        <w:pStyle w:val="Subtitle"/>
      </w:pPr>
      <w:r>
        <w:t>Reproducible local execution with traceable raw evidence</w:t>
      </w:r>
    </w:p>
    <w:p>
      <w:pPr>
        <w:pStyle w:val="Heading2"/>
      </w:pPr>
      <w:r>
        <w:t>SYNTHETIC DATA • NOT PRODUCTION ASSURANCE</w:t>
      </w:r>
    </w:p>
    <w:p>
      <w:r>
        <w:t>Source-based assessment and reproducible local evidence. No real money, live banking integration or independent certification.</w:t>
      </w:r>
    </w:p>
    <w:p>
      <w:r>
        <w:t>SR-EVD-2026-01 | 18 October 2026</w:t>
      </w:r>
    </w:p>
    <w:p>
      <w:pPr>
        <w:pStyle w:val="Heading2"/>
      </w:pPr>
      <w:r>
        <w:t>CONTENTS</w:t>
      </w:r>
    </w:p>
    <w:p>
      <w:r>
        <w:t>00  Final-submission update</w:t>
      </w:r>
    </w:p>
    <w:p>
      <w:r>
        <w:t>01  Evidence at a glance</w:t>
      </w:r>
    </w:p>
    <w:p>
      <w:r>
        <w:t>02  Provenance &amp; evidence taxonomy</w:t>
      </w:r>
    </w:p>
    <w:p>
      <w:r>
        <w:t>03  Environment &amp; repeatability</w:t>
      </w:r>
    </w:p>
    <w:p>
      <w:r>
        <w:t>04  Backend regression results</w:t>
      </w:r>
    </w:p>
    <w:p>
      <w:r>
        <w:t>05  Demonstration: preparation &amp; approval</w:t>
      </w:r>
    </w:p>
    <w:p>
      <w:r>
        <w:t>06  Demonstration: settlement &amp; integrity</w:t>
      </w:r>
    </w:p>
    <w:p>
      <w:r>
        <w:t>07  Audit experiment &amp; independent check</w:t>
      </w:r>
    </w:p>
    <w:p>
      <w:r>
        <w:t>08  Ledger &amp; escrow invariants</w:t>
      </w:r>
    </w:p>
    <w:p>
      <w:r>
        <w:t>09  AI behavior: evidence without overclaim</w:t>
      </w:r>
    </w:p>
    <w:p>
      <w:r>
        <w:t>10  Historical evidence &amp; reconciliation</w:t>
      </w:r>
    </w:p>
    <w:p>
      <w:r>
        <w:t>11  Reproduction procedure</w:t>
      </w:r>
    </w:p>
    <w:p>
      <w:r>
        <w:t>12  Evidence index &amp; acceptance boundary</w:t>
      </w:r>
    </w:p>
    <w:p>
      <w:r>
        <w:br w:type="page"/>
      </w:r>
    </w:p>
    <w:p>
      <w:pPr>
        <w:pStyle w:val="Subtitle"/>
      </w:pPr>
      <w:r>
        <w:t>00 / VERIFIED AFTER THE ORIGINAL ASSESSMENT</w:t>
      </w:r>
    </w:p>
    <w:p>
      <w:pPr>
        <w:pStyle w:val="Heading1"/>
      </w:pPr>
      <w:r>
        <w:t>Final-submission update</w:t>
      </w:r>
    </w:p>
    <w:p>
      <w:r>
        <w:rPr>
          <w:b w:val="0"/>
        </w:rPr>
        <w:t>The original execution evidence in this document (18 October 2026) is unchanged: every result and count below stands as written. This page adds read-only checks made later the same day, recorded in validation/final-verification.json (E07, produced by tools/final_verification.py), and supersedes the original statement that the remote repository was not checked. This page is the final-submission update.</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Item</w:t>
            </w:r>
          </w:p>
        </w:tc>
        <w:tc>
          <w:tcPr>
            <w:tcW w:type="dxa" w:w="6905"/>
            <w:shd w:fill="102B46"/>
          </w:tcPr>
          <w:p>
            <w:r>
              <w:rPr>
                <w:b/>
                <w:color w:val="FFFFFF"/>
                <w:sz w:val="17"/>
              </w:rPr>
              <w:t>Result</w:t>
            </w:r>
          </w:p>
        </w:tc>
      </w:tr>
      <w:tr>
        <w:tc>
          <w:tcPr>
            <w:tcW w:type="dxa" w:w="2959"/>
          </w:tcPr>
          <w:p>
            <w:pPr>
              <w:spacing w:after="80"/>
            </w:pPr>
            <w:r>
              <w:t>Source identity</w:t>
            </w:r>
          </w:p>
        </w:tc>
        <w:tc>
          <w:tcPr>
            <w:tcW w:type="dxa" w:w="6905"/>
          </w:tcPr>
          <w:p>
            <w:pPr>
              <w:spacing w:after="80"/>
            </w:pPr>
            <w:r>
              <w:t>The remote main branch of NoobCrow/StudyRoute is commit bcce930ae0974712e922245878fd976b03a8938a, the commit this document covers. The original assessment could not check the remote; this supersedes its statements that the remote HEAD was not checked. [E07]</w:t>
            </w:r>
          </w:p>
        </w:tc>
      </w:tr>
      <w:tr>
        <w:tc>
          <w:tcPr>
            <w:tcW w:type="dxa" w:w="2959"/>
          </w:tcPr>
          <w:p>
            <w:pPr>
              <w:spacing w:after="80"/>
            </w:pPr>
            <w:r>
              <w:t>Repository access</w:t>
            </w:r>
          </w:p>
        </w:tc>
        <w:tc>
          <w:tcPr>
            <w:tcW w:type="dxa" w:w="6905"/>
          </w:tcPr>
          <w:p>
            <w:pPr>
              <w:spacing w:after="80"/>
            </w:pPr>
            <w:r>
              <w:t>Public; default branch main. The README, the technical-documentation PDF and the deck load anonymously (HTTP 200). [E07]</w:t>
            </w:r>
          </w:p>
        </w:tc>
      </w:tr>
      <w:tr>
        <w:tc>
          <w:tcPr>
            <w:tcW w:type="dxa" w:w="2959"/>
          </w:tcPr>
          <w:p>
            <w:pPr>
              <w:spacing w:after="80"/>
            </w:pPr>
            <w:r>
              <w:t>Continuous integration</w:t>
            </w:r>
          </w:p>
        </w:tc>
        <w:tc>
          <w:tcPr>
            <w:tcW w:type="dxa" w:w="6905"/>
          </w:tcPr>
          <w:p>
            <w:pPr>
              <w:spacing w:after="80"/>
            </w:pPr>
            <w:r>
              <w:t>GitHub reports the workflow "ci" on that commit as success: docker, contracts, web, secret-scan, backend and dependency-audit all succeeded (run 39081290614). The job logs were not re-reviewed here. [E07]</w:t>
            </w:r>
          </w:p>
        </w:tc>
      </w:tr>
      <w:tr>
        <w:tc>
          <w:tcPr>
            <w:tcW w:type="dxa" w:w="2959"/>
          </w:tcPr>
          <w:p>
            <w:pPr>
              <w:spacing w:after="80"/>
            </w:pPr>
            <w:r>
              <w:t>Other branches</w:t>
            </w:r>
          </w:p>
        </w:tc>
        <w:tc>
          <w:tcPr>
            <w:tcW w:type="dxa" w:w="6905"/>
          </w:tcPr>
          <w:p>
            <w:pPr>
              <w:spacing w:after="80"/>
            </w:pPr>
            <w:r>
              <w:t>A branch named botkeep (3 commits, head e2c28a0c74b6) is on the remote and is not part of main. It was not assessed; this document still covers main only. [E07]</w:t>
            </w:r>
          </w:p>
        </w:tc>
      </w:tr>
      <w:tr>
        <w:tc>
          <w:tcPr>
            <w:tcW w:type="dxa" w:w="2959"/>
          </w:tcPr>
          <w:p>
            <w:pPr>
              <w:spacing w:after="80"/>
            </w:pPr>
            <w:r>
              <w:t>The one skipped test module</w:t>
            </w:r>
          </w:p>
        </w:tc>
        <w:tc>
          <w:tcPr>
            <w:tcW w:type="dxa" w:w="6905"/>
          </w:tcPr>
          <w:p>
            <w:pPr>
              <w:spacing w:after="80"/>
            </w:pPr>
            <w:r>
              <w:t>backend/tests/test_explainer_model.py is skipped because its fixture, backend/tests/data/explainer_cases.json, is excluded by the repository's .gitignore rule data/: it is absent from the public repository and from the archive. A fresh clone therefore collects 1,673 tests, runs 1,672 and skips the explainer quality-floor tests, which is exactly the original result. Reconciled submission counts: 1,679 on a fixture-complete machine (1,678 pass, 1 skipped); fresh clone: 1,673 collected, 1,672 pass, 1 skip. This is a documentation count correction, not a new execution of the fixture-complete configuration. Adding the fixture to the repository is an open item for the maintainers and is not changed by this update. [E07]</w:t>
            </w:r>
          </w:p>
        </w:tc>
      </w:tr>
      <w:tr>
        <w:tc>
          <w:tcPr>
            <w:tcW w:type="dxa" w:w="2959"/>
          </w:tcPr>
          <w:p>
            <w:pPr>
              <w:spacing w:after="80"/>
            </w:pPr>
            <w:r>
              <w:t>The team's Docker run (inherited, not re-run here)</w:t>
            </w:r>
          </w:p>
        </w:tc>
        <w:tc>
          <w:tcPr>
            <w:tcW w:type="dxa" w:w="6905"/>
          </w:tcPr>
          <w:p>
            <w:pPr>
              <w:spacing w:after="80"/>
            </w:pPr>
            <w:r>
              <w:t>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fix is part of bcce930. Raw output: inherited/submission/evidence/docker_2026-10-18/ and docker_run.txt (H04).</w:t>
            </w:r>
          </w:p>
        </w:tc>
      </w:tr>
      <w:tr>
        <w:tc>
          <w:tcPr>
            <w:tcW w:type="dxa" w:w="2959"/>
          </w:tcPr>
          <w:p>
            <w:pPr>
              <w:spacing w:after="80"/>
            </w:pPr>
            <w:r>
              <w:t>Corrections to the original assessment</w:t>
            </w:r>
          </w:p>
        </w:tc>
        <w:tc>
          <w:tcPr>
            <w:tcW w:type="dxa" w:w="6905"/>
          </w:tcPr>
          <w:p>
            <w:pPr>
              <w:spacing w:after="8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pPr/>
      <w:r>
        <w:rPr>
          <w:b/>
        </w:rPr>
        <w:t>Canonical counts.</w:t>
      </w:r>
      <w:r>
        <w:t xml:space="preserve"> The figures in this report — 1,672 passed / 1 skipped on a fresh clone, 1,673 collected — are the canonical test counts for the submission. The technical documentation, the deck and the README have been aligned to them; where they also cite 1,679, that is the count on a machine that has the explainer fixture.</w:t>
      </w:r>
    </w:p>
    <w:p>
      <w:r>
        <w:rPr>
          <w:b w:val="0"/>
        </w:rPr>
      </w:r>
    </w:p>
    <w:p>
      <w:pPr>
        <w:shd w:fill="EDF5F7"/>
      </w:pPr>
      <w:r>
        <w:rPr>
          <w:b w:val="0"/>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pPr>
        <w:pStyle w:val="Subtitle"/>
      </w:pPr>
      <w:r>
        <w:t>01 / REVIEWER SUMMARY</w:t>
      </w:r>
    </w:p>
    <w:p>
      <w:pPr>
        <w:pStyle w:val="Heading1"/>
      </w:pPr>
      <w:r>
        <w:t>Evidence at a glance</w:t>
      </w:r>
    </w:p>
    <w:p>
      <w:r>
        <w:rPr>
          <w:b w:val="0"/>
        </w:rP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452"/>
            <w:shd w:fill="102B46"/>
          </w:tcPr>
          <w:p>
            <w:r>
              <w:rPr>
                <w:b/>
                <w:color w:val="FFFFFF"/>
                <w:sz w:val="17"/>
              </w:rPr>
              <w:t>Freshly checked</w:t>
            </w:r>
          </w:p>
        </w:tc>
        <w:tc>
          <w:tcPr>
            <w:tcW w:type="dxa" w:w="5031"/>
            <w:shd w:fill="102B46"/>
          </w:tcPr>
          <w:p>
            <w:r>
              <w:rPr>
                <w:b/>
                <w:color w:val="FFFFFF"/>
                <w:sz w:val="17"/>
              </w:rPr>
              <w:t>Result</w:t>
            </w:r>
          </w:p>
        </w:tc>
        <w:tc>
          <w:tcPr>
            <w:tcW w:type="dxa" w:w="1381"/>
            <w:shd w:fill="102B46"/>
          </w:tcPr>
          <w:p>
            <w:r>
              <w:rPr>
                <w:b/>
                <w:color w:val="FFFFFF"/>
                <w:sz w:val="17"/>
              </w:rPr>
              <w:t>Evidence</w:t>
            </w:r>
          </w:p>
        </w:tc>
      </w:tr>
      <w:tr>
        <w:tc>
          <w:tcPr>
            <w:tcW w:type="dxa" w:w="3452"/>
          </w:tcPr>
          <w:p>
            <w:pPr>
              <w:spacing w:after="80"/>
            </w:pPr>
            <w:r/>
            <w:r>
              <w:rPr>
                <w:b w:val="0"/>
                <w:sz w:val="17"/>
              </w:rPr>
              <w:t>Complete backend regression</w:t>
            </w:r>
          </w:p>
        </w:tc>
        <w:tc>
          <w:tcPr>
            <w:tcW w:type="dxa" w:w="5031"/>
          </w:tcPr>
          <w:p>
            <w:pPr>
              <w:spacing w:after="80"/>
            </w:pPr>
            <w:r/>
            <w:r>
              <w:rPr>
                <w:b w:val="0"/>
                <w:sz w:val="17"/>
              </w:rPr>
              <w:t>1,672 passed / 0 failed / 0 errors / 1 skipped</w:t>
            </w:r>
          </w:p>
        </w:tc>
        <w:tc>
          <w:tcPr>
            <w:tcW w:type="dxa" w:w="1381"/>
          </w:tcPr>
          <w:p>
            <w:pPr>
              <w:spacing w:after="80"/>
            </w:pPr>
            <w:r/>
            <w:r>
              <w:rPr>
                <w:b w:val="0"/>
                <w:sz w:val="17"/>
              </w:rPr>
              <w:t>E01</w:t>
            </w:r>
          </w:p>
        </w:tc>
      </w:tr>
      <w:tr>
        <w:tc>
          <w:tcPr>
            <w:tcW w:type="dxa" w:w="3452"/>
          </w:tcPr>
          <w:p>
            <w:pPr>
              <w:spacing w:after="80"/>
            </w:pPr>
            <w:r/>
            <w:r>
              <w:rPr>
                <w:b w:val="0"/>
                <w:sz w:val="17"/>
              </w:rPr>
              <w:t>Local HTTP API demonstration</w:t>
            </w:r>
          </w:p>
        </w:tc>
        <w:tc>
          <w:tcPr>
            <w:tcW w:type="dxa" w:w="5031"/>
          </w:tcPr>
          <w:p>
            <w:pPr>
              <w:spacing w:after="80"/>
            </w:pPr>
            <w:r/>
            <w:r>
              <w:rPr>
                <w:b w:val="0"/>
                <w:sz w:val="17"/>
              </w:rPr>
              <w:t>14 steps; 66 OK; 0 FAIL; exit 0</w:t>
            </w:r>
          </w:p>
        </w:tc>
        <w:tc>
          <w:tcPr>
            <w:tcW w:type="dxa" w:w="1381"/>
          </w:tcPr>
          <w:p>
            <w:pPr>
              <w:spacing w:after="80"/>
            </w:pPr>
            <w:r/>
            <w:r>
              <w:rPr>
                <w:b w:val="0"/>
                <w:sz w:val="17"/>
              </w:rPr>
              <w:t>E02</w:t>
            </w:r>
          </w:p>
        </w:tc>
      </w:tr>
      <w:tr>
        <w:tc>
          <w:tcPr>
            <w:tcW w:type="dxa" w:w="3452"/>
          </w:tcPr>
          <w:p>
            <w:pPr>
              <w:spacing w:after="80"/>
            </w:pPr>
            <w:r/>
            <w:r>
              <w:rPr>
                <w:b w:val="0"/>
                <w:sz w:val="17"/>
              </w:rPr>
              <w:t>Audit baseline</w:t>
            </w:r>
          </w:p>
        </w:tc>
        <w:tc>
          <w:tcPr>
            <w:tcW w:type="dxa" w:w="5031"/>
          </w:tcPr>
          <w:p>
            <w:pPr>
              <w:spacing w:after="80"/>
            </w:pPr>
            <w:r/>
            <w:r>
              <w:rPr>
                <w:b w:val="0"/>
                <w:sz w:val="17"/>
              </w:rPr>
              <w:t>PASS; 76 events</w:t>
            </w:r>
          </w:p>
        </w:tc>
        <w:tc>
          <w:tcPr>
            <w:tcW w:type="dxa" w:w="1381"/>
          </w:tcPr>
          <w:p>
            <w:pPr>
              <w:spacing w:after="80"/>
            </w:pPr>
            <w:r/>
            <w:r>
              <w:rPr>
                <w:b w:val="0"/>
                <w:sz w:val="17"/>
              </w:rPr>
              <w:t>E03</w:t>
            </w:r>
          </w:p>
        </w:tc>
      </w:tr>
      <w:tr>
        <w:tc>
          <w:tcPr>
            <w:tcW w:type="dxa" w:w="3452"/>
          </w:tcPr>
          <w:p>
            <w:pPr>
              <w:spacing w:after="80"/>
            </w:pPr>
            <w:r/>
            <w:r>
              <w:rPr>
                <w:b w:val="0"/>
                <w:sz w:val="17"/>
              </w:rPr>
              <w:t>Deliberate audit edit / restoration</w:t>
            </w:r>
          </w:p>
        </w:tc>
        <w:tc>
          <w:tcPr>
            <w:tcW w:type="dxa" w:w="5031"/>
          </w:tcPr>
          <w:p>
            <w:pPr>
              <w:spacing w:after="80"/>
            </w:pPr>
            <w:r/>
            <w:r>
              <w:rPr>
                <w:b w:val="0"/>
                <w:sz w:val="17"/>
              </w:rPr>
              <w:t>FAIL at sequence 75 / PASS after restore</w:t>
            </w:r>
          </w:p>
        </w:tc>
        <w:tc>
          <w:tcPr>
            <w:tcW w:type="dxa" w:w="1381"/>
          </w:tcPr>
          <w:p>
            <w:pPr>
              <w:spacing w:after="80"/>
            </w:pPr>
            <w:r/>
            <w:r>
              <w:rPr>
                <w:b w:val="0"/>
                <w:sz w:val="17"/>
              </w:rPr>
              <w:t>E03</w:t>
            </w:r>
          </w:p>
        </w:tc>
      </w:tr>
      <w:tr>
        <w:tc>
          <w:tcPr>
            <w:tcW w:type="dxa" w:w="3452"/>
          </w:tcPr>
          <w:p>
            <w:pPr>
              <w:spacing w:after="80"/>
            </w:pPr>
            <w:r/>
            <w:r>
              <w:rPr>
                <w:b w:val="0"/>
                <w:sz w:val="17"/>
              </w:rPr>
              <w:t>Offline chain recomputation</w:t>
            </w:r>
          </w:p>
        </w:tc>
        <w:tc>
          <w:tcPr>
            <w:tcW w:type="dxa" w:w="5031"/>
          </w:tcPr>
          <w:p>
            <w:pPr>
              <w:spacing w:after="80"/>
            </w:pPr>
            <w:r/>
            <w:r>
              <w:rPr>
                <w:b w:val="0"/>
                <w:sz w:val="17"/>
              </w:rPr>
              <w:t>Supplied 75 and fresh 76 events valid</w:t>
            </w:r>
          </w:p>
        </w:tc>
        <w:tc>
          <w:tcPr>
            <w:tcW w:type="dxa" w:w="1381"/>
          </w:tcPr>
          <w:p>
            <w:pPr>
              <w:spacing w:after="80"/>
            </w:pPr>
            <w:r/>
            <w:r>
              <w:rPr>
                <w:b w:val="0"/>
                <w:sz w:val="17"/>
              </w:rPr>
              <w:t>E05</w:t>
            </w:r>
          </w:p>
        </w:tc>
      </w:tr>
      <w:tr>
        <w:tc>
          <w:tcPr>
            <w:tcW w:type="dxa" w:w="3452"/>
          </w:tcPr>
          <w:p>
            <w:pPr>
              <w:spacing w:after="80"/>
            </w:pPr>
            <w:r/>
            <w:r>
              <w:rPr>
                <w:b w:val="0"/>
                <w:sz w:val="17"/>
              </w:rPr>
              <w:t>Bank ledger / mirrors</w:t>
            </w:r>
          </w:p>
        </w:tc>
        <w:tc>
          <w:tcPr>
            <w:tcW w:type="dxa" w:w="5031"/>
          </w:tcPr>
          <w:p>
            <w:pPr>
              <w:spacing w:after="80"/>
            </w:pPr>
            <w:r/>
            <w:r>
              <w:rPr>
                <w:b w:val="0"/>
                <w:sz w:val="17"/>
              </w:rPr>
              <w:t>all_ok=true; 7 currencies balanced</w:t>
            </w:r>
          </w:p>
        </w:tc>
        <w:tc>
          <w:tcPr>
            <w:tcW w:type="dxa" w:w="1381"/>
          </w:tcPr>
          <w:p>
            <w:pPr>
              <w:spacing w:after="80"/>
            </w:pPr>
            <w:r/>
            <w:r>
              <w:rPr>
                <w:b w:val="0"/>
                <w:sz w:val="17"/>
              </w:rPr>
              <w:t>E04</w:t>
            </w:r>
          </w:p>
        </w:tc>
      </w:tr>
      <w:tr>
        <w:tc>
          <w:tcPr>
            <w:tcW w:type="dxa" w:w="3452"/>
          </w:tcPr>
          <w:p>
            <w:pPr>
              <w:spacing w:after="80"/>
            </w:pPr>
            <w:r/>
            <w:r>
              <w:rPr>
                <w:b w:val="0"/>
                <w:sz w:val="17"/>
              </w:rPr>
              <w:t>Local AI component loading</w:t>
            </w:r>
          </w:p>
        </w:tc>
        <w:tc>
          <w:tcPr>
            <w:tcW w:type="dxa" w:w="5031"/>
          </w:tcPr>
          <w:p>
            <w:pPr>
              <w:spacing w:after="80"/>
            </w:pPr>
            <w:r/>
            <w:r>
              <w:rPr>
                <w:b w:val="0"/>
                <w:sz w:val="17"/>
              </w:rPr>
              <w:t>Reader, policy, risk and local explainer loaded</w:t>
            </w:r>
          </w:p>
        </w:tc>
        <w:tc>
          <w:tcPr>
            <w:tcW w:type="dxa" w:w="1381"/>
          </w:tcPr>
          <w:p>
            <w:pPr>
              <w:spacing w:after="80"/>
            </w:pPr>
            <w:r/>
            <w:r>
              <w:rPr>
                <w:b w:val="0"/>
                <w:sz w:val="17"/>
              </w:rPr>
              <w:t>E06</w:t>
            </w:r>
          </w:p>
        </w:tc>
      </w:tr>
      <w:tr>
        <w:tc>
          <w:tcPr>
            <w:tcW w:type="dxa" w:w="3452"/>
          </w:tcPr>
          <w:p>
            <w:pPr>
              <w:spacing w:after="80"/>
            </w:pPr>
            <w:r/>
            <w:r>
              <w:rPr>
                <w:b w:val="0"/>
                <w:sz w:val="17"/>
              </w:rPr>
              <w:t>Repository pattern scanner</w:t>
            </w:r>
          </w:p>
        </w:tc>
        <w:tc>
          <w:tcPr>
            <w:tcW w:type="dxa" w:w="5031"/>
          </w:tcPr>
          <w:p>
            <w:pPr>
              <w:spacing w:after="80"/>
            </w:pPr>
            <w:r/>
            <w:r>
              <w:rPr>
                <w:b w:val="0"/>
                <w:sz w:val="17"/>
              </w:rPr>
              <w:t>Exit 0; no configured-pattern findings</w:t>
            </w:r>
          </w:p>
        </w:tc>
        <w:tc>
          <w:tcPr>
            <w:tcW w:type="dxa" w:w="1381"/>
          </w:tcPr>
          <w:p>
            <w:pPr>
              <w:spacing w:after="80"/>
            </w:pPr>
            <w:r/>
            <w:r>
              <w:rPr>
                <w:b w:val="0"/>
                <w:sz w:val="17"/>
              </w:rPr>
              <w:t>E06</w:t>
            </w:r>
          </w:p>
        </w:tc>
      </w:tr>
    </w:tbl>
    <w:p/>
    <w:p>
      <w:pPr>
        <w:pStyle w:val="Heading2"/>
      </w:pPr>
      <w:r>
        <w:rPr>
          <w:b w:val="0"/>
        </w:rPr>
        <w:t>How to read the package</w:t>
      </w:r>
    </w:p>
    <w:p>
      <w:pPr>
        <w:pStyle w:val="ListBullet"/>
      </w:pPr>
      <w:r>
        <w:rPr>
          <w:b w:val="0"/>
        </w:rPr>
        <w:t>Read this report for scope, scenario results and interpretation.</w:t>
      </w:r>
    </w:p>
    <w:p>
      <w:pPr>
        <w:pStyle w:val="ListBullet"/>
      </w:pPr>
      <w:r>
        <w:rPr>
          <w:b w:val="0"/>
        </w:rPr>
        <w:t>Use EVIDENCE_INDEX.md to locate the raw files behind every claim.</w:t>
      </w:r>
    </w:p>
    <w:p>
      <w:pPr>
        <w:pStyle w:val="ListBullet"/>
      </w:pPr>
      <w:r>
        <w:rPr>
          <w:b w:val="0"/>
        </w:rPr>
        <w:t>Use SHA256SUMS.txt to check the delivered artifacts have not changed.</w:t>
      </w:r>
    </w:p>
    <w:p>
      <w:pPr>
        <w:pStyle w:val="ListBullet"/>
      </w:pPr>
      <w:r>
        <w:rPr>
          <w:b w:val="0"/>
        </w:rPr>
        <w:t>Read the companion Security Self-Assessment for unresolved production risks.</w:t>
      </w:r>
    </w:p>
    <w:p>
      <w:pPr>
        <w:shd w:fill="EDF5F7"/>
      </w:pPr>
      <w:r>
        <w:rPr>
          <w:b w:val="0"/>
          <w:sz w:val="18"/>
        </w:rPr>
      </w:r>
      <w:r>
        <w:rPr>
          <w:b/>
          <w:sz w:val="18"/>
        </w:rPr>
        <w:t>Not a deployment success certificate</w:t>
      </w:r>
      <w:r>
        <w:rPr>
          <w:b w:val="0"/>
          <w:sz w:val="18"/>
        </w:rPr>
        <w:t xml:space="preserve"> — The Botkeep import and its public runtime were not validated here. The fresh evidence is from a local main-source instance, not a live GitHub-connected Botkeep server.</w:t>
      </w:r>
    </w:p>
    <w:p>
      <w:r>
        <w:br w:type="page"/>
      </w:r>
    </w:p>
    <w:p>
      <w:pPr>
        <w:pStyle w:val="Subtitle"/>
      </w:pPr>
      <w:r>
        <w:t>02 / CHAIN OF CUSTODY</w:t>
      </w:r>
    </w:p>
    <w:p>
      <w:pPr>
        <w:pStyle w:val="Heading1"/>
      </w:pPr>
      <w:r>
        <w:t>Provenance &amp; evidence taxonomy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Source identity</w:t>
            </w:r>
          </w:p>
        </w:tc>
        <w:tc>
          <w:tcPr>
            <w:tcW w:type="dxa" w:w="6905"/>
            <w:shd w:fill="102B46"/>
          </w:tcPr>
          <w:p>
            <w:r>
              <w:rPr>
                <w:b/>
                <w:color w:val="FFFFFF"/>
                <w:sz w:val="17"/>
              </w:rPr>
              <w:t>Value</w:t>
            </w:r>
          </w:p>
        </w:tc>
      </w:tr>
      <w:tr>
        <w:tc>
          <w:tcPr>
            <w:tcW w:type="dxa" w:w="2959"/>
          </w:tcPr>
          <w:p>
            <w:pPr>
              <w:spacing w:after="80"/>
            </w:pPr>
            <w:r/>
            <w:r>
              <w:rPr>
                <w:b w:val="0"/>
                <w:sz w:val="17"/>
              </w:rPr>
              <w:t>Input filename</w:t>
            </w:r>
          </w:p>
        </w:tc>
        <w:tc>
          <w:tcPr>
            <w:tcW w:type="dxa" w:w="6905"/>
          </w:tcPr>
          <w:p>
            <w:pPr>
              <w:spacing w:after="80"/>
            </w:pPr>
            <w:r/>
            <w:r>
              <w:rPr>
                <w:b w:val="0"/>
                <w:sz w:val="17"/>
              </w:rPr>
              <w:t>StudyRoute-main.zip</w:t>
            </w:r>
          </w:p>
        </w:tc>
      </w:tr>
      <w:tr>
        <w:tc>
          <w:tcPr>
            <w:tcW w:type="dxa" w:w="2959"/>
          </w:tcPr>
          <w:p>
            <w:pPr>
              <w:spacing w:after="80"/>
            </w:pPr>
            <w:r/>
            <w:r>
              <w:rPr>
                <w:b w:val="0"/>
                <w:sz w:val="17"/>
              </w:rPr>
              <w:t>Compressed size</w:t>
            </w:r>
          </w:p>
        </w:tc>
        <w:tc>
          <w:tcPr>
            <w:tcW w:type="dxa" w:w="6905"/>
          </w:tcPr>
          <w:p>
            <w:pPr>
              <w:spacing w:after="80"/>
            </w:pPr>
            <w:r/>
            <w:r>
              <w:rPr>
                <w:b w:val="0"/>
                <w:sz w:val="17"/>
              </w:rPr>
              <w:t>84,558,543 bytes</w:t>
            </w:r>
          </w:p>
        </w:tc>
      </w:tr>
      <w:tr>
        <w:tc>
          <w:tcPr>
            <w:tcW w:type="dxa" w:w="2959"/>
          </w:tcPr>
          <w:p>
            <w:pPr>
              <w:spacing w:after="80"/>
            </w:pPr>
            <w:r/>
            <w:r>
              <w:rPr>
                <w:b w:val="0"/>
                <w:sz w:val="17"/>
              </w:rPr>
              <w:t>Archive content</w:t>
            </w:r>
          </w:p>
        </w:tc>
        <w:tc>
          <w:tcPr>
            <w:tcW w:type="dxa" w:w="6905"/>
          </w:tcPr>
          <w:p>
            <w:pPr>
              <w:spacing w:after="80"/>
            </w:pPr>
            <w:r/>
            <w:r>
              <w:rPr>
                <w:b w:val="0"/>
                <w:sz w:val="17"/>
              </w:rPr>
              <w:t>834 files; 116,683,391 uncompressed bytes</w:t>
            </w:r>
          </w:p>
        </w:tc>
      </w:tr>
      <w:tr>
        <w:tc>
          <w:tcPr>
            <w:tcW w:type="dxa" w:w="2959"/>
          </w:tcPr>
          <w:p>
            <w:pPr>
              <w:spacing w:after="80"/>
            </w:pPr>
            <w:r/>
            <w:r>
              <w:rPr>
                <w:b w:val="0"/>
                <w:sz w:val="17"/>
              </w:rPr>
              <w:t>Archive-supplied commit</w:t>
            </w:r>
          </w:p>
        </w:tc>
        <w:tc>
          <w:tcPr>
            <w:tcW w:type="dxa" w:w="6905"/>
          </w:tcPr>
          <w:p>
            <w:pPr>
              <w:spacing w:after="80"/>
            </w:pPr>
            <w:r/>
            <w:r>
              <w:rPr>
                <w:b w:val="0"/>
                <w:sz w:val="17"/>
              </w:rPr>
              <w:t>bcce930ae0974712e922245878fd976b03a8938a</w:t>
            </w:r>
          </w:p>
        </w:tc>
      </w:tr>
      <w:tr>
        <w:tc>
          <w:tcPr>
            <w:tcW w:type="dxa" w:w="2959"/>
          </w:tcPr>
          <w:p>
            <w:pPr>
              <w:spacing w:after="80"/>
            </w:pPr>
            <w:r/>
            <w:r>
              <w:rPr>
                <w:b w:val="0"/>
                <w:sz w:val="17"/>
              </w:rPr>
              <w:t>SHA-256</w:t>
            </w:r>
          </w:p>
        </w:tc>
        <w:tc>
          <w:tcPr>
            <w:tcW w:type="dxa" w:w="6905"/>
          </w:tcPr>
          <w:p>
            <w:pPr>
              <w:spacing w:after="80"/>
            </w:pPr>
            <w:r/>
            <w:r>
              <w:rPr>
                <w:b w:val="0"/>
                <w:sz w:val="17"/>
              </w:rPr>
              <w:t>4e6ce74cdafa51e4fa577813444d1f52c7d1d0098a7338b176005b415574134a</w:t>
            </w:r>
          </w:p>
        </w:tc>
      </w:tr>
      <w:tr>
        <w:tc>
          <w:tcPr>
            <w:tcW w:type="dxa" w:w="2959"/>
          </w:tcPr>
          <w:p>
            <w:pPr>
              <w:spacing w:after="80"/>
            </w:pPr>
            <w:r/>
            <w:r>
              <w:rPr>
                <w:b w:val="0"/>
                <w:sz w:val="17"/>
              </w:rPr>
              <w:t>Repository reference</w:t>
            </w:r>
          </w:p>
        </w:tc>
        <w:tc>
          <w:tcPr>
            <w:tcW w:type="dxa" w:w="6905"/>
          </w:tcPr>
          <w:p>
            <w:pPr>
              <w:spacing w:after="80"/>
            </w:pPr>
            <w:r/>
            <w:r>
              <w:rPr>
                <w:b w:val="0"/>
                <w:sz w:val="17"/>
              </w:rPr>
              <w:t>https://github.com/NoobCrow/StudyRoute</w:t>
            </w:r>
          </w:p>
        </w:tc>
      </w:tr>
      <w:tr>
        <w:tc>
          <w:tcPr>
            <w:tcW w:type="dxa" w:w="2959"/>
          </w:tcPr>
          <w:p>
            <w:pPr>
              <w:spacing w:after="80"/>
            </w:pPr>
            <w:r/>
            <w:r>
              <w:rPr>
                <w:b w:val="0"/>
                <w:sz w:val="17"/>
              </w:rPr>
              <w:t>Fresh run date</w:t>
            </w:r>
          </w:p>
        </w:tc>
        <w:tc>
          <w:tcPr>
            <w:tcW w:type="dxa" w:w="6905"/>
          </w:tcPr>
          <w:p>
            <w:pPr>
              <w:spacing w:after="80"/>
            </w:pPr>
            <w:r/>
            <w:r>
              <w:rPr>
                <w:b w:val="0"/>
                <w:sz w:val="17"/>
              </w:rPr>
              <w:t>18 October 2026 (UTC)</w:t>
            </w:r>
          </w:p>
        </w:tc>
      </w:tr>
    </w:tbl>
    <w:p/>
    <w:p>
      <w:pPr>
        <w:pStyle w:val="Heading2"/>
      </w:pPr>
      <w:r>
        <w:rPr>
          <w:b w:val="0"/>
        </w:rPr>
        <w:t>Three evidence classes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170"/>
            <w:shd w:fill="102B46"/>
          </w:tcPr>
          <w:p>
            <w:r>
              <w:rPr>
                <w:b/>
                <w:color w:val="FFFFFF"/>
                <w:sz w:val="17"/>
              </w:rPr>
              <w:t>Class</w:t>
            </w:r>
          </w:p>
        </w:tc>
        <w:tc>
          <w:tcPr>
            <w:tcW w:type="dxa" w:w="4242"/>
            <w:shd w:fill="102B46"/>
          </w:tcPr>
          <w:p>
            <w:r>
              <w:rPr>
                <w:b/>
                <w:color w:val="FFFFFF"/>
                <w:sz w:val="17"/>
              </w:rPr>
              <w:t>Meaning</w:t>
            </w:r>
          </w:p>
        </w:tc>
        <w:tc>
          <w:tcPr>
            <w:tcW w:type="dxa" w:w="3452"/>
            <w:shd w:fill="102B46"/>
          </w:tcPr>
          <w:p>
            <w:r>
              <w:rPr>
                <w:b/>
                <w:color w:val="FFFFFF"/>
                <w:sz w:val="17"/>
              </w:rPr>
              <w:t>Examples</w:t>
            </w:r>
          </w:p>
        </w:tc>
      </w:tr>
      <w:tr>
        <w:tc>
          <w:tcPr>
            <w:tcW w:type="dxa" w:w="2170"/>
          </w:tcPr>
          <w:p>
            <w:pPr>
              <w:spacing w:after="80"/>
            </w:pPr>
            <w:r/>
            <w:r>
              <w:rPr>
                <w:b w:val="0"/>
                <w:sz w:val="17"/>
              </w:rPr>
              <w:t>FRESH</w:t>
            </w:r>
          </w:p>
        </w:tc>
        <w:tc>
          <w:tcPr>
            <w:tcW w:type="dxa" w:w="4242"/>
          </w:tcPr>
          <w:p>
            <w:pPr>
              <w:spacing w:after="80"/>
            </w:pPr>
            <w:r/>
            <w:r>
              <w:rPr>
                <w:b w:val="0"/>
                <w:sz w:val="17"/>
              </w:rPr>
              <w:t>Executed or recomputed for this report on the extracted supplied source.</w:t>
            </w:r>
          </w:p>
        </w:tc>
        <w:tc>
          <w:tcPr>
            <w:tcW w:type="dxa" w:w="3452"/>
          </w:tcPr>
          <w:p>
            <w:pPr>
              <w:spacing w:after="80"/>
            </w:pPr>
            <w:r/>
            <w:r>
              <w:rPr>
                <w:b w:val="0"/>
                <w:sz w:val="17"/>
              </w:rPr>
              <w:t>Backend JUnit; local API flow; model-load check; source scanner; audit recomputation.</w:t>
            </w:r>
          </w:p>
        </w:tc>
      </w:tr>
      <w:tr>
        <w:tc>
          <w:tcPr>
            <w:tcW w:type="dxa" w:w="2170"/>
          </w:tcPr>
          <w:p>
            <w:pPr>
              <w:spacing w:after="80"/>
            </w:pPr>
            <w:r/>
            <w:r>
              <w:rPr>
                <w:b w:val="0"/>
                <w:sz w:val="17"/>
              </w:rPr>
              <w:t>SUPPLIED / HISTORICAL</w:t>
            </w:r>
          </w:p>
        </w:tc>
        <w:tc>
          <w:tcPr>
            <w:tcW w:type="dxa" w:w="4242"/>
          </w:tcPr>
          <w:p>
            <w:pPr>
              <w:spacing w:after="80"/>
            </w:pPr>
            <w:r/>
            <w:r>
              <w:rPr>
                <w:b w:val="0"/>
                <w:sz w:val="17"/>
              </w:rPr>
              <w:t>Carried in the archive. Inspected, not rerun unless separately stated.</w:t>
            </w:r>
          </w:p>
        </w:tc>
        <w:tc>
          <w:tcPr>
            <w:tcW w:type="dxa" w:w="3452"/>
          </w:tcPr>
          <w:p>
            <w:pPr>
              <w:spacing w:after="80"/>
            </w:pPr>
            <w:r/>
            <w:r>
              <w:rPr>
                <w:b w:val="0"/>
                <w:sz w:val="17"/>
              </w:rPr>
              <w:t>Web unit tests; browser smoke; Docker logs; AI benchmark JSON.</w:t>
            </w:r>
          </w:p>
        </w:tc>
      </w:tr>
      <w:tr>
        <w:tc>
          <w:tcPr>
            <w:tcW w:type="dxa" w:w="2170"/>
          </w:tcPr>
          <w:p>
            <w:pPr>
              <w:spacing w:after="80"/>
            </w:pPr>
            <w:r/>
            <w:r>
              <w:rPr>
                <w:b w:val="0"/>
                <w:sz w:val="17"/>
              </w:rPr>
              <w:t>NOT VERIFIED</w:t>
            </w:r>
          </w:p>
        </w:tc>
        <w:tc>
          <w:tcPr>
            <w:tcW w:type="dxa" w:w="4242"/>
          </w:tcPr>
          <w:p>
            <w:pPr>
              <w:spacing w:after="80"/>
            </w:pPr>
            <w:r/>
            <w:r>
              <w:rPr>
                <w:b w:val="0"/>
                <w:sz w:val="17"/>
              </w:rPr>
              <w:t>Outside this review; no supporting execution asserted.</w:t>
            </w:r>
          </w:p>
        </w:tc>
        <w:tc>
          <w:tcPr>
            <w:tcW w:type="dxa" w:w="3452"/>
          </w:tcPr>
          <w:p>
            <w:pPr>
              <w:spacing w:after="80"/>
            </w:pPr>
            <w:r/>
            <w:r>
              <w:rPr>
                <w:b w:val="0"/>
                <w:sz w:val="17"/>
              </w:rPr>
              <w:t>Botkeep deployment; live bank/FX/KYC; independent pentest; external immutable anchor.</w:t>
            </w:r>
          </w:p>
        </w:tc>
      </w:tr>
    </w:tbl>
    <w:p/>
    <w:p>
      <w:r>
        <w:rPr>
          <w:b w:val="0"/>
        </w:rPr>
        <w:t>The archive ZIP comment supplies the commit identifier. The final-submission update checked it: the remote main branch is the same commit (E07). source-file-inventory.json records every original archived file’s length and SHA-256 before generated test caches are considered. Raw evidence is copied without rewriting outcomes. [E05]</w:t>
      </w:r>
    </w:p>
    <w:p>
      <w:pPr>
        <w:shd w:fill="EDF5F7"/>
      </w:pPr>
      <w:r>
        <w:rPr>
          <w:b w:val="0"/>
          <w:sz w:val="18"/>
        </w:rPr>
      </w:r>
      <w:r>
        <w:rPr>
          <w:b/>
          <w:sz w:val="18"/>
        </w:rPr>
        <w:t>Hash limitation</w:t>
      </w:r>
      <w:r>
        <w:rPr>
          <w:b w:val="0"/>
          <w:sz w:val="18"/>
        </w:rPr>
        <w:t xml:space="preserve"> — A checksum proves consistency with the manifest delivered alongside it; it is not an authenticated digital signature or proof of publisher identity. Keep the delivered digest or package in separately trusted storage.</w:t>
      </w:r>
    </w:p>
    <w:p>
      <w:r>
        <w:br w:type="page"/>
      </w:r>
    </w:p>
    <w:p>
      <w:pPr>
        <w:pStyle w:val="Subtitle"/>
      </w:pPr>
      <w:r>
        <w:t>03 / TEST CONDITIONS</w:t>
      </w:r>
    </w:p>
    <w:p>
      <w:pPr>
        <w:pStyle w:val="Heading1"/>
      </w:pPr>
      <w:r>
        <w:t>Environment &amp; repeatability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Component</w:t>
            </w:r>
          </w:p>
        </w:tc>
        <w:tc>
          <w:tcPr>
            <w:tcW w:type="dxa" w:w="6905"/>
            <w:shd w:fill="102B46"/>
          </w:tcPr>
          <w:p>
            <w:r>
              <w:rPr>
                <w:b/>
                <w:color w:val="FFFFFF"/>
                <w:sz w:val="17"/>
              </w:rPr>
              <w:t>Observed condition</w:t>
            </w:r>
          </w:p>
        </w:tc>
      </w:tr>
      <w:tr>
        <w:tc>
          <w:tcPr>
            <w:tcW w:type="dxa" w:w="2959"/>
          </w:tcPr>
          <w:p>
            <w:pPr>
              <w:spacing w:after="80"/>
            </w:pPr>
            <w:r/>
            <w:r>
              <w:rPr>
                <w:b w:val="0"/>
                <w:sz w:val="17"/>
              </w:rPr>
              <w:t>Operating environment</w:t>
            </w:r>
          </w:p>
        </w:tc>
        <w:tc>
          <w:tcPr>
            <w:tcW w:type="dxa" w:w="6905"/>
          </w:tcPr>
          <w:p>
            <w:pPr>
              <w:spacing w:after="80"/>
            </w:pPr>
            <w:r/>
            <w:r>
              <w:rPr>
                <w:b w:val="0"/>
                <w:sz w:val="17"/>
              </w:rPr>
              <w:t>Linux-6.18.49-x86_64-with-glibc2.34</w:t>
            </w:r>
          </w:p>
        </w:tc>
      </w:tr>
      <w:tr>
        <w:tc>
          <w:tcPr>
            <w:tcW w:type="dxa" w:w="2959"/>
          </w:tcPr>
          <w:p>
            <w:pPr>
              <w:spacing w:after="80"/>
            </w:pPr>
            <w:r/>
            <w:r>
              <w:rPr>
                <w:b w:val="0"/>
                <w:sz w:val="17"/>
              </w:rPr>
              <w:t>Interpreter</w:t>
            </w:r>
          </w:p>
        </w:tc>
        <w:tc>
          <w:tcPr>
            <w:tcW w:type="dxa" w:w="6905"/>
          </w:tcPr>
          <w:p>
            <w:pPr>
              <w:spacing w:after="80"/>
            </w:pPr>
            <w:r/>
            <w:r>
              <w:rPr>
                <w:b w:val="0"/>
                <w:sz w:val="17"/>
              </w:rPr>
              <w:t>Python 3.13.14</w:t>
            </w:r>
          </w:p>
        </w:tc>
      </w:tr>
      <w:tr>
        <w:tc>
          <w:tcPr>
            <w:tcW w:type="dxa" w:w="2959"/>
          </w:tcPr>
          <w:p>
            <w:pPr>
              <w:spacing w:after="80"/>
            </w:pPr>
            <w:r/>
            <w:r>
              <w:rPr>
                <w:b w:val="0"/>
                <w:sz w:val="17"/>
              </w:rPr>
              <w:t>Test framework</w:t>
            </w:r>
          </w:p>
        </w:tc>
        <w:tc>
          <w:tcPr>
            <w:tcW w:type="dxa" w:w="6905"/>
          </w:tcPr>
          <w:p>
            <w:pPr>
              <w:spacing w:after="80"/>
            </w:pPr>
            <w:r/>
            <w:r>
              <w:rPr>
                <w:b w:val="0"/>
                <w:sz w:val="17"/>
              </w:rPr>
              <w:t>pytest 9.1.1</w:t>
            </w:r>
          </w:p>
        </w:tc>
      </w:tr>
      <w:tr>
        <w:tc>
          <w:tcPr>
            <w:tcW w:type="dxa" w:w="2959"/>
          </w:tcPr>
          <w:p>
            <w:pPr>
              <w:spacing w:after="80"/>
            </w:pPr>
            <w:r/>
            <w:r>
              <w:rPr>
                <w:b w:val="0"/>
                <w:sz w:val="17"/>
              </w:rPr>
              <w:t>API and persistence</w:t>
            </w:r>
          </w:p>
        </w:tc>
        <w:tc>
          <w:tcPr>
            <w:tcW w:type="dxa" w:w="6905"/>
          </w:tcPr>
          <w:p>
            <w:pPr>
              <w:spacing w:after="80"/>
            </w:pPr>
            <w:r/>
            <w:r>
              <w:rPr>
                <w:b w:val="0"/>
                <w:sz w:val="17"/>
              </w:rPr>
              <w:t>FastAPI 0.143.0; SQLAlchemy 2.1.4; disposable SQLite</w:t>
            </w:r>
          </w:p>
        </w:tc>
      </w:tr>
      <w:tr>
        <w:tc>
          <w:tcPr>
            <w:tcW w:type="dxa" w:w="2959"/>
          </w:tcPr>
          <w:p>
            <w:pPr>
              <w:spacing w:after="80"/>
            </w:pPr>
            <w:r/>
            <w:r>
              <w:rPr>
                <w:b w:val="0"/>
                <w:sz w:val="17"/>
              </w:rPr>
              <w:t>Local inference</w:t>
            </w:r>
          </w:p>
        </w:tc>
        <w:tc>
          <w:tcPr>
            <w:tcW w:type="dxa" w:w="6905"/>
          </w:tcPr>
          <w:p>
            <w:pPr>
              <w:spacing w:after="80"/>
            </w:pPr>
            <w:r/>
            <w:r>
              <w:rPr>
                <w:b w:val="0"/>
                <w:sz w:val="17"/>
              </w:rPr>
              <w:t>ONNX Runtime 1.31.0; sentencepiece 0.2.2</w:t>
            </w:r>
          </w:p>
        </w:tc>
      </w:tr>
      <w:tr>
        <w:tc>
          <w:tcPr>
            <w:tcW w:type="dxa" w:w="2959"/>
          </w:tcPr>
          <w:p>
            <w:pPr>
              <w:spacing w:after="80"/>
            </w:pPr>
            <w:r/>
            <w:r>
              <w:rPr>
                <w:b w:val="0"/>
                <w:sz w:val="17"/>
              </w:rPr>
              <w:t>Network boundary</w:t>
            </w:r>
          </w:p>
        </w:tc>
        <w:tc>
          <w:tcPr>
            <w:tcW w:type="dxa" w:w="6905"/>
          </w:tcPr>
          <w:p>
            <w:pPr>
              <w:spacing w:after="80"/>
            </w:pPr>
            <w:r/>
            <w:r>
              <w:rPr>
                <w:b w:val="0"/>
                <w:sz w:val="17"/>
              </w:rPr>
              <w:t>Uvicorn bound to 127.0.0.1:18763; HTTP loopback; no public exposure.</w:t>
            </w:r>
          </w:p>
        </w:tc>
      </w:tr>
      <w:tr>
        <w:tc>
          <w:tcPr>
            <w:tcW w:type="dxa" w:w="2959"/>
          </w:tcPr>
          <w:p>
            <w:pPr>
              <w:spacing w:after="80"/>
            </w:pPr>
            <w:r/>
            <w:r>
              <w:rPr>
                <w:b w:val="0"/>
                <w:sz w:val="17"/>
              </w:rPr>
              <w:t>Run configuration</w:t>
            </w:r>
          </w:p>
        </w:tc>
        <w:tc>
          <w:tcPr>
            <w:tcW w:type="dxa" w:w="6905"/>
          </w:tcPr>
          <w:p>
            <w:pPr>
              <w:spacing w:after="80"/>
            </w:pPr>
            <w:r/>
            <w:r>
              <w:rPr>
                <w:b w:val="0"/>
                <w:sz w:val="17"/>
              </w:rPr>
              <w:t>APP_ENV=sandbox; all four model modes auto; assistant cloud disabled.</w:t>
            </w:r>
          </w:p>
        </w:tc>
      </w:tr>
      <w:tr>
        <w:tc>
          <w:tcPr>
            <w:tcW w:type="dxa" w:w="2959"/>
          </w:tcPr>
          <w:p>
            <w:pPr>
              <w:spacing w:after="80"/>
            </w:pPr>
            <w:r/>
            <w:r>
              <w:rPr>
                <w:b w:val="0"/>
                <w:sz w:val="17"/>
              </w:rPr>
              <w:t>Run window</w:t>
            </w:r>
          </w:p>
        </w:tc>
        <w:tc>
          <w:tcPr>
            <w:tcW w:type="dxa" w:w="6905"/>
          </w:tcPr>
          <w:p>
            <w:pPr>
              <w:spacing w:after="80"/>
            </w:pPr>
            <w:r/>
            <w:r>
              <w:rPr>
                <w:b w:val="0"/>
                <w:sz w:val="17"/>
              </w:rPr>
              <w:t>2026-10-18T10:07:13 to 2026-10-18T10:08:24 UTC</w:t>
            </w:r>
          </w:p>
        </w:tc>
      </w:tr>
    </w:tbl>
    <w:p/>
    <w:p>
      <w:pPr>
        <w:pStyle w:val="Heading2"/>
      </w:pPr>
      <w:r>
        <w:rPr>
          <w:b w:val="0"/>
        </w:rPr>
        <w:t>Real local integration vs test doubles</w:t>
      </w:r>
    </w:p>
    <w:p>
      <w:r>
        <w:rPr>
          <w:b w:val="0"/>
        </w:rP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pPr>
        <w:pStyle w:val="Heading2"/>
      </w:pPr>
      <w:r>
        <w:rPr>
          <w:b w:val="0"/>
        </w:rPr>
        <w:t>Reproducibility limitations</w:t>
      </w:r>
    </w:p>
    <w:p>
      <w:pPr>
        <w:pStyle w:val="ListBullet"/>
      </w:pPr>
      <w:r>
        <w:rPr>
          <w:b w:val="0"/>
        </w:rPr>
        <w:t>Dependencies were reused from the available environment; this is not a clean installation certification.</w:t>
      </w:r>
    </w:p>
    <w:p>
      <w:pPr>
        <w:pStyle w:val="ListBullet"/>
      </w:pPr>
      <w:r>
        <w:rPr>
          <w:b w:val="0"/>
        </w:rPr>
        <w:t>No frontend build, desktop/mobile browser suite, Docker run, model training or new benchmark dataset was executed for this report.</w:t>
      </w:r>
    </w:p>
    <w:p>
      <w:pPr>
        <w:pStyle w:val="ListBullet"/>
      </w:pPr>
      <w:r>
        <w:rPr>
          <w:b w:val="0"/>
        </w:rPr>
        <w:t>The health field ai_mode=llm identifies a language-model path, not a remote provider call. The independent load check identifies LocalExplainerLLM; operator cloud configuration was disabled.</w:t>
      </w:r>
    </w:p>
    <w:p>
      <w:pPr>
        <w:shd w:fill="EDF5F7"/>
      </w:pPr>
      <w:r>
        <w:rPr>
          <w:b w:val="0"/>
          <w:sz w:val="18"/>
        </w:rPr>
      </w:r>
      <w:r>
        <w:rPr>
          <w:b/>
          <w:sz w:val="18"/>
        </w:rPr>
        <w:t>Privacy</w:t>
      </w:r>
      <w:r>
        <w:rPr>
          <w:b w:val="0"/>
          <w:sz w:val="18"/>
        </w:rPr>
        <w:t xml:space="preserve"> — The private local database, generated encryption/signing keys, dev_secrets.json and test caches are intentionally not included in the evidence bundle. Public evidence contains only synthetic scenario data and recorded results.</w:t>
      </w:r>
    </w:p>
    <w:p>
      <w:r>
        <w:br w:type="page"/>
      </w:r>
    </w:p>
    <w:p>
      <w:pPr>
        <w:pStyle w:val="Subtitle"/>
      </w:pPr>
      <w:r>
        <w:t>04 / FRESH — COMPLETE SUPPLIED SUITE</w:t>
      </w:r>
    </w:p>
    <w:p>
      <w:pPr>
        <w:pStyle w:val="Heading1"/>
      </w:pPr>
      <w:r>
        <w:t>Backend regression results</w:t>
      </w:r>
    </w:p>
    <w:p>
      <w:r>
        <w:rPr>
          <w:b w:val="0"/>
        </w:rPr>
        <w:t xml:space="preserve">The complete supplied backend suite was executed without modifying application source. Result: </w:t>
      </w:r>
      <w:r>
        <w:rPr>
          <w:b/>
        </w:rPr>
        <w:t>1,672 passed / 0 failed / 0 errors / 1 skipped</w:t>
      </w:r>
      <w:r>
        <w:rPr>
          <w:b w:val="0"/>
        </w:rPr>
        <w:t xml:space="preserve">; </w:t>
      </w:r>
      <w:r>
        <w:rPr>
          <w:b/>
        </w:rPr>
        <w:t>1,673 collected cases</w:t>
      </w:r>
      <w:r>
        <w:rPr>
          <w:b w:val="0"/>
        </w:rPr>
        <w:t xml:space="preserve">, recorded suite duration </w:t>
      </w:r>
      <w:r>
        <w:rPr>
          <w:b/>
        </w:rPr>
        <w:t>375.54 seconds</w:t>
      </w:r>
      <w:r>
        <w:rPr>
          <w:b w:val="0"/>
        </w:rPr>
        <w:t>. Exact test-level outcomes are preserved in JUnit. [E01]</w:t>
      </w:r>
    </w:p>
    <w:p>
      <w:pPr>
        <w:spacing w:after="160"/>
      </w:pPr>
      <w:r>
        <w:rPr>
          <w:rFonts w:ascii="Courier New" w:hAnsi="Courier New"/>
          <w:sz w:val="16"/>
        </w:rPr>
        <w:t>cd StudyRoute-main/backend</w:t>
        <w:br/>
        <w:t>python -m pytest -o addopts='' -q \</w:t>
        <w:br/>
        <w:t xml:space="preserve">  --junitxml=../../validation/backend-current.xml</w:t>
      </w:r>
    </w:p>
    <w:p>
      <w:pPr>
        <w:shd w:fill="EDF5F7"/>
      </w:pPr>
      <w:r>
        <w:rPr>
          <w:b w:val="0"/>
          <w:sz w:val="18"/>
        </w:rPr>
      </w:r>
      <w:r>
        <w:rPr>
          <w:b/>
          <w:sz w:val="18"/>
        </w:rPr>
        <w:t>One module-level skip</w:t>
      </w:r>
      <w:r>
        <w:rPr>
          <w:b w:val="0"/>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pPr>
        <w:pStyle w:val="Heading2"/>
      </w:pPr>
      <w:r>
        <w:rPr>
          <w:b w:val="0"/>
        </w:rPr>
        <w:t>Security and financial coverage</w:t>
      </w:r>
    </w:p>
    <w:tbl>
      <w:tblPr>
        <w:tblStyle w:val="LightShading-Accent1"/>
        <w:tblW w:type="auto" w:w="0"/>
        <w:tblLook w:firstColumn="1" w:firstRow="1" w:lastColumn="0" w:lastRow="0" w:noHBand="0" w:noVBand="1" w:val="04A0"/>
      </w:tblPr>
      <w:tblGrid>
        <w:gridCol w:w="4946"/>
        <w:gridCol w:w="4946"/>
      </w:tblGrid>
      <w:tr>
        <w:trPr>
          <w:tblHeader/>
        </w:trPr>
        <w:tc>
          <w:tcPr>
            <w:tcW w:type="dxa" w:w="3156"/>
            <w:shd w:fill="102B46"/>
          </w:tcPr>
          <w:p>
            <w:r>
              <w:rPr>
                <w:b/>
                <w:color w:val="FFFFFF"/>
                <w:sz w:val="17"/>
              </w:rPr>
              <w:t>Family</w:t>
            </w:r>
          </w:p>
        </w:tc>
        <w:tc>
          <w:tcPr>
            <w:tcW w:type="dxa" w:w="6708"/>
            <w:shd w:fill="102B46"/>
          </w:tcPr>
          <w:p>
            <w:r>
              <w:rPr>
                <w:b/>
                <w:color w:val="FFFFFF"/>
                <w:sz w:val="17"/>
              </w:rPr>
              <w:t>Representative supplied modules</w:t>
            </w:r>
          </w:p>
        </w:tc>
      </w:tr>
      <w:tr>
        <w:tc>
          <w:tcPr>
            <w:tcW w:type="dxa" w:w="3156"/>
          </w:tcPr>
          <w:p>
            <w:pPr>
              <w:spacing w:after="80"/>
            </w:pPr>
            <w:r/>
            <w:r>
              <w:rPr>
                <w:b w:val="0"/>
                <w:sz w:val="17"/>
              </w:rPr>
              <w:t>Identity and sessions</w:t>
            </w:r>
          </w:p>
        </w:tc>
        <w:tc>
          <w:tcPr>
            <w:tcW w:type="dxa" w:w="6708"/>
          </w:tcPr>
          <w:p>
            <w:pPr>
              <w:spacing w:after="80"/>
            </w:pPr>
            <w:r/>
            <w:r>
              <w:rPr>
                <w:b w:val="0"/>
                <w:sz w:val="17"/>
              </w:rPr>
              <w:t>test_api_auth; test_browser_session; test_security_thief</w:t>
            </w:r>
          </w:p>
        </w:tc>
      </w:tr>
      <w:tr>
        <w:tc>
          <w:tcPr>
            <w:tcW w:type="dxa" w:w="3156"/>
          </w:tcPr>
          <w:p>
            <w:pPr>
              <w:spacing w:after="80"/>
            </w:pPr>
            <w:r/>
            <w:r>
              <w:rPr>
                <w:b w:val="0"/>
                <w:sz w:val="17"/>
              </w:rPr>
              <w:t>Least privilege / tenants</w:t>
            </w:r>
          </w:p>
        </w:tc>
        <w:tc>
          <w:tcPr>
            <w:tcW w:type="dxa" w:w="6708"/>
          </w:tcPr>
          <w:p>
            <w:pPr>
              <w:spacing w:after="80"/>
            </w:pPr>
            <w:r/>
            <w:r>
              <w:rPr>
                <w:b w:val="0"/>
                <w:sz w:val="17"/>
              </w:rPr>
              <w:t>test_rbac; test_api_roles; test_api_ai_rbac; test_security_households</w:t>
            </w:r>
          </w:p>
        </w:tc>
      </w:tr>
      <w:tr>
        <w:tc>
          <w:tcPr>
            <w:tcW w:type="dxa" w:w="3156"/>
          </w:tcPr>
          <w:p>
            <w:pPr>
              <w:spacing w:after="80"/>
            </w:pPr>
            <w:r/>
            <w:r>
              <w:rPr>
                <w:b w:val="0"/>
                <w:sz w:val="17"/>
              </w:rPr>
              <w:t>Payment guardrails</w:t>
            </w:r>
          </w:p>
        </w:tc>
        <w:tc>
          <w:tcPr>
            <w:tcW w:type="dxa" w:w="6708"/>
          </w:tcPr>
          <w:p>
            <w:pPr>
              <w:spacing w:after="80"/>
            </w:pPr>
            <w:r/>
            <w:r>
              <w:rPr>
                <w:b w:val="0"/>
                <w:sz w:val="17"/>
              </w:rPr>
              <w:t>test_api_payment_guards; test_api_idempotency; test_api_payments</w:t>
            </w:r>
          </w:p>
        </w:tc>
      </w:tr>
      <w:tr>
        <w:tc>
          <w:tcPr>
            <w:tcW w:type="dxa" w:w="3156"/>
          </w:tcPr>
          <w:p>
            <w:pPr>
              <w:spacing w:after="80"/>
            </w:pPr>
            <w:r/>
            <w:r>
              <w:rPr>
                <w:b w:val="0"/>
                <w:sz w:val="17"/>
              </w:rPr>
              <w:t>Authentic provider events</w:t>
            </w:r>
          </w:p>
        </w:tc>
        <w:tc>
          <w:tcPr>
            <w:tcW w:type="dxa" w:w="6708"/>
          </w:tcPr>
          <w:p>
            <w:pPr>
              <w:spacing w:after="80"/>
            </w:pPr>
            <w:r/>
            <w:r>
              <w:rPr>
                <w:b w:val="0"/>
                <w:sz w:val="17"/>
              </w:rPr>
              <w:t>test_api_webhooks; test_webhook_signing</w:t>
            </w:r>
          </w:p>
        </w:tc>
      </w:tr>
      <w:tr>
        <w:tc>
          <w:tcPr>
            <w:tcW w:type="dxa" w:w="3156"/>
          </w:tcPr>
          <w:p>
            <w:pPr>
              <w:spacing w:after="80"/>
            </w:pPr>
            <w:r/>
            <w:r>
              <w:rPr>
                <w:b w:val="0"/>
                <w:sz w:val="17"/>
              </w:rPr>
              <w:t>Audit / tamper boundary</w:t>
            </w:r>
          </w:p>
        </w:tc>
        <w:tc>
          <w:tcPr>
            <w:tcW w:type="dxa" w:w="6708"/>
          </w:tcPr>
          <w:p>
            <w:pPr>
              <w:spacing w:after="80"/>
            </w:pPr>
            <w:r/>
            <w:r>
              <w:rPr>
                <w:b w:val="0"/>
                <w:sz w:val="17"/>
              </w:rPr>
              <w:t>test_audit; test_api_audit_config; test_release_hardening</w:t>
            </w:r>
          </w:p>
        </w:tc>
      </w:tr>
      <w:tr>
        <w:tc>
          <w:tcPr>
            <w:tcW w:type="dxa" w:w="3156"/>
          </w:tcPr>
          <w:p>
            <w:pPr>
              <w:spacing w:after="80"/>
            </w:pPr>
            <w:r/>
            <w:r>
              <w:rPr>
                <w:b w:val="0"/>
                <w:sz w:val="17"/>
              </w:rPr>
              <w:t>Data protection</w:t>
            </w:r>
          </w:p>
        </w:tc>
        <w:tc>
          <w:tcPr>
            <w:tcW w:type="dxa" w:w="6708"/>
          </w:tcPr>
          <w:p>
            <w:pPr>
              <w:spacing w:after="80"/>
            </w:pPr>
            <w:r/>
            <w:r>
              <w:rPr>
                <w:b w:val="0"/>
                <w:sz w:val="17"/>
              </w:rPr>
              <w:t>test_documents_at_rest; test_security_leaks; test_saved_ai_connection</w:t>
            </w:r>
          </w:p>
        </w:tc>
      </w:tr>
      <w:tr>
        <w:tc>
          <w:tcPr>
            <w:tcW w:type="dxa" w:w="3156"/>
          </w:tcPr>
          <w:p>
            <w:pPr>
              <w:spacing w:after="80"/>
            </w:pPr>
            <w:r/>
            <w:r>
              <w:rPr>
                <w:b w:val="0"/>
                <w:sz w:val="17"/>
              </w:rPr>
              <w:t>Banking / escrow / review</w:t>
            </w:r>
          </w:p>
        </w:tc>
        <w:tc>
          <w:tcPr>
            <w:tcW w:type="dxa" w:w="6708"/>
          </w:tcPr>
          <w:p>
            <w:pPr>
              <w:spacing w:after="80"/>
            </w:pPr>
            <w:r/>
            <w:r>
              <w:rPr>
                <w:b w:val="0"/>
                <w:sz w:val="17"/>
              </w:rPr>
              <w:t>test_ledger; test_api_bank; test_bank_review; escrow and chain modules</w:t>
            </w:r>
          </w:p>
        </w:tc>
      </w:tr>
      <w:tr>
        <w:tc>
          <w:tcPr>
            <w:tcW w:type="dxa" w:w="3156"/>
          </w:tcPr>
          <w:p>
            <w:pPr>
              <w:spacing w:after="80"/>
            </w:pPr>
            <w:r/>
            <w:r>
              <w:rPr>
                <w:b w:val="0"/>
                <w:sz w:val="17"/>
              </w:rPr>
              <w:t>AI deterministic envelope</w:t>
            </w:r>
          </w:p>
        </w:tc>
        <w:tc>
          <w:tcPr>
            <w:tcW w:type="dxa" w:w="6708"/>
          </w:tcPr>
          <w:p>
            <w:pPr>
              <w:spacing w:after="80"/>
            </w:pPr>
            <w:r/>
            <w:r>
              <w:rPr>
                <w:b w:val="0"/>
                <w:sz w:val="17"/>
              </w:rPr>
              <w:t>test_ai_redteam; test_ai_number_guard; NLU, policy, risk and explainer modules</w:t>
            </w:r>
          </w:p>
        </w:tc>
      </w:tr>
    </w:tbl>
    <w:p/>
    <w:p>
      <w:pPr>
        <w:shd w:fill="EDF5F7"/>
      </w:pPr>
      <w:r>
        <w:rPr>
          <w:b w:val="0"/>
          <w:sz w:val="18"/>
        </w:rPr>
      </w:r>
      <w:r>
        <w:rPr>
          <w:b/>
          <w:sz w:val="18"/>
        </w:rPr>
        <w:t>No double counting</w:t>
      </w:r>
      <w:r>
        <w:rPr>
          <w:b w:val="0"/>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r>
        <w:br w:type="page"/>
      </w:r>
    </w:p>
    <w:p>
      <w:pPr>
        <w:pStyle w:val="Subtitle"/>
      </w:pPr>
      <w:r>
        <w:t>05 / FRESH — SCENARIOS 01–08</w:t>
      </w:r>
    </w:p>
    <w:p>
      <w:pPr>
        <w:pStyle w:val="Heading1"/>
      </w:pPr>
      <w:r>
        <w:t>Demonstration: preparation &amp; approval</w:t>
      </w:r>
    </w:p>
    <w:p>
      <w:r>
        <w:rPr>
          <w:b w:val="0"/>
        </w:rP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01</w:t>
            </w:r>
          </w:p>
        </w:tc>
        <w:tc>
          <w:tcPr>
            <w:tcW w:type="dxa" w:w="2762"/>
          </w:tcPr>
          <w:p>
            <w:pPr>
              <w:spacing w:after="80"/>
            </w:pPr>
            <w:r/>
            <w:r>
              <w:rPr>
                <w:b w:val="0"/>
                <w:sz w:val="17"/>
              </w:rPr>
              <w:t>Dashboard and deadline</w:t>
            </w:r>
          </w:p>
        </w:tc>
        <w:tc>
          <w:tcPr>
            <w:tcW w:type="dxa" w:w="6116"/>
          </w:tcPr>
          <w:p>
            <w:pPr>
              <w:spacing w:after="80"/>
            </w:pPr>
            <w:r/>
            <w:r>
              <w:rPr>
                <w:b w:val="0"/>
                <w:sz w:val="17"/>
              </w:rPr>
              <w:t>Synthetic tuition goal and deadline are present.</w:t>
            </w:r>
          </w:p>
        </w:tc>
      </w:tr>
      <w:tr>
        <w:tc>
          <w:tcPr>
            <w:tcW w:type="dxa" w:w="986"/>
          </w:tcPr>
          <w:p>
            <w:pPr>
              <w:spacing w:after="80"/>
            </w:pPr>
            <w:r/>
            <w:r>
              <w:rPr>
                <w:b w:val="0"/>
                <w:sz w:val="17"/>
              </w:rPr>
              <w:t>02</w:t>
            </w:r>
          </w:p>
        </w:tc>
        <w:tc>
          <w:tcPr>
            <w:tcW w:type="dxa" w:w="2762"/>
          </w:tcPr>
          <w:p>
            <w:pPr>
              <w:spacing w:after="80"/>
            </w:pPr>
            <w:r/>
            <w:r>
              <w:rPr>
                <w:b w:val="0"/>
                <w:sz w:val="17"/>
              </w:rPr>
              <w:t>Compare providers</w:t>
            </w:r>
          </w:p>
        </w:tc>
        <w:tc>
          <w:tcPr>
            <w:tcW w:type="dxa" w:w="6116"/>
          </w:tcPr>
          <w:p>
            <w:pPr>
              <w:spacing w:after="80"/>
            </w:pPr>
            <w:r/>
            <w:r>
              <w:rPr>
                <w:b w:val="0"/>
                <w:sz w:val="17"/>
              </w:rPr>
              <w:t>Three synthetic providers ranked by deterministic total cost, not a live quote.</w:t>
            </w:r>
          </w:p>
        </w:tc>
      </w:tr>
      <w:tr>
        <w:tc>
          <w:tcPr>
            <w:tcW w:type="dxa" w:w="986"/>
          </w:tcPr>
          <w:p>
            <w:pPr>
              <w:spacing w:after="80"/>
            </w:pPr>
            <w:r/>
            <w:r>
              <w:rPr>
                <w:b w:val="0"/>
                <w:sz w:val="17"/>
              </w:rPr>
              <w:t>03</w:t>
            </w:r>
          </w:p>
        </w:tc>
        <w:tc>
          <w:tcPr>
            <w:tcW w:type="dxa" w:w="2762"/>
          </w:tcPr>
          <w:p>
            <w:pPr>
              <w:spacing w:after="80"/>
            </w:pPr>
            <w:r/>
            <w:r>
              <w:rPr>
                <w:b w:val="0"/>
                <w:sz w:val="17"/>
              </w:rPr>
              <w:t>Explain comparison</w:t>
            </w:r>
          </w:p>
        </w:tc>
        <w:tc>
          <w:tcPr>
            <w:tcW w:type="dxa" w:w="6116"/>
          </w:tcPr>
          <w:p>
            <w:pPr>
              <w:spacing w:after="80"/>
            </w:pPr>
            <w:r/>
            <w:r>
              <w:rPr>
                <w:b w:val="0"/>
                <w:sz w:val="17"/>
              </w:rPr>
              <w:t>Assistant answer grounded in available engine facts.</w:t>
            </w:r>
          </w:p>
        </w:tc>
      </w:tr>
      <w:tr>
        <w:tc>
          <w:tcPr>
            <w:tcW w:type="dxa" w:w="986"/>
          </w:tcPr>
          <w:p>
            <w:pPr>
              <w:spacing w:after="80"/>
            </w:pPr>
            <w:r/>
            <w:r>
              <w:rPr>
                <w:b w:val="0"/>
                <w:sz w:val="17"/>
              </w:rPr>
              <w:t>04</w:t>
            </w:r>
          </w:p>
        </w:tc>
        <w:tc>
          <w:tcPr>
            <w:tcW w:type="dxa" w:w="2762"/>
          </w:tcPr>
          <w:p>
            <w:pPr>
              <w:spacing w:after="80"/>
            </w:pPr>
            <w:r/>
            <w:r>
              <w:rPr>
                <w:b w:val="0"/>
                <w:sz w:val="17"/>
              </w:rPr>
              <w:t>Sentence → plan</w:t>
            </w:r>
          </w:p>
        </w:tc>
        <w:tc>
          <w:tcPr>
            <w:tcW w:type="dxa" w:w="6116"/>
          </w:tcPr>
          <w:p>
            <w:pPr>
              <w:spacing w:after="80"/>
            </w:pPr>
            <w:r/>
            <w:r>
              <w:rPr>
                <w:b w:val="0"/>
                <w:sz w:val="17"/>
              </w:rPr>
              <w:t>Planning remains separate from execution; human decision required.</w:t>
            </w:r>
          </w:p>
        </w:tc>
      </w:tr>
      <w:tr>
        <w:tc>
          <w:tcPr>
            <w:tcW w:type="dxa" w:w="986"/>
          </w:tcPr>
          <w:p>
            <w:pPr>
              <w:spacing w:after="80"/>
            </w:pPr>
            <w:r/>
            <w:r>
              <w:rPr>
                <w:b w:val="0"/>
                <w:sz w:val="17"/>
              </w:rPr>
              <w:t>05</w:t>
            </w:r>
          </w:p>
        </w:tc>
        <w:tc>
          <w:tcPr>
            <w:tcW w:type="dxa" w:w="2762"/>
          </w:tcPr>
          <w:p>
            <w:pPr>
              <w:spacing w:after="80"/>
            </w:pPr>
            <w:r/>
            <w:r>
              <w:rPr>
                <w:b w:val="0"/>
                <w:sz w:val="17"/>
              </w:rPr>
              <w:t>Draft + safe retry</w:t>
            </w:r>
          </w:p>
        </w:tc>
        <w:tc>
          <w:tcPr>
            <w:tcW w:type="dxa" w:w="6116"/>
          </w:tcPr>
          <w:p>
            <w:pPr>
              <w:spacing w:after="80"/>
            </w:pPr>
            <w:r/>
            <w:r>
              <w:rPr>
                <w:b w:val="0"/>
                <w:sz w:val="17"/>
              </w:rPr>
              <w:t>Same idempotency key returns the same payment rather than duplicating it.</w:t>
            </w:r>
          </w:p>
        </w:tc>
      </w:tr>
      <w:tr>
        <w:tc>
          <w:tcPr>
            <w:tcW w:type="dxa" w:w="986"/>
          </w:tcPr>
          <w:p>
            <w:pPr>
              <w:spacing w:after="80"/>
            </w:pPr>
            <w:r/>
            <w:r>
              <w:rPr>
                <w:b w:val="0"/>
                <w:sz w:val="17"/>
              </w:rPr>
              <w:t>06</w:t>
            </w:r>
          </w:p>
        </w:tc>
        <w:tc>
          <w:tcPr>
            <w:tcW w:type="dxa" w:w="2762"/>
          </w:tcPr>
          <w:p>
            <w:pPr>
              <w:spacing w:after="80"/>
            </w:pPr>
            <w:r/>
            <w:r>
              <w:rPr>
                <w:b w:val="0"/>
                <w:sz w:val="17"/>
              </w:rPr>
              <w:t>KYC gate</w:t>
            </w:r>
          </w:p>
        </w:tc>
        <w:tc>
          <w:tcPr>
            <w:tcW w:type="dxa" w:w="6116"/>
          </w:tcPr>
          <w:p>
            <w:pPr>
              <w:spacing w:after="80"/>
            </w:pPr>
            <w:r/>
            <w:r>
              <w:rPr>
                <w:b w:val="0"/>
                <w:sz w:val="17"/>
              </w:rPr>
              <w:t>Request blocked while mock KYC requirements are unmet.</w:t>
            </w:r>
          </w:p>
        </w:tc>
      </w:tr>
      <w:tr>
        <w:tc>
          <w:tcPr>
            <w:tcW w:type="dxa" w:w="986"/>
          </w:tcPr>
          <w:p>
            <w:pPr>
              <w:spacing w:after="80"/>
            </w:pPr>
            <w:r/>
            <w:r>
              <w:rPr>
                <w:b w:val="0"/>
                <w:sz w:val="17"/>
              </w:rPr>
              <w:t>07</w:t>
            </w:r>
          </w:p>
        </w:tc>
        <w:tc>
          <w:tcPr>
            <w:tcW w:type="dxa" w:w="2762"/>
          </w:tcPr>
          <w:p>
            <w:pPr>
              <w:spacing w:after="80"/>
            </w:pPr>
            <w:r/>
            <w:r>
              <w:rPr>
                <w:b w:val="0"/>
                <w:sz w:val="17"/>
              </w:rPr>
              <w:t>Prepare authorization</w:t>
            </w:r>
          </w:p>
        </w:tc>
        <w:tc>
          <w:tcPr>
            <w:tcW w:type="dxa" w:w="6116"/>
          </w:tcPr>
          <w:p>
            <w:pPr>
              <w:spacing w:after="80"/>
            </w:pPr>
            <w:r/>
            <w:r>
              <w:rPr>
                <w:b w:val="0"/>
                <w:sz w:val="17"/>
              </w:rPr>
              <w:t>Mock KYC reviewed; recipient allowlisted using the demo’s step-up path.</w:t>
            </w:r>
          </w:p>
        </w:tc>
      </w:tr>
      <w:tr>
        <w:tc>
          <w:tcPr>
            <w:tcW w:type="dxa" w:w="986"/>
          </w:tcPr>
          <w:p>
            <w:pPr>
              <w:spacing w:after="80"/>
            </w:pPr>
            <w:r/>
            <w:r>
              <w:rPr>
                <w:b w:val="0"/>
                <w:sz w:val="17"/>
              </w:rPr>
              <w:t>08</w:t>
            </w:r>
          </w:p>
        </w:tc>
        <w:tc>
          <w:tcPr>
            <w:tcW w:type="dxa" w:w="2762"/>
          </w:tcPr>
          <w:p>
            <w:pPr>
              <w:spacing w:after="80"/>
            </w:pPr>
            <w:r/>
            <w:r>
              <w:rPr>
                <w:b w:val="0"/>
                <w:sz w:val="17"/>
              </w:rPr>
              <w:t>Approve safely</w:t>
            </w:r>
          </w:p>
        </w:tc>
        <w:tc>
          <w:tcPr>
            <w:tcW w:type="dxa" w:w="6116"/>
          </w:tcPr>
          <w:p>
            <w:pPr>
              <w:spacing w:after="80"/>
            </w:pPr>
            <w:r/>
            <w:r>
              <w:rPr>
                <w:b w:val="0"/>
                <w:sz w:val="17"/>
              </w:rPr>
              <w:t>Student/insufficient-proof paths refused; parent proof accepted; replay safe.</w:t>
            </w:r>
          </w:p>
        </w:tc>
      </w:tr>
    </w:tbl>
    <w:p/>
    <w:p>
      <w:pPr>
        <w:pStyle w:val="Heading2"/>
      </w:pPr>
      <w:r>
        <w:rPr>
          <w:b w:val="0"/>
        </w:rPr>
        <w:t>Core invariants</w:t>
      </w:r>
    </w:p>
    <w:p>
      <w:pPr>
        <w:pStyle w:val="ListBullet"/>
      </w:pPr>
      <w:r>
        <w:rPr>
          <w:b w:val="0"/>
        </w:rPr>
        <w:t>A conversational suggestion is not authorization to send money.</w:t>
      </w:r>
    </w:p>
    <w:p>
      <w:pPr>
        <w:pStyle w:val="ListBullet"/>
      </w:pPr>
      <w:r>
        <w:rPr>
          <w:b w:val="0"/>
        </w:rPr>
        <w:t>The request/approval path re-evaluates its required guards.</w:t>
      </w:r>
    </w:p>
    <w:p>
      <w:pPr>
        <w:pStyle w:val="ListBullet"/>
      </w:pPr>
      <w:r>
        <w:rPr>
          <w:b w:val="0"/>
        </w:rPr>
        <w:t>MFA, summary consistency, role and replay constraints are distinct controls.</w:t>
      </w:r>
    </w:p>
    <w:p>
      <w:pPr>
        <w:pStyle w:val="ListBullet"/>
      </w:pPr>
      <w:r>
        <w:rPr>
          <w:b w:val="0"/>
        </w:rPr>
        <w:t>All credentials and identities in this run were sandbox fixtures.</w:t>
      </w:r>
    </w:p>
    <w:p>
      <w:pPr>
        <w:shd w:fill="EDF5F7"/>
      </w:pPr>
      <w:r>
        <w:rPr>
          <w:b w:val="0"/>
          <w:sz w:val="18"/>
        </w:rPr>
      </w:r>
      <w:r>
        <w:rPr>
          <w:b/>
          <w:sz w:val="18"/>
        </w:rPr>
        <w:t>Demonstration limitation</w:t>
      </w:r>
      <w:r>
        <w:rPr>
          <w:b w:val="0"/>
          <w:sz w:val="18"/>
        </w:rPr>
        <w:t xml:space="preserve"> — The sandbox MFA code and mock KYC are intentionally unsuitable for production identity assurance. “Passed approval” here means the coded synthetic workflow completed, not that a bank or regulator approved a payment.</w:t>
      </w:r>
    </w:p>
    <w:p>
      <w:r>
        <w:br w:type="page"/>
      </w:r>
    </w:p>
    <w:p>
      <w:pPr>
        <w:pStyle w:val="Subtitle"/>
      </w:pPr>
      <w:r>
        <w:t>06 / FRESH — SCENARIOS 09–14</w:t>
      </w:r>
    </w:p>
    <w:p>
      <w:pPr>
        <w:pStyle w:val="Heading1"/>
      </w:pPr>
      <w:r>
        <w:t>Demonstration: settlement &amp; integrity</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09</w:t>
            </w:r>
          </w:p>
        </w:tc>
        <w:tc>
          <w:tcPr>
            <w:tcW w:type="dxa" w:w="2762"/>
          </w:tcPr>
          <w:p>
            <w:pPr>
              <w:spacing w:after="80"/>
            </w:pPr>
            <w:r/>
            <w:r>
              <w:rPr>
                <w:b w:val="0"/>
                <w:sz w:val="17"/>
              </w:rPr>
              <w:t>Hostile inputs</w:t>
            </w:r>
          </w:p>
        </w:tc>
        <w:tc>
          <w:tcPr>
            <w:tcW w:type="dxa" w:w="6116"/>
          </w:tcPr>
          <w:p>
            <w:pPr>
              <w:spacing w:after="80"/>
            </w:pPr>
            <w:r/>
            <w:r>
              <w:rPr>
                <w:b w:val="0"/>
                <w:sz w:val="17"/>
              </w:rPr>
              <w:t>Forged webhook rejected; tested prompt-injection instruction refused.</w:t>
            </w:r>
          </w:p>
        </w:tc>
      </w:tr>
      <w:tr>
        <w:tc>
          <w:tcPr>
            <w:tcW w:type="dxa" w:w="986"/>
          </w:tcPr>
          <w:p>
            <w:pPr>
              <w:spacing w:after="80"/>
            </w:pPr>
            <w:r/>
            <w:r>
              <w:rPr>
                <w:b w:val="0"/>
                <w:sz w:val="17"/>
              </w:rPr>
              <w:t>10</w:t>
            </w:r>
          </w:p>
        </w:tc>
        <w:tc>
          <w:tcPr>
            <w:tcW w:type="dxa" w:w="2762"/>
          </w:tcPr>
          <w:p>
            <w:pPr>
              <w:spacing w:after="80"/>
            </w:pPr>
            <w:r/>
            <w:r>
              <w:rPr>
                <w:b w:val="0"/>
                <w:sz w:val="17"/>
              </w:rPr>
              <w:t>Simulated tracker</w:t>
            </w:r>
          </w:p>
        </w:tc>
        <w:tc>
          <w:tcPr>
            <w:tcW w:type="dxa" w:w="6116"/>
          </w:tcPr>
          <w:p>
            <w:pPr>
              <w:spacing w:after="80"/>
            </w:pPr>
            <w:r/>
            <w:r>
              <w:rPr>
                <w:b w:val="0"/>
                <w:sz w:val="17"/>
              </w:rPr>
              <w:t>Payment advances through submission and simulated settlement.</w:t>
            </w:r>
          </w:p>
        </w:tc>
      </w:tr>
      <w:tr>
        <w:tc>
          <w:tcPr>
            <w:tcW w:type="dxa" w:w="986"/>
          </w:tcPr>
          <w:p>
            <w:pPr>
              <w:spacing w:after="80"/>
            </w:pPr>
            <w:r/>
            <w:r>
              <w:rPr>
                <w:b w:val="0"/>
                <w:sz w:val="17"/>
              </w:rPr>
              <w:t>11</w:t>
            </w:r>
          </w:p>
        </w:tc>
        <w:tc>
          <w:tcPr>
            <w:tcW w:type="dxa" w:w="2762"/>
          </w:tcPr>
          <w:p>
            <w:pPr>
              <w:spacing w:after="80"/>
            </w:pPr>
            <w:r/>
            <w:r>
              <w:rPr>
                <w:b w:val="0"/>
                <w:sz w:val="17"/>
              </w:rPr>
              <w:t>Compliance evidence</w:t>
            </w:r>
          </w:p>
        </w:tc>
        <w:tc>
          <w:tcPr>
            <w:tcW w:type="dxa" w:w="6116"/>
          </w:tcPr>
          <w:p>
            <w:pPr>
              <w:spacing w:after="80"/>
            </w:pPr>
            <w:r/>
            <w:r>
              <w:rPr>
                <w:b w:val="0"/>
                <w:sz w:val="17"/>
              </w:rPr>
              <w:t>Canonical report produced with integrity hash; not a legal compliance attestation.</w:t>
            </w:r>
          </w:p>
        </w:tc>
      </w:tr>
      <w:tr>
        <w:tc>
          <w:tcPr>
            <w:tcW w:type="dxa" w:w="986"/>
          </w:tcPr>
          <w:p>
            <w:pPr>
              <w:spacing w:after="80"/>
            </w:pPr>
            <w:r/>
            <w:r>
              <w:rPr>
                <w:b w:val="0"/>
                <w:sz w:val="17"/>
              </w:rPr>
              <w:t>12</w:t>
            </w:r>
          </w:p>
        </w:tc>
        <w:tc>
          <w:tcPr>
            <w:tcW w:type="dxa" w:w="2762"/>
          </w:tcPr>
          <w:p>
            <w:pPr>
              <w:spacing w:after="80"/>
            </w:pPr>
            <w:r/>
            <w:r>
              <w:rPr>
                <w:b w:val="0"/>
                <w:sz w:val="17"/>
              </w:rPr>
              <w:t>Bank network</w:t>
            </w:r>
          </w:p>
        </w:tc>
        <w:tc>
          <w:tcPr>
            <w:tcW w:type="dxa" w:w="6116"/>
          </w:tcPr>
          <w:p>
            <w:pPr>
              <w:spacing w:after="80"/>
            </w:pPr>
            <w:r/>
            <w:r>
              <w:rPr>
                <w:b w:val="0"/>
                <w:sz w:val="17"/>
              </w:rPr>
              <w:t>Synthetic national/international transfers, returns and balancing records collected.</w:t>
            </w:r>
          </w:p>
        </w:tc>
      </w:tr>
      <w:tr>
        <w:tc>
          <w:tcPr>
            <w:tcW w:type="dxa" w:w="986"/>
          </w:tcPr>
          <w:p>
            <w:pPr>
              <w:spacing w:after="80"/>
            </w:pPr>
            <w:r/>
            <w:r>
              <w:rPr>
                <w:b w:val="0"/>
                <w:sz w:val="17"/>
              </w:rPr>
              <w:t>13</w:t>
            </w:r>
          </w:p>
        </w:tc>
        <w:tc>
          <w:tcPr>
            <w:tcW w:type="dxa" w:w="2762"/>
          </w:tcPr>
          <w:p>
            <w:pPr>
              <w:spacing w:after="80"/>
            </w:pPr>
            <w:r/>
            <w:r>
              <w:rPr>
                <w:b w:val="0"/>
                <w:sz w:val="17"/>
              </w:rPr>
              <w:t>Smart escrow</w:t>
            </w:r>
          </w:p>
        </w:tc>
        <w:tc>
          <w:tcPr>
            <w:tcW w:type="dxa" w:w="6116"/>
          </w:tcPr>
          <w:p>
            <w:pPr>
              <w:spacing w:after="80"/>
            </w:pPr>
            <w:r/>
            <w:r>
              <w:rPr>
                <w:b w:val="0"/>
                <w:sz w:val="17"/>
              </w:rPr>
              <w:t>Tranche/freeze-related behavior on local simulated EVM; no network or real tokens.</w:t>
            </w:r>
          </w:p>
        </w:tc>
      </w:tr>
      <w:tr>
        <w:tc>
          <w:tcPr>
            <w:tcW w:type="dxa" w:w="986"/>
          </w:tcPr>
          <w:p>
            <w:pPr>
              <w:spacing w:after="80"/>
            </w:pPr>
            <w:r/>
            <w:r>
              <w:rPr>
                <w:b w:val="0"/>
                <w:sz w:val="17"/>
              </w:rPr>
              <w:t>14</w:t>
            </w:r>
          </w:p>
        </w:tc>
        <w:tc>
          <w:tcPr>
            <w:tcW w:type="dxa" w:w="2762"/>
          </w:tcPr>
          <w:p>
            <w:pPr>
              <w:spacing w:after="80"/>
            </w:pPr>
            <w:r/>
            <w:r>
              <w:rPr>
                <w:b w:val="0"/>
                <w:sz w:val="17"/>
              </w:rPr>
              <w:t>Audit chain</w:t>
            </w:r>
          </w:p>
        </w:tc>
        <w:tc>
          <w:tcPr>
            <w:tcW w:type="dxa" w:w="6116"/>
          </w:tcPr>
          <w:p>
            <w:pPr>
              <w:spacing w:after="80"/>
            </w:pPr>
            <w:r/>
            <w:r>
              <w:rPr>
                <w:b w:val="0"/>
                <w:sz w:val="17"/>
              </w:rPr>
              <w:t>Verification succeeds; tamper/restore experiment is exported separately.</w:t>
            </w:r>
          </w:p>
        </w:tc>
      </w:tr>
    </w:tbl>
    <w:p/>
    <w:p>
      <w:r>
        <w:drawing>
          <wp:inline xmlns:a="http://schemas.openxmlformats.org/drawingml/2006/main" xmlns:pic="http://schemas.openxmlformats.org/drawingml/2006/picture">
            <wp:extent cx="6217920" cy="1575206"/>
            <wp:docPr id="1" name="Picture 1"/>
            <wp:cNvGraphicFramePr>
              <a:graphicFrameLocks noChangeAspect="1"/>
            </wp:cNvGraphicFramePr>
            <a:graphic>
              <a:graphicData uri="http://schemas.openxmlformats.org/drawingml/2006/picture">
                <pic:pic>
                  <pic:nvPicPr>
                    <pic:cNvPr id="0" name="payment.png"/>
                    <pic:cNvPicPr/>
                  </pic:nvPicPr>
                  <pic:blipFill>
                    <a:blip r:embed="rId11"/>
                    <a:stretch>
                      <a:fillRect/>
                    </a:stretch>
                  </pic:blipFill>
                  <pic:spPr>
                    <a:xfrm>
                      <a:off x="0" y="0"/>
                      <a:ext cx="6217920" cy="1575206"/>
                    </a:xfrm>
                    <a:prstGeom prst="rect"/>
                  </pic:spPr>
                </pic:pic>
              </a:graphicData>
            </a:graphic>
          </wp:inline>
        </w:drawing>
      </w:r>
    </w:p>
    <w:p>
      <w:pPr>
        <w:pStyle w:val="Heading2"/>
      </w:pPr>
      <w:r>
        <w:rPr>
          <w:b w:val="0"/>
        </w:rPr>
        <w:t>Recorded payment</w:t>
      </w:r>
    </w:p>
    <w:p>
      <w:r>
        <w:rPr>
          <w:b w:val="0"/>
        </w:rP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pPr>
        <w:shd w:fill="EDF5F7"/>
      </w:pPr>
      <w:r>
        <w:rPr>
          <w:b w:val="0"/>
          <w:sz w:val="18"/>
        </w:rPr>
      </w:r>
      <w:r>
        <w:rPr>
          <w:b/>
          <w:sz w:val="18"/>
        </w:rPr>
        <w:t>What SETTLED means here</w:t>
      </w:r>
      <w:r>
        <w:rPr>
          <w:b w:val="0"/>
          <w:sz w:val="18"/>
        </w:rPr>
        <w:t xml:space="preserve"> — A simulated provider callback advances the local state machine. It is not proof of bank transmission, SWIFT delivery, correspondent credit, reconciliation with a bank statement or irreversible economic finality.</w:t>
      </w:r>
    </w:p>
    <w:p>
      <w:r>
        <w:br w:type="page"/>
      </w:r>
    </w:p>
    <w:p>
      <w:pPr>
        <w:pStyle w:val="Subtitle"/>
      </w:pPr>
      <w:r>
        <w:t>07 / FRESH — POSITIVE AND NEGATIVE EVIDENCE</w:t>
      </w:r>
    </w:p>
    <w:p>
      <w:pPr>
        <w:pStyle w:val="Heading1"/>
      </w:pPr>
      <w:r>
        <w:t>Audit experiment &amp; independent check</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762"/>
            <w:shd w:fill="102B46"/>
          </w:tcPr>
          <w:p>
            <w:r>
              <w:rPr>
                <w:b/>
                <w:color w:val="FFFFFF"/>
                <w:sz w:val="17"/>
              </w:rPr>
              <w:t>Stage</w:t>
            </w:r>
          </w:p>
        </w:tc>
        <w:tc>
          <w:tcPr>
            <w:tcW w:type="dxa" w:w="3847"/>
            <w:shd w:fill="102B46"/>
          </w:tcPr>
          <w:p>
            <w:r>
              <w:rPr>
                <w:b/>
                <w:color w:val="FFFFFF"/>
                <w:sz w:val="17"/>
              </w:rPr>
              <w:t>Observed result</w:t>
            </w:r>
          </w:p>
        </w:tc>
        <w:tc>
          <w:tcPr>
            <w:tcW w:type="dxa" w:w="3255"/>
            <w:shd w:fill="102B46"/>
          </w:tcPr>
          <w:p>
            <w:r>
              <w:rPr>
                <w:b/>
                <w:color w:val="FFFFFF"/>
                <w:sz w:val="17"/>
              </w:rPr>
              <w:t>Artifact</w:t>
            </w:r>
          </w:p>
        </w:tc>
      </w:tr>
      <w:tr>
        <w:tc>
          <w:tcPr>
            <w:tcW w:type="dxa" w:w="2762"/>
          </w:tcPr>
          <w:p>
            <w:pPr>
              <w:spacing w:after="80"/>
            </w:pPr>
            <w:r/>
            <w:r>
              <w:rPr>
                <w:b w:val="0"/>
                <w:sz w:val="17"/>
              </w:rPr>
              <w:t>Baseline</w:t>
            </w:r>
          </w:p>
        </w:tc>
        <w:tc>
          <w:tcPr>
            <w:tcW w:type="dxa" w:w="3847"/>
          </w:tcPr>
          <w:p>
            <w:pPr>
              <w:spacing w:after="80"/>
            </w:pPr>
            <w:r/>
            <w:r>
              <w:rPr>
                <w:b w:val="0"/>
                <w:sz w:val="17"/>
              </w:rPr>
              <w:t>PASS; 76 events checked</w:t>
            </w:r>
          </w:p>
        </w:tc>
        <w:tc>
          <w:tcPr>
            <w:tcW w:type="dxa" w:w="3255"/>
          </w:tcPr>
          <w:p>
            <w:pPr>
              <w:spacing w:after="80"/>
            </w:pPr>
            <w:r/>
            <w:r>
              <w:rPr>
                <w:b w:val="0"/>
                <w:sz w:val="17"/>
              </w:rPr>
              <w:t>live-evidence/audit_verify.json</w:t>
            </w:r>
          </w:p>
        </w:tc>
      </w:tr>
      <w:tr>
        <w:tc>
          <w:tcPr>
            <w:tcW w:type="dxa" w:w="2762"/>
          </w:tcPr>
          <w:p>
            <w:pPr>
              <w:spacing w:after="80"/>
            </w:pPr>
            <w:r/>
            <w:r>
              <w:rPr>
                <w:b w:val="0"/>
                <w:sz w:val="17"/>
              </w:rPr>
              <w:t>Edit event 75 amount_minor</w:t>
            </w:r>
          </w:p>
        </w:tc>
        <w:tc>
          <w:tcPr>
            <w:tcW w:type="dxa" w:w="3847"/>
          </w:tcPr>
          <w:p>
            <w:pPr>
              <w:spacing w:after="80"/>
            </w:pPr>
            <w:r/>
            <w:r>
              <w:rPr>
                <w:b w:val="0"/>
                <w:sz w:val="17"/>
              </w:rPr>
              <w:t>FAIL; HASH_MISMATCH; failed_seq=75</w:t>
            </w:r>
          </w:p>
        </w:tc>
        <w:tc>
          <w:tcPr>
            <w:tcW w:type="dxa" w:w="3255"/>
          </w:tcPr>
          <w:p>
            <w:pPr>
              <w:spacing w:after="80"/>
            </w:pPr>
            <w:r/>
            <w:r>
              <w:rPr>
                <w:b w:val="0"/>
                <w:sz w:val="17"/>
              </w:rPr>
              <w:t>live-evidence/tamper_demo.json</w:t>
            </w:r>
          </w:p>
        </w:tc>
      </w:tr>
      <w:tr>
        <w:tc>
          <w:tcPr>
            <w:tcW w:type="dxa" w:w="2762"/>
          </w:tcPr>
          <w:p>
            <w:pPr>
              <w:spacing w:after="80"/>
            </w:pPr>
            <w:r/>
            <w:r>
              <w:rPr>
                <w:b w:val="0"/>
                <w:sz w:val="17"/>
              </w:rPr>
              <w:t>Restore original row</w:t>
            </w:r>
          </w:p>
        </w:tc>
        <w:tc>
          <w:tcPr>
            <w:tcW w:type="dxa" w:w="3847"/>
          </w:tcPr>
          <w:p>
            <w:pPr>
              <w:spacing w:after="80"/>
            </w:pPr>
            <w:r/>
            <w:r>
              <w:rPr>
                <w:b w:val="0"/>
                <w:sz w:val="17"/>
              </w:rPr>
              <w:t>PASS; 76 events checked</w:t>
            </w:r>
          </w:p>
        </w:tc>
        <w:tc>
          <w:tcPr>
            <w:tcW w:type="dxa" w:w="3255"/>
          </w:tcPr>
          <w:p>
            <w:pPr>
              <w:spacing w:after="80"/>
            </w:pPr>
            <w:r/>
            <w:r>
              <w:rPr>
                <w:b w:val="0"/>
                <w:sz w:val="17"/>
              </w:rPr>
              <w:t>live-evidence/tamper_demo.json</w:t>
            </w:r>
          </w:p>
        </w:tc>
      </w:tr>
      <w:tr>
        <w:tc>
          <w:tcPr>
            <w:tcW w:type="dxa" w:w="2762"/>
          </w:tcPr>
          <w:p>
            <w:pPr>
              <w:spacing w:after="80"/>
            </w:pPr>
            <w:r/>
            <w:r>
              <w:rPr>
                <w:b w:val="0"/>
                <w:sz w:val="17"/>
              </w:rPr>
              <w:t>Offline recomputation</w:t>
            </w:r>
          </w:p>
        </w:tc>
        <w:tc>
          <w:tcPr>
            <w:tcW w:type="dxa" w:w="3847"/>
          </w:tcPr>
          <w:p>
            <w:pPr>
              <w:spacing w:after="80"/>
            </w:pPr>
            <w:r/>
            <w:r>
              <w:rPr>
                <w:b w:val="0"/>
                <w:sz w:val="17"/>
              </w:rPr>
              <w:t>Fresh 76-event chain valid; altered copy rejected at 75</w:t>
            </w:r>
          </w:p>
        </w:tc>
        <w:tc>
          <w:tcPr>
            <w:tcW w:type="dxa" w:w="3255"/>
          </w:tcPr>
          <w:p>
            <w:pPr>
              <w:spacing w:after="80"/>
            </w:pPr>
            <w:r/>
            <w:r>
              <w:rPr>
                <w:b w:val="0"/>
                <w:sz w:val="17"/>
              </w:rPr>
              <w:t>evidence-integrity-check.json</w:t>
            </w:r>
          </w:p>
        </w:tc>
      </w:tr>
      <w:tr>
        <w:tc>
          <w:tcPr>
            <w:tcW w:type="dxa" w:w="2762"/>
          </w:tcPr>
          <w:p>
            <w:pPr>
              <w:spacing w:after="80"/>
            </w:pPr>
            <w:r/>
            <w:r>
              <w:rPr>
                <w:b w:val="0"/>
                <w:sz w:val="17"/>
              </w:rPr>
              <w:t>Supplied chain recomputation</w:t>
            </w:r>
          </w:p>
        </w:tc>
        <w:tc>
          <w:tcPr>
            <w:tcW w:type="dxa" w:w="3847"/>
          </w:tcPr>
          <w:p>
            <w:pPr>
              <w:spacing w:after="80"/>
            </w:pPr>
            <w:r/>
            <w:r>
              <w:rPr>
                <w:b w:val="0"/>
                <w:sz w:val="17"/>
              </w:rPr>
              <w:t>75-event chain valid; altered copy rejected at 74</w:t>
            </w:r>
          </w:p>
        </w:tc>
        <w:tc>
          <w:tcPr>
            <w:tcW w:type="dxa" w:w="3255"/>
          </w:tcPr>
          <w:p>
            <w:pPr>
              <w:spacing w:after="80"/>
            </w:pPr>
            <w:r/>
            <w:r>
              <w:rPr>
                <w:b w:val="0"/>
                <w:sz w:val="17"/>
              </w:rPr>
              <w:t>evidence-integrity-check.json</w:t>
            </w:r>
          </w:p>
        </w:tc>
      </w:tr>
    </w:tbl>
    <w:p/>
    <w:p>
      <w:pPr>
        <w:pStyle w:val="Heading2"/>
      </w:pPr>
      <w:r>
        <w:rPr>
          <w:b w:val="0"/>
        </w:rPr>
        <w:t>Fresh audit head</w:t>
      </w:r>
    </w:p>
    <w:p>
      <w:pPr>
        <w:spacing w:after="160"/>
      </w:pPr>
      <w:r>
        <w:rPr>
          <w:rFonts w:ascii="Courier New" w:hAnsi="Courier New"/>
          <w:sz w:val="16"/>
        </w:rPr>
        <w:t>0e0ff18d559f93c6003fefe7cbb389e5037d93a06540687f372754461137678c</w:t>
      </w:r>
    </w:p>
    <w:p>
      <w:pPr>
        <w:pStyle w:val="Heading2"/>
      </w:pPr>
      <w:r>
        <w:rPr>
          <w:b w:val="0"/>
        </w:rPr>
        <w:t>Canonicalization matters</w:t>
      </w:r>
    </w:p>
    <w:p>
      <w:r>
        <w:rPr>
          <w:b w:val="0"/>
        </w:rP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pPr>
        <w:pStyle w:val="Heading2"/>
      </w:pPr>
      <w:r>
        <w:rPr>
          <w:b w:val="0"/>
        </w:rPr>
        <w:t>A necessary negative result</w:t>
      </w:r>
    </w:p>
    <w:p>
      <w:r>
        <w:rPr>
          <w:b w:val="0"/>
        </w:rP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pPr>
        <w:shd w:fill="EDF5F7"/>
      </w:pPr>
      <w:r>
        <w:rPr>
          <w:b w:val="0"/>
          <w:sz w:val="18"/>
        </w:rPr>
      </w:r>
      <w:r>
        <w:rPr>
          <w:b/>
          <w:sz w:val="18"/>
        </w:rPr>
        <w:t>Safety of reproduction</w:t>
      </w:r>
      <w:r>
        <w:rPr>
          <w:b w:val="0"/>
          <w:sz w:val="18"/>
        </w:rPr>
        <w:t xml:space="preserve"> — The tamper demonstration ran only on the isolated disposable database. Never drop audit triggers, alter records or run tamper scripts on a deployed dataset.</w:t>
      </w:r>
    </w:p>
    <w:p>
      <w:r>
        <w:br w:type="page"/>
      </w:r>
    </w:p>
    <w:p>
      <w:pPr>
        <w:pStyle w:val="Subtitle"/>
      </w:pPr>
      <w:r>
        <w:t>08 / FRESH — SYNTHETIC FINANCIAL RECORDS</w:t>
      </w:r>
    </w:p>
    <w:p>
      <w:pPr>
        <w:pStyle w:val="Heading1"/>
      </w:pPr>
      <w:r>
        <w:t>Ledger &amp; escrow invariants</w:t>
      </w:r>
    </w:p>
    <w:p>
      <w:r>
        <w:rPr>
          <w:b w:val="0"/>
        </w:rP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1480"/>
            <w:shd w:fill="102B46"/>
          </w:tcPr>
          <w:p>
            <w:r>
              <w:rPr>
                <w:b/>
                <w:color w:val="FFFFFF"/>
                <w:sz w:val="17"/>
              </w:rPr>
              <w:t>Currency</w:t>
            </w:r>
          </w:p>
        </w:tc>
        <w:tc>
          <w:tcPr>
            <w:tcW w:type="dxa" w:w="3255"/>
            <w:shd w:fill="102B46"/>
          </w:tcPr>
          <w:p>
            <w:r>
              <w:rPr>
                <w:b/>
                <w:color w:val="FFFFFF"/>
                <w:sz w:val="17"/>
              </w:rPr>
              <w:t>Debits — minor units</w:t>
            </w:r>
          </w:p>
        </w:tc>
        <w:tc>
          <w:tcPr>
            <w:tcW w:type="dxa" w:w="3255"/>
            <w:shd w:fill="102B46"/>
          </w:tcPr>
          <w:p>
            <w:r>
              <w:rPr>
                <w:b/>
                <w:color w:val="FFFFFF"/>
                <w:sz w:val="17"/>
              </w:rPr>
              <w:t>Credits — minor units</w:t>
            </w:r>
          </w:p>
        </w:tc>
        <w:tc>
          <w:tcPr>
            <w:tcW w:type="dxa" w:w="1874"/>
            <w:shd w:fill="102B46"/>
          </w:tcPr>
          <w:p>
            <w:r>
              <w:rPr>
                <w:b/>
                <w:color w:val="FFFFFF"/>
                <w:sz w:val="17"/>
              </w:rPr>
              <w:t>Balanced</w:t>
            </w:r>
          </w:p>
        </w:tc>
      </w:tr>
      <w:tr>
        <w:tc>
          <w:tcPr>
            <w:tcW w:type="dxa" w:w="1480"/>
          </w:tcPr>
          <w:p>
            <w:pPr>
              <w:spacing w:after="80"/>
            </w:pPr>
            <w:r/>
            <w:r>
              <w:rPr>
                <w:b w:val="0"/>
                <w:sz w:val="17"/>
              </w:rPr>
              <w:t>AUD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BDT</w:t>
            </w:r>
          </w:p>
        </w:tc>
        <w:tc>
          <w:tcPr>
            <w:tcW w:type="dxa" w:w="3255"/>
          </w:tcPr>
          <w:p>
            <w:pPr>
              <w:spacing w:after="80"/>
            </w:pPr>
            <w:r/>
            <w:r>
              <w:rPr>
                <w:b w:val="0"/>
                <w:sz w:val="17"/>
              </w:rPr>
              <w:t>61,604,821,000</w:t>
            </w:r>
          </w:p>
        </w:tc>
        <w:tc>
          <w:tcPr>
            <w:tcW w:type="dxa" w:w="3255"/>
          </w:tcPr>
          <w:p>
            <w:pPr>
              <w:spacing w:after="80"/>
            </w:pPr>
            <w:r/>
            <w:r>
              <w:rPr>
                <w:b w:val="0"/>
                <w:sz w:val="17"/>
              </w:rPr>
              <w:t>61,604,821,000</w:t>
            </w:r>
          </w:p>
        </w:tc>
        <w:tc>
          <w:tcPr>
            <w:tcW w:type="dxa" w:w="1874"/>
          </w:tcPr>
          <w:p>
            <w:pPr>
              <w:spacing w:after="80"/>
            </w:pPr>
            <w:r/>
            <w:r>
              <w:rPr>
                <w:b w:val="0"/>
                <w:sz w:val="17"/>
              </w:rPr>
              <w:t>Yes</w:t>
            </w:r>
          </w:p>
        </w:tc>
      </w:tr>
      <w:tr>
        <w:tc>
          <w:tcPr>
            <w:tcW w:type="dxa" w:w="1480"/>
          </w:tcPr>
          <w:p>
            <w:pPr>
              <w:spacing w:after="80"/>
            </w:pPr>
            <w:r/>
            <w:r>
              <w:rPr>
                <w:b w:val="0"/>
                <w:sz w:val="17"/>
              </w:rPr>
              <w:t>CAD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EUR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GBP</w:t>
            </w:r>
          </w:p>
        </w:tc>
        <w:tc>
          <w:tcPr>
            <w:tcW w:type="dxa" w:w="3255"/>
          </w:tcPr>
          <w:p>
            <w:pPr>
              <w:spacing w:after="80"/>
            </w:pPr>
            <w:r/>
            <w:r>
              <w:rPr>
                <w:b w:val="0"/>
                <w:sz w:val="17"/>
              </w:rPr>
              <w:t>50,120,980,000</w:t>
            </w:r>
          </w:p>
        </w:tc>
        <w:tc>
          <w:tcPr>
            <w:tcW w:type="dxa" w:w="3255"/>
          </w:tcPr>
          <w:p>
            <w:pPr>
              <w:spacing w:after="80"/>
            </w:pPr>
            <w:r/>
            <w:r>
              <w:rPr>
                <w:b w:val="0"/>
                <w:sz w:val="17"/>
              </w:rPr>
              <w:t>50,120,980,000</w:t>
            </w:r>
          </w:p>
        </w:tc>
        <w:tc>
          <w:tcPr>
            <w:tcW w:type="dxa" w:w="1874"/>
          </w:tcPr>
          <w:p>
            <w:pPr>
              <w:spacing w:after="80"/>
            </w:pPr>
            <w:r/>
            <w:r>
              <w:rPr>
                <w:b w:val="0"/>
                <w:sz w:val="17"/>
              </w:rPr>
              <w:t>Yes</w:t>
            </w:r>
          </w:p>
        </w:tc>
      </w:tr>
      <w:tr>
        <w:tc>
          <w:tcPr>
            <w:tcW w:type="dxa" w:w="1480"/>
          </w:tcPr>
          <w:p>
            <w:pPr>
              <w:spacing w:after="80"/>
            </w:pPr>
            <w:r/>
            <w:r>
              <w:rPr>
                <w:b w:val="0"/>
                <w:sz w:val="17"/>
              </w:rPr>
              <w:t>MYR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USD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bl>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4340"/>
            <w:shd w:fill="102B46"/>
          </w:tcPr>
          <w:p>
            <w:r>
              <w:rPr>
                <w:b/>
                <w:color w:val="FFFFFF"/>
                <w:sz w:val="17"/>
              </w:rPr>
              <w:t>Transfer type</w:t>
            </w:r>
          </w:p>
        </w:tc>
        <w:tc>
          <w:tcPr>
            <w:tcW w:type="dxa" w:w="3255"/>
            <w:shd w:fill="102B46"/>
          </w:tcPr>
          <w:p>
            <w:r>
              <w:rPr>
                <w:b/>
                <w:color w:val="FFFFFF"/>
                <w:sz w:val="17"/>
              </w:rPr>
              <w:t>Final state</w:t>
            </w:r>
          </w:p>
        </w:tc>
        <w:tc>
          <w:tcPr>
            <w:tcW w:type="dxa" w:w="2269"/>
            <w:shd w:fill="102B46"/>
          </w:tcPr>
          <w:p>
            <w:r>
              <w:rPr>
                <w:b/>
                <w:color w:val="FFFFFF"/>
                <w:sz w:val="17"/>
              </w:rPr>
              <w:t>Journal records</w:t>
            </w:r>
          </w:p>
        </w:tc>
      </w:tr>
      <w:tr>
        <w:tc>
          <w:tcPr>
            <w:tcW w:type="dxa" w:w="4340"/>
          </w:tcPr>
          <w:p>
            <w:pPr>
              <w:spacing w:after="80"/>
            </w:pPr>
            <w:r/>
            <w:r>
              <w:rPr>
                <w:b w:val="0"/>
                <w:sz w:val="17"/>
              </w:rPr>
              <w:t>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RETURNED</w:t>
            </w:r>
          </w:p>
        </w:tc>
        <w:tc>
          <w:tcPr>
            <w:tcW w:type="dxa" w:w="2269"/>
          </w:tcPr>
          <w:p>
            <w:pPr>
              <w:spacing w:after="80"/>
            </w:pPr>
            <w:r/>
            <w:r>
              <w:rPr>
                <w:b w:val="0"/>
                <w:sz w:val="17"/>
              </w:rPr>
              <w:t>6</w:t>
            </w:r>
          </w:p>
        </w:tc>
      </w:tr>
    </w:tbl>
    <w:p/>
    <w:p>
      <w:pPr>
        <w:pStyle w:val="Heading2"/>
      </w:pPr>
      <w:r>
        <w:rPr>
          <w:b w:val="0"/>
        </w:rPr>
        <w:t>Escrow evidence</w:t>
      </w:r>
    </w:p>
    <w:p>
      <w:r>
        <w:rPr>
          <w:b w:val="0"/>
        </w:rPr>
        <w:t>One exported escrow, local contract-call records and one audit anchor are present. The simulated chain reports ready=true and the anchor comparison reports PASS. The runtime engine is py-evm, an in-memory EVM with no peers, no public network and no real tokens. [E04]</w:t>
      </w:r>
    </w:p>
    <w:p>
      <w:pPr>
        <w:shd w:fill="EDF5F7"/>
      </w:pPr>
      <w:r>
        <w:rPr>
          <w:b w:val="0"/>
          <w:sz w:val="18"/>
        </w:rPr>
      </w:r>
      <w:r>
        <w:rPr>
          <w:b/>
          <w:sz w:val="18"/>
        </w:rPr>
        <w:t>Invariant vs economic truth</w:t>
      </w:r>
      <w:r>
        <w:rPr>
          <w:b w:val="0"/>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r>
        <w:br w:type="page"/>
      </w:r>
    </w:p>
    <w:p>
      <w:pPr>
        <w:pStyle w:val="Subtitle"/>
      </w:pPr>
      <w:r>
        <w:t>09 / FRESH LOAD CHECK + SUPPLIED BENCHMARKS</w:t>
      </w:r>
    </w:p>
    <w:p>
      <w:pPr>
        <w:pStyle w:val="Heading1"/>
      </w:pPr>
      <w:r>
        <w:t>AI behavior: evidence without overclaim</w:t>
      </w:r>
    </w:p>
    <w:p>
      <w:pPr>
        <w:pStyle w:val="Heading2"/>
      </w:pPr>
      <w:r>
        <w:rPr>
          <w:b w:val="0"/>
        </w:rPr>
        <w:t>Fresh component loading</w:t>
      </w:r>
    </w:p>
    <w:p>
      <w:r>
        <w:rPr>
          <w:b w:val="0"/>
        </w:rP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058"/>
            <w:shd w:fill="102B46"/>
          </w:tcPr>
          <w:p>
            <w:r>
              <w:rPr>
                <w:b/>
                <w:color w:val="FFFFFF"/>
                <w:sz w:val="17"/>
              </w:rPr>
              <w:t>Supplied evaluation</w:t>
            </w:r>
          </w:p>
        </w:tc>
        <w:tc>
          <w:tcPr>
            <w:tcW w:type="dxa" w:w="2762"/>
            <w:shd w:fill="102B46"/>
          </w:tcPr>
          <w:p>
            <w:r>
              <w:rPr>
                <w:b/>
                <w:color w:val="FFFFFF"/>
                <w:sz w:val="17"/>
              </w:rPr>
              <w:t>Recorded value</w:t>
            </w:r>
          </w:p>
        </w:tc>
        <w:tc>
          <w:tcPr>
            <w:tcW w:type="dxa" w:w="4044"/>
            <w:shd w:fill="102B46"/>
          </w:tcPr>
          <w:p>
            <w:r>
              <w:rPr>
                <w:b/>
                <w:color w:val="FFFFFF"/>
                <w:sz w:val="17"/>
              </w:rPr>
              <w:t>Required interpretation</w:t>
            </w:r>
          </w:p>
        </w:tc>
      </w:tr>
      <w:tr>
        <w:tc>
          <w:tcPr>
            <w:tcW w:type="dxa" w:w="3058"/>
          </w:tcPr>
          <w:p>
            <w:pPr>
              <w:spacing w:after="80"/>
            </w:pPr>
            <w:r/>
            <w:r>
              <w:rPr>
                <w:b w:val="0"/>
                <w:sz w:val="17"/>
              </w:rPr>
              <w:t>NLU blind routing</w:t>
            </w:r>
          </w:p>
        </w:tc>
        <w:tc>
          <w:tcPr>
            <w:tcW w:type="dxa" w:w="2762"/>
          </w:tcPr>
          <w:p>
            <w:pPr>
              <w:spacing w:after="80"/>
            </w:pPr>
            <w:r/>
            <w:r>
              <w:rPr>
                <w:b w:val="0"/>
                <w:sz w:val="17"/>
              </w:rPr>
              <w:t>100/113; 88.50%</w:t>
            </w:r>
          </w:p>
        </w:tc>
        <w:tc>
          <w:tcPr>
            <w:tcW w:type="dxa" w:w="4044"/>
          </w:tcPr>
          <w:p>
            <w:pPr>
              <w:spacing w:after="80"/>
            </w:pPr>
            <w:r/>
            <w:r>
              <w:rPr>
                <w:b w:val="0"/>
                <w:sz w:val="17"/>
              </w:rPr>
              <w:t>Frozen holdout reproduced previously; not a new independent blind study.</w:t>
            </w:r>
          </w:p>
        </w:tc>
      </w:tr>
      <w:tr>
        <w:tc>
          <w:tcPr>
            <w:tcW w:type="dxa" w:w="3058"/>
          </w:tcPr>
          <w:p>
            <w:pPr>
              <w:spacing w:after="80"/>
            </w:pPr>
            <w:r/>
            <w:r>
              <w:rPr>
                <w:b w:val="0"/>
                <w:sz w:val="17"/>
              </w:rPr>
              <w:t>NLU attack blocking</w:t>
            </w:r>
          </w:p>
        </w:tc>
        <w:tc>
          <w:tcPr>
            <w:tcW w:type="dxa" w:w="2762"/>
          </w:tcPr>
          <w:p>
            <w:pPr>
              <w:spacing w:after="80"/>
            </w:pPr>
            <w:r/>
            <w:r>
              <w:rPr>
                <w:b w:val="0"/>
                <w:sz w:val="17"/>
              </w:rPr>
              <w:t>Blind 13/14; hard 18/20</w:t>
            </w:r>
          </w:p>
        </w:tc>
        <w:tc>
          <w:tcPr>
            <w:tcW w:type="dxa" w:w="4044"/>
          </w:tcPr>
          <w:p>
            <w:pPr>
              <w:spacing w:after="80"/>
            </w:pPr>
            <w:r/>
            <w:r>
              <w:rPr>
                <w:b w:val="0"/>
                <w:sz w:val="17"/>
              </w:rPr>
              <w:t>Finite corpus; misses remain. Authorization must not depend on filter perfection.</w:t>
            </w:r>
          </w:p>
        </w:tc>
      </w:tr>
      <w:tr>
        <w:tc>
          <w:tcPr>
            <w:tcW w:type="dxa" w:w="3058"/>
          </w:tcPr>
          <w:p>
            <w:pPr>
              <w:spacing w:after="80"/>
            </w:pPr>
            <w:r/>
            <w:r>
              <w:rPr>
                <w:b w:val="0"/>
                <w:sz w:val="17"/>
              </w:rPr>
              <w:t>Hard-set action start error</w:t>
            </w:r>
          </w:p>
        </w:tc>
        <w:tc>
          <w:tcPr>
            <w:tcW w:type="dxa" w:w="2762"/>
          </w:tcPr>
          <w:p>
            <w:pPr>
              <w:spacing w:after="80"/>
            </w:pPr>
            <w:r/>
            <w:r>
              <w:rPr>
                <w:b w:val="0"/>
                <w:sz w:val="17"/>
              </w:rPr>
              <w:t>2.47% (reported rate)</w:t>
            </w:r>
          </w:p>
        </w:tc>
        <w:tc>
          <w:tcPr>
            <w:tcW w:type="dxa" w:w="4044"/>
          </w:tcPr>
          <w:p>
            <w:pPr>
              <w:spacing w:after="80"/>
            </w:pPr>
            <w:r/>
            <w:r>
              <w:rPr>
                <w:b w:val="0"/>
                <w:sz w:val="17"/>
              </w:rPr>
              <w:t>Planning/action-start metric, not unauthorized financial settlement.</w:t>
            </w:r>
          </w:p>
        </w:tc>
      </w:tr>
      <w:tr>
        <w:tc>
          <w:tcPr>
            <w:tcW w:type="dxa" w:w="3058"/>
          </w:tcPr>
          <w:p>
            <w:pPr>
              <w:spacing w:after="80"/>
            </w:pPr>
            <w:r/>
            <w:r>
              <w:rPr>
                <w:b w:val="0"/>
                <w:sz w:val="17"/>
              </w:rPr>
              <w:t>Raw dialogue policy</w:t>
            </w:r>
          </w:p>
        </w:tc>
        <w:tc>
          <w:tcPr>
            <w:tcW w:type="dxa" w:w="2762"/>
          </w:tcPr>
          <w:p>
            <w:pPr>
              <w:spacing w:after="80"/>
            </w:pPr>
            <w:r/>
            <w:r>
              <w:rPr>
                <w:b w:val="0"/>
                <w:sz w:val="17"/>
              </w:rPr>
              <w:t>50 wrong plans / 6,000</w:t>
            </w:r>
          </w:p>
        </w:tc>
        <w:tc>
          <w:tcPr>
            <w:tcW w:type="dxa" w:w="4044"/>
          </w:tcPr>
          <w:p>
            <w:pPr>
              <w:spacing w:after="80"/>
            </w:pPr>
            <w:r/>
            <w:r>
              <w:rPr>
                <w:b w:val="0"/>
                <w:sz w:val="17"/>
              </w:rPr>
              <w:t>Before runtime review; compare fairly with safer conservative baseline.</w:t>
            </w:r>
          </w:p>
        </w:tc>
      </w:tr>
      <w:tr>
        <w:tc>
          <w:tcPr>
            <w:tcW w:type="dxa" w:w="3058"/>
          </w:tcPr>
          <w:p>
            <w:pPr>
              <w:spacing w:after="80"/>
            </w:pPr>
            <w:r/>
            <w:r>
              <w:rPr>
                <w:b w:val="0"/>
                <w:sz w:val="17"/>
              </w:rPr>
              <w:t>Ask-all-and-confirm baseline</w:t>
            </w:r>
          </w:p>
        </w:tc>
        <w:tc>
          <w:tcPr>
            <w:tcW w:type="dxa" w:w="2762"/>
          </w:tcPr>
          <w:p>
            <w:pPr>
              <w:spacing w:after="80"/>
            </w:pPr>
            <w:r/>
            <w:r>
              <w:rPr>
                <w:b w:val="0"/>
                <w:sz w:val="17"/>
              </w:rPr>
              <w:t>1 wrong plan / 6,000</w:t>
            </w:r>
          </w:p>
        </w:tc>
        <w:tc>
          <w:tcPr>
            <w:tcW w:type="dxa" w:w="4044"/>
          </w:tcPr>
          <w:p>
            <w:pPr>
              <w:spacing w:after="80"/>
            </w:pPr>
            <w:r/>
            <w:r>
              <w:rPr>
                <w:b w:val="0"/>
                <w:sz w:val="17"/>
              </w:rPr>
              <w:t>The learned policy is not safer than this baseline in the supplied simulator.</w:t>
            </w:r>
          </w:p>
        </w:tc>
      </w:tr>
      <w:tr>
        <w:tc>
          <w:tcPr>
            <w:tcW w:type="dxa" w:w="3058"/>
          </w:tcPr>
          <w:p>
            <w:pPr>
              <w:spacing w:after="80"/>
            </w:pPr>
            <w:r/>
            <w:r>
              <w:rPr>
                <w:b w:val="0"/>
                <w:sz w:val="17"/>
              </w:rPr>
              <w:t>Risk desk medium/high routing</w:t>
            </w:r>
          </w:p>
        </w:tc>
        <w:tc>
          <w:tcPr>
            <w:tcW w:type="dxa" w:w="2762"/>
          </w:tcPr>
          <w:p>
            <w:pPr>
              <w:spacing w:after="80"/>
            </w:pPr>
            <w:r/>
            <w:r>
              <w:rPr>
                <w:b w:val="0"/>
                <w:sz w:val="17"/>
              </w:rPr>
              <w:t>Precision 29.22%; recall 56.48%</w:t>
            </w:r>
          </w:p>
        </w:tc>
        <w:tc>
          <w:tcPr>
            <w:tcW w:type="dxa" w:w="4044"/>
          </w:tcPr>
          <w:p>
            <w:pPr>
              <w:spacing w:after="80"/>
            </w:pPr>
            <w:r/>
            <w:r>
              <w:rPr>
                <w:b w:val="0"/>
                <w:sz w:val="17"/>
              </w:rPr>
              <w:t>Synthetic data; review routing, not a real fraud detector.</w:t>
            </w:r>
          </w:p>
        </w:tc>
      </w:tr>
      <w:tr>
        <w:tc>
          <w:tcPr>
            <w:tcW w:type="dxa" w:w="3058"/>
          </w:tcPr>
          <w:p>
            <w:pPr>
              <w:spacing w:after="80"/>
            </w:pPr>
            <w:r/>
            <w:r>
              <w:rPr>
                <w:b w:val="0"/>
                <w:sz w:val="17"/>
              </w:rPr>
              <w:t>Explainer output acceptance</w:t>
            </w:r>
          </w:p>
        </w:tc>
        <w:tc>
          <w:tcPr>
            <w:tcW w:type="dxa" w:w="2762"/>
          </w:tcPr>
          <w:p>
            <w:pPr>
              <w:spacing w:after="80"/>
            </w:pPr>
            <w:r/>
            <w:r>
              <w:rPr>
                <w:b w:val="0"/>
                <w:sz w:val="17"/>
              </w:rPr>
              <w:t>80.86% over 700 pairs</w:t>
            </w:r>
          </w:p>
        </w:tc>
        <w:tc>
          <w:tcPr>
            <w:tcW w:type="dxa" w:w="4044"/>
          </w:tcPr>
          <w:p>
            <w:pPr>
              <w:spacing w:after="80"/>
            </w:pPr>
            <w:r/>
            <w:r>
              <w:rPr>
                <w:b w:val="0"/>
                <w:sz w:val="17"/>
              </w:rPr>
              <w:t>Guarded rewrites can fall back; not a factual-correctness guarantee.</w:t>
            </w:r>
          </w:p>
        </w:tc>
      </w:tr>
    </w:tbl>
    <w:p/>
    <w:p>
      <w:pPr>
        <w:shd w:fill="EDF5F7"/>
      </w:pPr>
      <w:r>
        <w:rPr>
          <w:b w:val="0"/>
          <w:sz w:val="18"/>
        </w:rPr>
      </w:r>
      <w:r>
        <w:rPr>
          <w:b/>
          <w:sz w:val="18"/>
        </w:rPr>
        <w:t>Do not promote benchmarks into approval authority</w:t>
      </w:r>
      <w:r>
        <w:rPr>
          <w:b w:val="0"/>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r>
        <w:br w:type="page"/>
      </w:r>
    </w:p>
    <w:p>
      <w:pPr>
        <w:pStyle w:val="Subtitle"/>
      </w:pPr>
      <w:r>
        <w:t>10 / SUPPLIED — NOT RERUN</w:t>
      </w:r>
    </w:p>
    <w:p>
      <w:pPr>
        <w:pStyle w:val="Heading1"/>
      </w:pPr>
      <w:r>
        <w:t>Historical evidence &amp; reconciliation</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156"/>
            <w:shd w:fill="102B46"/>
          </w:tcPr>
          <w:p>
            <w:r>
              <w:rPr>
                <w:b/>
                <w:color w:val="FFFFFF"/>
                <w:sz w:val="17"/>
              </w:rPr>
              <w:t>Supplied artifact</w:t>
            </w:r>
          </w:p>
        </w:tc>
        <w:tc>
          <w:tcPr>
            <w:tcW w:type="dxa" w:w="2959"/>
            <w:shd w:fill="102B46"/>
          </w:tcPr>
          <w:p>
            <w:r>
              <w:rPr>
                <w:b/>
                <w:color w:val="FFFFFF"/>
                <w:sz w:val="17"/>
              </w:rPr>
              <w:t>Recorded result</w:t>
            </w:r>
          </w:p>
        </w:tc>
        <w:tc>
          <w:tcPr>
            <w:tcW w:type="dxa" w:w="3748"/>
            <w:shd w:fill="102B46"/>
          </w:tcPr>
          <w:p>
            <w:r>
              <w:rPr>
                <w:b/>
                <w:color w:val="FFFFFF"/>
                <w:sz w:val="17"/>
              </w:rPr>
              <w:t>Scope caveat</w:t>
            </w:r>
          </w:p>
        </w:tc>
      </w:tr>
      <w:tr>
        <w:tc>
          <w:tcPr>
            <w:tcW w:type="dxa" w:w="3156"/>
          </w:tcPr>
          <w:p>
            <w:pPr>
              <w:spacing w:after="80"/>
            </w:pPr>
            <w:r/>
            <w:r>
              <w:rPr>
                <w:b w:val="0"/>
                <w:sz w:val="17"/>
              </w:rPr>
              <w:t>release/backend.xml</w:t>
            </w:r>
          </w:p>
        </w:tc>
        <w:tc>
          <w:tcPr>
            <w:tcW w:type="dxa" w:w="2959"/>
          </w:tcPr>
          <w:p>
            <w:pPr>
              <w:spacing w:after="80"/>
            </w:pPr>
            <w:r/>
            <w:r>
              <w:rPr>
                <w:b w:val="0"/>
                <w:sz w:val="17"/>
              </w:rPr>
              <w:t>1,542 cases; no failures/errors</w:t>
            </w:r>
          </w:p>
        </w:tc>
        <w:tc>
          <w:tcPr>
            <w:tcW w:type="dxa" w:w="3748"/>
          </w:tcPr>
          <w:p>
            <w:pPr>
              <w:spacing w:after="80"/>
            </w:pPr>
            <w:r/>
            <w:r>
              <w:rPr>
                <w:b w:val="0"/>
                <w:sz w:val="17"/>
              </w:rPr>
              <w:t>Earlier run; final focused regressions overlap.</w:t>
            </w:r>
          </w:p>
        </w:tc>
      </w:tr>
      <w:tr>
        <w:tc>
          <w:tcPr>
            <w:tcW w:type="dxa" w:w="3156"/>
          </w:tcPr>
          <w:p>
            <w:pPr>
              <w:spacing w:after="80"/>
            </w:pPr>
            <w:r/>
            <w:r>
              <w:rPr>
                <w:b w:val="0"/>
                <w:sz w:val="17"/>
              </w:rPr>
              <w:t>release/backend-final-regression.xml</w:t>
            </w:r>
          </w:p>
        </w:tc>
        <w:tc>
          <w:tcPr>
            <w:tcW w:type="dxa" w:w="2959"/>
          </w:tcPr>
          <w:p>
            <w:pPr>
              <w:spacing w:after="80"/>
            </w:pPr>
            <w:r/>
            <w:r>
              <w:rPr>
                <w:b w:val="0"/>
                <w:sz w:val="17"/>
              </w:rPr>
              <w:t>42 cases; no failures/errors</w:t>
            </w:r>
          </w:p>
        </w:tc>
        <w:tc>
          <w:tcPr>
            <w:tcW w:type="dxa" w:w="3748"/>
          </w:tcPr>
          <w:p>
            <w:pPr>
              <w:spacing w:after="80"/>
            </w:pPr>
            <w:r/>
            <w:r>
              <w:rPr>
                <w:b w:val="0"/>
                <w:sz w:val="17"/>
              </w:rPr>
              <w:t>Focused wording/review checks; not an extra independent full suite.</w:t>
            </w:r>
          </w:p>
        </w:tc>
      </w:tr>
      <w:tr>
        <w:tc>
          <w:tcPr>
            <w:tcW w:type="dxa" w:w="3156"/>
          </w:tcPr>
          <w:p>
            <w:pPr>
              <w:spacing w:after="80"/>
            </w:pPr>
            <w:r/>
            <w:r>
              <w:rPr>
                <w:b w:val="0"/>
                <w:sz w:val="17"/>
              </w:rPr>
              <w:t>release/packaging-recheck.xml</w:t>
            </w:r>
          </w:p>
        </w:tc>
        <w:tc>
          <w:tcPr>
            <w:tcW w:type="dxa" w:w="2959"/>
          </w:tcPr>
          <w:p>
            <w:pPr>
              <w:spacing w:after="80"/>
            </w:pPr>
            <w:r/>
            <w:r>
              <w:rPr>
                <w:b w:val="0"/>
                <w:sz w:val="17"/>
              </w:rPr>
              <w:t>53 cases; no failures/errors</w:t>
            </w:r>
          </w:p>
        </w:tc>
        <w:tc>
          <w:tcPr>
            <w:tcW w:type="dxa" w:w="3748"/>
          </w:tcPr>
          <w:p>
            <w:pPr>
              <w:spacing w:after="80"/>
            </w:pPr>
            <w:r/>
            <w:r>
              <w:rPr>
                <w:b w:val="0"/>
                <w:sz w:val="17"/>
              </w:rPr>
              <w:t>Packaging/preflight scope.</w:t>
            </w:r>
          </w:p>
        </w:tc>
      </w:tr>
      <w:tr>
        <w:tc>
          <w:tcPr>
            <w:tcW w:type="dxa" w:w="3156"/>
          </w:tcPr>
          <w:p>
            <w:pPr>
              <w:spacing w:after="80"/>
            </w:pPr>
            <w:r/>
            <w:r>
              <w:rPr>
                <w:b w:val="0"/>
                <w:sz w:val="17"/>
              </w:rPr>
              <w:t>release/web-tests.log</w:t>
            </w:r>
          </w:p>
        </w:tc>
        <w:tc>
          <w:tcPr>
            <w:tcW w:type="dxa" w:w="2959"/>
          </w:tcPr>
          <w:p>
            <w:pPr>
              <w:spacing w:after="80"/>
            </w:pPr>
            <w:r/>
            <w:r>
              <w:rPr>
                <w:b w:val="0"/>
                <w:sz w:val="17"/>
              </w:rPr>
              <w:t>439 web unit/component cases</w:t>
            </w:r>
          </w:p>
        </w:tc>
        <w:tc>
          <w:tcPr>
            <w:tcW w:type="dxa" w:w="3748"/>
          </w:tcPr>
          <w:p>
            <w:pPr>
              <w:spacing w:after="80"/>
            </w:pPr>
            <w:r/>
            <w:r>
              <w:rPr>
                <w:b w:val="0"/>
                <w:sz w:val="17"/>
              </w:rPr>
              <w:t>Supplied release log; older summary says 463. Not rerun.</w:t>
            </w:r>
          </w:p>
        </w:tc>
      </w:tr>
      <w:tr>
        <w:tc>
          <w:tcPr>
            <w:tcW w:type="dxa" w:w="3156"/>
          </w:tcPr>
          <w:p>
            <w:pPr>
              <w:spacing w:after="80"/>
            </w:pPr>
            <w:r/>
            <w:r>
              <w:rPr>
                <w:b w:val="0"/>
                <w:sz w:val="17"/>
              </w:rPr>
              <w:t>release/browser-tests.log</w:t>
            </w:r>
          </w:p>
        </w:tc>
        <w:tc>
          <w:tcPr>
            <w:tcW w:type="dxa" w:w="2959"/>
          </w:tcPr>
          <w:p>
            <w:pPr>
              <w:spacing w:after="80"/>
            </w:pPr>
            <w:r/>
            <w:r>
              <w:rPr>
                <w:b w:val="0"/>
                <w:sz w:val="17"/>
              </w:rPr>
              <w:t>24 browser smoke tests</w:t>
            </w:r>
          </w:p>
        </w:tc>
        <w:tc>
          <w:tcPr>
            <w:tcW w:type="dxa" w:w="3748"/>
          </w:tcPr>
          <w:p>
            <w:pPr>
              <w:spacing w:after="80"/>
            </w:pPr>
            <w:r/>
            <w:r>
              <w:rPr>
                <w:b w:val="0"/>
                <w:sz w:val="17"/>
              </w:rPr>
              <w:t>Production static UI with API fixtures mocked; not a live bank test.</w:t>
            </w:r>
          </w:p>
        </w:tc>
      </w:tr>
      <w:tr>
        <w:tc>
          <w:tcPr>
            <w:tcW w:type="dxa" w:w="3156"/>
          </w:tcPr>
          <w:p>
            <w:pPr>
              <w:spacing w:after="80"/>
            </w:pPr>
            <w:r/>
            <w:r>
              <w:rPr>
                <w:b w:val="0"/>
                <w:sz w:val="17"/>
              </w:rPr>
              <w:t>security_2026-10-18/</w:t>
            </w:r>
          </w:p>
        </w:tc>
        <w:tc>
          <w:tcPr>
            <w:tcW w:type="dxa" w:w="2959"/>
          </w:tcPr>
          <w:p>
            <w:pPr>
              <w:spacing w:after="80"/>
            </w:pPr>
            <w:r/>
            <w:r>
              <w:rPr>
                <w:b w:val="0"/>
                <w:sz w:val="17"/>
              </w:rPr>
              <w:t>146/146 attacks; 8/8 abuse; 42/42 assistant; 14 MITM defended; 48/48 browser</w:t>
            </w:r>
          </w:p>
        </w:tc>
        <w:tc>
          <w:tcPr>
            <w:tcW w:type="dxa" w:w="3748"/>
          </w:tcPr>
          <w:p>
            <w:pPr>
              <w:spacing w:after="80"/>
            </w:pPr>
            <w:r/>
            <w:r>
              <w:rPr>
                <w:b w:val="0"/>
                <w:sz w:val="17"/>
              </w:rPr>
              <w:t>Team-authored historical probes; no independent pentest.</w:t>
            </w:r>
          </w:p>
        </w:tc>
      </w:tr>
      <w:tr>
        <w:tc>
          <w:tcPr>
            <w:tcW w:type="dxa" w:w="3156"/>
          </w:tcPr>
          <w:p>
            <w:pPr>
              <w:spacing w:after="80"/>
            </w:pPr>
            <w:r/>
            <w:r>
              <w:rPr>
                <w:b w:val="0"/>
                <w:sz w:val="17"/>
              </w:rPr>
              <w:t>release/demo-recording.json</w:t>
            </w:r>
          </w:p>
        </w:tc>
        <w:tc>
          <w:tcPr>
            <w:tcW w:type="dxa" w:w="2959"/>
          </w:tcPr>
          <w:p>
            <w:pPr>
              <w:spacing w:after="80"/>
            </w:pPr>
            <w:r/>
            <w:r>
              <w:rPr>
                <w:b w:val="0"/>
                <w:sz w:val="17"/>
              </w:rPr>
              <w:t>5/5 scenes; 95-second actual local UI/API recording</w:t>
            </w:r>
          </w:p>
        </w:tc>
        <w:tc>
          <w:tcPr>
            <w:tcW w:type="dxa" w:w="3748"/>
          </w:tcPr>
          <w:p>
            <w:pPr>
              <w:spacing w:after="80"/>
            </w:pPr>
            <w:r/>
            <w:r>
              <w:rPr>
                <w:b w:val="0"/>
                <w:sz w:val="17"/>
              </w:rPr>
              <w:t>Not the complete MFA-to-settlement lifecycle; not newly recorded here.</w:t>
            </w:r>
          </w:p>
        </w:tc>
      </w:tr>
      <w:tr>
        <w:tc>
          <w:tcPr>
            <w:tcW w:type="dxa" w:w="3156"/>
          </w:tcPr>
          <w:p>
            <w:pPr>
              <w:spacing w:after="80"/>
            </w:pPr>
            <w:r/>
            <w:r>
              <w:rPr>
                <w:b w:val="0"/>
                <w:sz w:val="17"/>
              </w:rPr>
              <w:t>Docker and telemetry files</w:t>
            </w:r>
          </w:p>
        </w:tc>
        <w:tc>
          <w:tcPr>
            <w:tcW w:type="dxa" w:w="2959"/>
          </w:tcPr>
          <w:p>
            <w:pPr>
              <w:spacing w:after="80"/>
            </w:pPr>
            <w:r/>
            <w:r>
              <w:rPr>
                <w:b w:val="0"/>
                <w:sz w:val="17"/>
              </w:rPr>
              <w:t>Historical Docker/egress records supplied</w:t>
            </w:r>
          </w:p>
        </w:tc>
        <w:tc>
          <w:tcPr>
            <w:tcW w:type="dxa" w:w="3748"/>
          </w:tcPr>
          <w:p>
            <w:pPr>
              <w:spacing w:after="80"/>
            </w:pPr>
            <w:r/>
            <w:r>
              <w:rPr>
                <w:b w:val="0"/>
                <w:sz w:val="17"/>
              </w:rPr>
              <w:t>No fresh Docker runtime or packet capture in this review.</w:t>
            </w:r>
          </w:p>
        </w:tc>
      </w:tr>
    </w:tbl>
    <w:p/>
    <w:p>
      <w:pPr>
        <w:pStyle w:val="Heading2"/>
      </w:pPr>
      <w:r>
        <w:rPr>
          <w:b w:val="0"/>
        </w:rPr>
        <w:t>Why the counts differ</w:t>
      </w:r>
    </w:p>
    <w:p>
      <w:r>
        <w:rPr>
          <w:b w:val="0"/>
        </w:rPr>
        <w:t>The archive contains older summaries alongside detailed release records from different runs. A test count is meaningful only with its exact artifact, source snapshot and scope. This report does not silently choose the largest number, combine overlapping runs or call supplied logs fresh. The freshly generated E01 JUnit is the primary current backend result. [H01–H04; E01]</w:t>
      </w:r>
    </w:p>
    <w:p>
      <w:pPr>
        <w:shd w:fill="EDF5F7"/>
      </w:pPr>
      <w:r>
        <w:rPr>
          <w:b w:val="0"/>
          <w:sz w:val="18"/>
        </w:rPr>
      </w:r>
      <w:r>
        <w:rPr>
          <w:b/>
          <w:sz w:val="18"/>
        </w:rPr>
        <w:t>Publication history</w:t>
      </w:r>
      <w:r>
        <w:rPr>
          <w:b w:val="0"/>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r>
        <w:br w:type="page"/>
      </w:r>
    </w:p>
    <w:p>
      <w:pPr>
        <w:pStyle w:val="Subtitle"/>
      </w:pPr>
      <w:r>
        <w:t>11 / SAFE REVIEWER RUNBOOK</w:t>
      </w:r>
    </w:p>
    <w:p>
      <w:pPr>
        <w:pStyle w:val="Heading1"/>
      </w:pPr>
      <w:r>
        <w:t>Reproduction procedure</w:t>
      </w:r>
    </w:p>
    <w:p>
      <w:pPr>
        <w:pStyle w:val="Heading2"/>
      </w:pPr>
      <w:r>
        <w:rPr>
          <w:b w:val="0"/>
        </w:rPr>
        <w:t>1. Verify and prepare</w:t>
      </w:r>
    </w:p>
    <w:p>
      <w:r>
        <w:rPr>
          <w:b w:val="0"/>
        </w:rP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pPr>
        <w:spacing w:after="160"/>
      </w:pPr>
      <w:r>
        <w:rPr>
          <w:rFonts w:ascii="Courier New" w:hAnsi="Courier New"/>
          <w:sz w:val="16"/>
        </w:rPr>
        <w:t>cd StudyRoute-main/backend</w:t>
        <w:br/>
        <w:t>python -m venv .venv</w:t>
        <w:br/>
        <w:t># Activate the virtual environment for your operating system.</w:t>
        <w:br/>
        <w:t>python -m pip install -r requirements-dev.txt</w:t>
        <w:br/>
        <w:t>python -m pytest -o addopts='' -q --junitxml=backend-current.xml</w:t>
      </w:r>
    </w:p>
    <w:p>
      <w:pPr>
        <w:pStyle w:val="Heading2"/>
      </w:pPr>
      <w:r>
        <w:rPr>
          <w:b w:val="0"/>
        </w:rPr>
        <w:t>2. Isolated live API</w:t>
      </w:r>
    </w:p>
    <w:p>
      <w:r>
        <w:rPr>
          <w:b w:val="0"/>
        </w:rP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pPr>
        <w:spacing w:after="160"/>
      </w:pPr>
      <w:r>
        <w:rPr>
          <w:rFonts w:ascii="Courier New" w:hAnsi="Courier New"/>
          <w:sz w:val="16"/>
        </w:rPr>
        <w:t>python -m app.scripts.seed --if-empty</w:t>
        <w:br/>
        <w:t>python -m uvicorn app.main:create_app --factory \</w:t>
        <w:br/>
        <w:t xml:space="preserve">  --host 127.0.0.1 --port 18763 --no-access-log</w:t>
      </w:r>
    </w:p>
    <w:p>
      <w:pPr>
        <w:pStyle w:val="Heading2"/>
      </w:pPr>
      <w:r>
        <w:rPr>
          <w:b w:val="0"/>
        </w:rPr>
        <w:t>3. Export and verify — separate terminal, same environment</w:t>
      </w:r>
    </w:p>
    <w:p>
      <w:pPr>
        <w:spacing w:after="160"/>
      </w:pPr>
      <w:r>
        <w:rPr>
          <w:rFonts w:ascii="Courier New" w:hAnsi="Courier New"/>
          <w:sz w:val="16"/>
        </w:rPr>
        <w:t>python -m app.scripts.export_evidence \</w:t>
        <w:br/>
        <w:t xml:space="preserve">  --base-url http://127.0.0.1:18763 \</w:t>
        <w:br/>
        <w:t xml:space="preserve">  --out /path/to/new-evidence --tamper</w:t>
        <w:br/>
        <w:t># From project root:</w:t>
        <w:br/>
        <w:t>python scripts/scan_repo.py</w:t>
      </w:r>
    </w:p>
    <w:p>
      <w:pPr>
        <w:shd w:fill="EDF5F7"/>
      </w:pPr>
      <w:r>
        <w:rPr>
          <w:b w:val="0"/>
          <w:sz w:val="18"/>
        </w:rPr>
      </w:r>
      <w:r>
        <w:rPr>
          <w:b/>
          <w:sz w:val="18"/>
        </w:rPr>
        <w:t>Destructive-test warning</w:t>
      </w:r>
      <w:r>
        <w:rPr>
          <w:b w:val="0"/>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r>
        <w:br w:type="page"/>
      </w:r>
    </w:p>
    <w:p>
      <w:pPr>
        <w:pStyle w:val="Subtitle"/>
      </w:pPr>
      <w:r>
        <w:t>12 / REVIEWER HANDOFF</w:t>
      </w:r>
    </w:p>
    <w:p>
      <w:pPr>
        <w:pStyle w:val="Heading1"/>
      </w:pPr>
      <w:r>
        <w:t>Evidence index &amp; acceptance boundary</w:t>
      </w:r>
    </w:p>
    <w:tbl>
      <w:tblPr>
        <w:tblStyle w:val="LightShading-Accent1"/>
        <w:tblW w:type="auto" w:w="0"/>
        <w:tblLook w:firstColumn="1" w:firstRow="1" w:lastColumn="0" w:lastRow="0" w:noHBand="0" w:noVBand="1" w:val="04A0"/>
      </w:tblPr>
      <w:tblGrid>
        <w:gridCol w:w="4946"/>
        <w:gridCol w:w="4946"/>
      </w:tblGrid>
      <w:tr>
        <w:trPr>
          <w:tblHeader/>
        </w:trPr>
        <w:tc>
          <w:tcPr>
            <w:tcW w:type="dxa" w:w="986"/>
            <w:shd w:fill="102B46"/>
          </w:tcPr>
          <w:p>
            <w:r>
              <w:rPr>
                <w:b/>
                <w:color w:val="FFFFFF"/>
                <w:sz w:val="17"/>
              </w:rPr>
              <w:t>ID</w:t>
            </w:r>
          </w:p>
        </w:tc>
        <w:tc>
          <w:tcPr>
            <w:tcW w:type="dxa" w:w="8878"/>
            <w:shd w:fill="102B46"/>
          </w:tcPr>
          <w:p>
            <w:r>
              <w:rPr>
                <w:b/>
                <w:color w:val="FFFFFF"/>
                <w:sz w:val="17"/>
              </w:rPr>
              <w:t>Files / purpose</w:t>
            </w:r>
          </w:p>
        </w:tc>
      </w:tr>
      <w:tr>
        <w:tc>
          <w:tcPr>
            <w:tcW w:type="dxa" w:w="986"/>
          </w:tcPr>
          <w:p>
            <w:pPr>
              <w:spacing w:after="80"/>
            </w:pPr>
            <w:r/>
            <w:r>
              <w:rPr>
                <w:b w:val="0"/>
                <w:sz w:val="17"/>
              </w:rPr>
              <w:t>E01</w:t>
            </w:r>
          </w:p>
        </w:tc>
        <w:tc>
          <w:tcPr>
            <w:tcW w:type="dxa" w:w="8878"/>
          </w:tcPr>
          <w:p>
            <w:pPr>
              <w:spacing w:after="80"/>
            </w:pPr>
            <w:r/>
            <w:r>
              <w:rPr>
                <w:b w:val="0"/>
                <w:sz w:val="17"/>
              </w:rPr>
              <w:t>Fresh complete backend regression — validation/backend-current.log; validation/backend-current.xml; validation/backend-current.exit</w:t>
            </w:r>
          </w:p>
        </w:tc>
      </w:tr>
      <w:tr>
        <w:tc>
          <w:tcPr>
            <w:tcW w:type="dxa" w:w="986"/>
          </w:tcPr>
          <w:p>
            <w:pPr>
              <w:spacing w:after="80"/>
            </w:pPr>
            <w:r/>
            <w:r>
              <w:rPr>
                <w:b w:val="0"/>
                <w:sz w:val="17"/>
              </w:rPr>
              <w:t>E02</w:t>
            </w:r>
          </w:p>
        </w:tc>
        <w:tc>
          <w:tcPr>
            <w:tcW w:type="dxa" w:w="8878"/>
          </w:tcPr>
          <w:p>
            <w:pPr>
              <w:spacing w:after="80"/>
            </w:pPr>
            <w:r/>
            <w:r>
              <w:rPr>
                <w:b w:val="0"/>
                <w:sz w:val="17"/>
              </w:rPr>
              <w:t>Fresh real local API demonstration — validation/live-run.json; validation/live-export.log; validation/live-evidence/sandbox_operation_log.txt</w:t>
            </w:r>
          </w:p>
        </w:tc>
      </w:tr>
      <w:tr>
        <w:tc>
          <w:tcPr>
            <w:tcW w:type="dxa" w:w="986"/>
          </w:tcPr>
          <w:p>
            <w:pPr>
              <w:spacing w:after="80"/>
            </w:pPr>
            <w:r/>
            <w:r>
              <w:rPr>
                <w:b w:val="0"/>
                <w:sz w:val="17"/>
              </w:rPr>
              <w:t>E03</w:t>
            </w:r>
          </w:p>
        </w:tc>
        <w:tc>
          <w:tcPr>
            <w:tcW w:type="dxa" w:w="8878"/>
          </w:tcPr>
          <w:p>
            <w:pPr>
              <w:spacing w:after="80"/>
            </w:pPr>
            <w:r/>
            <w:r>
              <w:rPr>
                <w:b w:val="0"/>
                <w:sz w:val="17"/>
              </w:rPr>
              <w:t>Fresh audit and tamper evidence — validation/live-evidence/audit_log.json; audit_verify.json; tamper_demo.json (same directory)</w:t>
            </w:r>
          </w:p>
        </w:tc>
      </w:tr>
      <w:tr>
        <w:tc>
          <w:tcPr>
            <w:tcW w:type="dxa" w:w="986"/>
          </w:tcPr>
          <w:p>
            <w:pPr>
              <w:spacing w:after="80"/>
            </w:pPr>
            <w:r/>
            <w:r>
              <w:rPr>
                <w:b w:val="0"/>
                <w:sz w:val="17"/>
              </w:rPr>
              <w:t>E04</w:t>
            </w:r>
          </w:p>
        </w:tc>
        <w:tc>
          <w:tcPr>
            <w:tcW w:type="dxa" w:w="8878"/>
          </w:tcPr>
          <w:p>
            <w:pPr>
              <w:spacing w:after="80"/>
            </w:pPr>
            <w:r/>
            <w:r>
              <w:rPr>
                <w:b w:val="0"/>
                <w:sz w:val="17"/>
              </w:rPr>
              <w:t>Fresh financial and escrow evidence — validation/live-evidence/payments.json; bank_network.json; smart_escrow.json</w:t>
            </w:r>
          </w:p>
        </w:tc>
      </w:tr>
      <w:tr>
        <w:tc>
          <w:tcPr>
            <w:tcW w:type="dxa" w:w="986"/>
          </w:tcPr>
          <w:p>
            <w:pPr>
              <w:spacing w:after="80"/>
            </w:pPr>
            <w:r/>
            <w:r>
              <w:rPr>
                <w:b w:val="0"/>
                <w:sz w:val="17"/>
              </w:rPr>
              <w:t>E05</w:t>
            </w:r>
          </w:p>
        </w:tc>
        <w:tc>
          <w:tcPr>
            <w:tcW w:type="dxa" w:w="8878"/>
          </w:tcPr>
          <w:p>
            <w:pPr>
              <w:spacing w:after="80"/>
            </w:pPr>
            <w:r/>
            <w:r>
              <w:rPr>
                <w:b w:val="0"/>
                <w:sz w:val="17"/>
              </w:rPr>
              <w:t>Provenance and independent chain recomputation — validation/source-identity.json; source-file-inventory.json; evidence-integrity-check.json; tools/inspect_evidence.py</w:t>
            </w:r>
          </w:p>
        </w:tc>
      </w:tr>
      <w:tr>
        <w:tc>
          <w:tcPr>
            <w:tcW w:type="dxa" w:w="986"/>
          </w:tcPr>
          <w:p>
            <w:pPr>
              <w:spacing w:after="80"/>
            </w:pPr>
            <w:r/>
            <w:r>
              <w:rPr>
                <w:b w:val="0"/>
                <w:sz w:val="17"/>
              </w:rPr>
              <w:t>E06</w:t>
            </w:r>
          </w:p>
        </w:tc>
        <w:tc>
          <w:tcPr>
            <w:tcW w:type="dxa" w:w="8878"/>
          </w:tcPr>
          <w:p>
            <w:pPr>
              <w:spacing w:after="80"/>
            </w:pPr>
            <w:r/>
            <w:r>
              <w:rPr>
                <w:b w:val="0"/>
                <w:sz w:val="17"/>
              </w:rPr>
              <w:t>Fresh source hygiene and model loading — validation/source-scan.log; validation/environment-models.json; validation/rbac-matrix.json</w:t>
            </w:r>
          </w:p>
        </w:tc>
      </w:tr>
    </w:tbl>
    <w:p/>
    <w:p>
      <w:pPr>
        <w:pStyle w:val="Heading2"/>
      </w:pPr>
      <w:r>
        <w:rPr>
          <w:b w:val="0"/>
        </w:rPr>
        <w:t>Package contents</w:t>
      </w:r>
    </w:p>
    <w:p>
      <w:pPr>
        <w:pStyle w:val="ListBullet"/>
      </w:pPr>
      <w:r>
        <w:rPr>
          <w:b w:val="0"/>
        </w:rPr>
        <w:t>Two reports in PDF, editable DOCX and Markdown; shared EVIDENCE_INDEX.md.</w:t>
      </w:r>
    </w:p>
    <w:p>
      <w:pPr>
        <w:pStyle w:val="ListBullet"/>
      </w:pPr>
      <w:r>
        <w:rPr>
          <w:b w:val="0"/>
        </w:rPr>
        <w:t>Fresh validation logs, JUnit XML, local API operation JSON, source inventory, model/runtime metadata and machine-derived RBAC matrix.</w:t>
      </w:r>
    </w:p>
    <w:p>
      <w:pPr>
        <w:pStyle w:val="ListBullet"/>
      </w:pPr>
      <w:r>
        <w:rPr>
          <w:b w:val="0"/>
        </w:rPr>
        <w:t>Selected supplied/historical test records, probe outputs and AI evaluation JSON under inherited/; each remains marked as not rerun.</w:t>
      </w:r>
    </w:p>
    <w:p>
      <w:pPr>
        <w:pStyle w:val="ListBullet"/>
      </w:pPr>
      <w:r>
        <w:rPr>
          <w:b w:val="0"/>
        </w:rPr>
        <w:t>Reproduction and verification helper scripts; SHA256SUMS.txt for delivered files.</w:t>
      </w:r>
    </w:p>
    <w:p>
      <w:pPr>
        <w:pStyle w:val="Heading2"/>
      </w:pPr>
      <w:r>
        <w:rPr>
          <w:b w:val="0"/>
        </w:rPr>
        <w:t>Acceptance boundary</w:t>
      </w:r>
    </w:p>
    <w:p>
      <w:r>
        <w:rPr>
          <w:b w:val="0"/>
        </w:rP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pPr>
        <w:shd w:fill="EDF5F7"/>
      </w:pPr>
      <w:r>
        <w:rPr>
          <w:b w:val="0"/>
          <w:sz w:val="18"/>
        </w:rPr>
      </w:r>
      <w:r>
        <w:rPr>
          <w:b/>
          <w:sz w:val="18"/>
        </w:rPr>
        <w:t>Recommended reviewer sequence</w:t>
      </w:r>
      <w:r>
        <w:rPr>
          <w:b w:val="0"/>
          <w:sz w:val="18"/>
        </w:rPr>
        <w:t xml:space="preserve"> — Verify file hashes → inspect source identity → read E01/E02 raw outcomes → compare E03 negative tamper result → inspect E04 ledger invariants → review the companion risk register before considering any wider deployment.</w:t>
      </w:r>
    </w:p>
    <w:sectPr w:rsidR="00FC693F" w:rsidRPr="0006063C" w:rsidSect="00034616">
      <w:headerReference w:type="default" r:id="rId9"/>
      <w:footerReference w:type="default" r:id="rId10"/>
      <w:pgSz w:w="11909" w:h="16834"/>
      <w:pgMar w:top="1080"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SR-EVD-2026-01  |  Synthetic-data demonstrator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STUDYROUTE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233B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