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 Energy Outlook</w:t>
      </w:r>
    </w:p>
    <w:p>
      <w:r>
        <w:t>A briefing for leadership</w:t>
      </w:r>
    </w:p>
    <w:p>
      <w:pPr>
        <w:pStyle w:val="Heading1"/>
      </w:pPr>
      <w:r>
        <w:t>Executive summary</w:t>
      </w:r>
    </w:p>
    <w:p>
      <w:pPr>
        <w:keepNext/>
      </w:pPr>
      <w:r>
        <w:t>Renewable deployment is shaped by policy and market conditions. The IEA’s Renewables 2025 examines electricity, transport and heat through 2030. [1] Storage gives variable wind and solar generation a way to serve demand at other times. The US Department of Energy describes both battery research and pumped storage hydropower. [2]</w:t>
      </w:r>
    </w:p>
    <w:p>
      <w:pPr>
        <w:pStyle w:val="ListBullet"/>
        <w:keepNext/>
      </w:pPr>
      <w:r>
        <w:t>Review the policy assumptions behind an outlook.</w:t>
      </w:r>
    </w:p>
    <w:p>
      <w:pPr>
        <w:pStyle w:val="ListBullet"/>
        <w:keepNext/>
      </w:pPr>
      <w:r>
        <w:t>Consider storage alongside renewable generation.</w:t>
      </w:r>
    </w:p>
    <w:p>
      <w:pPr>
        <w:pStyle w:val="ListBullet"/>
        <w:keepNext w:val="0"/>
      </w:pPr>
      <w:r>
        <w:t>Keep source evidence attached to the briefing.</w:t>
      </w:r>
    </w:p>
    <w:p>
      <w:pPr>
        <w:pStyle w:val="Heading1"/>
      </w:pPr>
      <w:r>
        <w:t>Market landscape</w:t>
      </w:r>
    </w:p>
    <w:p>
      <w:pPr>
        <w:keepNext/>
      </w:pPr>
      <w:r>
        <w:t>The IEA considers policy changes, manufacturing trends and the financial health of renewable industries. Its outlook spans multiple energy uses rather than electricity alone. [1]</w:t>
      </w:r>
    </w:p>
    <w:p>
      <w:pPr>
        <w:pStyle w:val="ListBullet"/>
        <w:keepNext/>
      </w:pPr>
      <w:r>
        <w:t>Electricity</w:t>
      </w:r>
    </w:p>
    <w:p>
      <w:pPr>
        <w:pStyle w:val="ListBullet"/>
        <w:keepNext/>
      </w:pPr>
      <w:r>
        <w:t>Transport</w:t>
      </w:r>
    </w:p>
    <w:p>
      <w:pPr>
        <w:pStyle w:val="ListBullet"/>
        <w:keepNext w:val="0"/>
      </w:pPr>
      <w:r>
        <w:t>Heat</w:t>
      </w:r>
    </w:p>
    <w:p>
      <w:pPr>
        <w:pStyle w:val="Heading1"/>
      </w:pPr>
      <w:r>
        <w:t>Storage and flexibility</w:t>
      </w:r>
    </w:p>
    <w:p>
      <w:pPr>
        <w:keepNext/>
      </w:pPr>
      <w:r>
        <w:t>The Department of Energy describes storage as a response to intermittent wind and solar supply. Pumped storage uses reservoirs at different elevations and generates power as water moves through a turbine. [2]</w:t>
      </w:r>
    </w:p>
    <w:p>
      <w:pPr>
        <w:pStyle w:val="ListBullet"/>
        <w:keepNext/>
      </w:pPr>
      <w:r>
        <w:t>Batteries retain energy for later use.</w:t>
      </w:r>
    </w:p>
    <w:p>
      <w:pPr>
        <w:pStyle w:val="ListBullet"/>
        <w:keepNext w:val="0"/>
      </w:pPr>
      <w:r>
        <w:t>Pumped storage uses water and elevation.</w:t>
      </w:r>
    </w:p>
    <w:p>
      <w:pPr>
        <w:pStyle w:val="Heading1"/>
      </w:pPr>
      <w:r>
        <w:t>Risks and considerations</w:t>
      </w:r>
    </w:p>
    <w:p>
      <w:pPr>
        <w:keepNext/>
      </w:pPr>
      <w:r>
        <w:t>A forecast depends on its assumptions. The IEA’s report assesses sector challenges as well as opportunities. [1] For this briefing, leadership should examine local conditions before applying a global outlook.</w:t>
      </w:r>
    </w:p>
    <w:p>
      <w:pPr>
        <w:pStyle w:val="ListBullet"/>
        <w:keepNext/>
      </w:pPr>
      <w:r>
        <w:t>Separate a forecast from an observed result.</w:t>
      </w:r>
    </w:p>
    <w:p>
      <w:pPr>
        <w:pStyle w:val="ListBullet"/>
        <w:keepNext w:val="0"/>
      </w:pPr>
      <w:r>
        <w:t>Review local policy and project constraints.</w:t>
      </w:r>
    </w:p>
    <w:p>
      <w:pPr>
        <w:pStyle w:val="Heading1"/>
      </w:pPr>
      <w:r>
        <w:t>Next steps</w:t>
      </w:r>
    </w:p>
    <w:p>
      <w:pPr>
        <w:keepNext/>
      </w:pPr>
      <w:r>
        <w:t>Use the linked sources to check scope and context. This sample recommends reviewing policy assumptions and assessing storage needs before developing a project-specific plan.</w:t>
      </w:r>
    </w:p>
    <w:p>
      <w:pPr>
        <w:pStyle w:val="ListBullet"/>
        <w:keepNext/>
      </w:pPr>
      <w:r>
        <w:t>Read the original sources.</w:t>
      </w:r>
    </w:p>
    <w:p>
      <w:pPr>
        <w:pStyle w:val="ListBullet"/>
        <w:keepNext w:val="0"/>
      </w:pPr>
      <w:r>
        <w:t>Document assumptions for the decision.</w:t>
      </w:r>
    </w:p>
    <w:p>
      <w:pPr>
        <w:pStyle w:val="Heading1"/>
      </w:pPr>
      <w:r>
        <w:t>References</w:t>
      </w:r>
    </w:p>
    <w:p>
      <w:r>
        <w:t xml:space="preserve">[1] International Energy Agency </w:t>
      </w:r>
      <w:hyperlink r:id="rId9">
        <w:r>
          <w:rPr>
            <w:color w:val="215B60"/>
          </w:rPr>
          <w:t>Renewables 2025</w:t>
        </w:r>
      </w:hyperlink>
    </w:p>
    <w:p>
      <w:r>
        <w:t xml:space="preserve">[2] US Department of Energy </w:t>
      </w:r>
      <w:hyperlink r:id="rId10">
        <w:r>
          <w:rPr>
            <w:color w:val="215B60"/>
          </w:rPr>
          <w:t>Energy Storage</w:t>
        </w:r>
      </w:hyperlink>
    </w:p>
    <w:sectPr w:rsidR="00FC693F" w:rsidRPr="0006063C" w:rsidSect="00034616">
      <w:foot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DocBuilder AI  /  Sample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ea.org/reports/renewables-2025" TargetMode="External"/><Relationship Id="rId10" Type="http://schemas.openxmlformats.org/officeDocument/2006/relationships/hyperlink" Target="https://www.energy.gov/energy-storage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Energy Outlook</dc:title>
  <dc:subject>Source-grounded landing demonstration</dc:subject>
  <dc:creator>DocBuilder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