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4530"/>
        <w:gridCol w:w="2235"/>
        <w:tblGridChange w:id="0">
          <w:tblGrid>
            <w:gridCol w:w="2220"/>
            <w:gridCol w:w="453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[US-0008] - Detalhes da conta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Matheus Lima de Aquino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Projeto: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EBAC-SHOP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60" w:tblpY="1204.84863281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5"/>
            <w:vMerge w:val="restart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RN1: Apenas usuários logados devem ter a acesso a página Detalhes da conta;</w:t>
              <w:br w:type="textWrapping"/>
              <w:t xml:space="preserve">RN2: Novos usuários devem ter os campos de Primeiro e Último nome em branco; </w:t>
              <w:br w:type="textWrapping"/>
              <w:t xml:space="preserve">RN3: Usuários devem poder atualizar seus dados pessoais e senha 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360" w:tblpY="109.8486328125"/>
        <w:tblW w:w="2053.0" w:type="dxa"/>
        <w:jc w:val="left"/>
        <w:tblLayout w:type="fixed"/>
        <w:tblLook w:val="0400"/>
      </w:tblPr>
      <w:tblGrid>
        <w:gridCol w:w="2053"/>
        <w:tblGridChange w:id="0">
          <w:tblGrid>
            <w:gridCol w:w="2053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Regras de negócio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Caso de teste </w:t>
        <w:br w:type="textWrapping"/>
        <w:br w:type="textWrapping"/>
      </w:r>
    </w:p>
    <w:tbl>
      <w:tblPr>
        <w:tblStyle w:val="Table4"/>
        <w:tblW w:w="10845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245"/>
        <w:gridCol w:w="1770"/>
        <w:gridCol w:w="2730"/>
        <w:gridCol w:w="2445"/>
        <w:gridCol w:w="1605"/>
        <w:tblGridChange w:id="0">
          <w:tblGrid>
            <w:gridCol w:w="1050"/>
            <w:gridCol w:w="1245"/>
            <w:gridCol w:w="1770"/>
            <w:gridCol w:w="2730"/>
            <w:gridCol w:w="244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Cenário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Automatizar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logado acessa a plataforma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deve ter acesso à página de detalhes da conta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Partição de equivalência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não logado tenta acessar a 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é redirecionado a área de login e não tem acesso a página de detalhes da conta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Caminho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Novo usuário acessa a plataforma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página de detalhes da conta deve exibir os campos de Primeiro e Último nome em branco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2234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Caminho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com dados pessoais cadastrados acessa a página de Detalhes da Conta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página exibe os campos Primeiro Nome e Último Nome preenchidos com os dados cadastrados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Caminho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acessa a página de Detalhes da Conta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pode editar seus dados pessoais e alterar sua senha.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122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Caminho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Novo usuário acessa a página de Detalhes da Conta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página exibe os campos Primeiro Nome e Último Nome em branco e permite o preenchimento e atualização dos dados pessoais e senha.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122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Caminho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Usuário altera seus dados pessoais ou senha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salva as alterações e exibe os dados atualizados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